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aaoi20250331_10q.htm"/>
      <w:bookmarkStart w:id="1" w:name="ksaaoi20250331_10q"/>
      <w:bookmarkEnd w:id="0"/>
      <w:bookmarkEnd w:id="1"/>
      <w:r>
        <w:rPr/>
        <w:t>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FORM 10-Q​</w:t>
      </w:r>
    </w:p>
    <w:p>
      <w:pPr>
        <w:pStyle w:val="TextBody"/>
        <w:bidi w:val="0"/>
        <w:spacing w:before="0" w:after="0"/>
        <w:ind w:left="0" w:right="0" w:hanging="0"/>
        <w:jc w:val="left"/>
        <w:rPr>
          <w:rFonts w:ascii="Times New Roman" w:hAnsi="Times New Roman"/>
          <w:sz w:val="20"/>
        </w:rPr>
      </w:pPr>
      <w:r>
        <w:rPr>
          <w:rFonts w:ascii="Times New Roman" w:hAnsi="Times New Roman"/>
          <w:sz w:val="20"/>
        </w:rPr>
        <w:t>(Mark One)</w:t>
      </w:r>
    </w:p>
    <w:p>
      <w:pPr>
        <w:pStyle w:val="TextBody"/>
        <w:bidi w:val="0"/>
        <w:spacing w:before="0" w:after="0"/>
        <w:ind w:left="0" w:right="0" w:hanging="0"/>
        <w:jc w:val="left"/>
        <w:rPr/>
      </w:pPr>
      <w:r>
        <w:rPr/>
        <w:t xml:space="preserve">☒ </w:t>
      </w:r>
      <w:r>
        <w:rPr>
          <w:rFonts w:ascii="Times New Roman" w:hAnsi="Times New Roman"/>
          <w:b/>
          <w:sz w:val="20"/>
        </w:rPr>
        <w:t>QUARTERLY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For the quarterly period ended March 31, 2025</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OR</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 xml:space="preserve">☐ </w:t>
      </w:r>
      <w:r>
        <w:rPr>
          <w:rFonts w:ascii="Times New Roman" w:hAnsi="Times New Roman"/>
          <w:b/>
          <w:sz w:val="20"/>
        </w:rPr>
        <w:t>TRANSITION REPORT PURSUANT TO SECTION 13 OR 15(d) OF THE SECURITIES EXCHANGE ACT OF 1934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b/>
          <w:sz w:val="20"/>
        </w:rPr>
        <w:t xml:space="preserve">For the transition period from __________ to </w:t>
      </w:r>
      <w:r>
        <w:rPr>
          <w:rFonts w:ascii="Times New Roman" w:hAnsi="Times New Roman"/>
          <w:sz w:val="20"/>
        </w:rPr>
        <w:t>__________</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Commission File Number: 001-36083</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Applied Optoelectronics, Inc.</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ind w:left="0" w:right="0" w:hanging="0"/>
        <w:jc w:val="center"/>
        <w:rPr/>
      </w:pPr>
      <w:r>
        <w:rPr/>
        <w:t>​</w:t>
      </w:r>
    </w:p>
    <w:tbl>
      <w:tblPr>
        <w:tblW w:w="8140" w:type="dxa"/>
        <w:jc w:val="left"/>
        <w:tblInd w:w="0" w:type="dxa"/>
        <w:tblLayout w:type="fixed"/>
        <w:tblCellMar>
          <w:top w:w="0" w:type="dxa"/>
          <w:left w:w="0" w:type="dxa"/>
          <w:bottom w:w="0" w:type="dxa"/>
          <w:right w:w="0" w:type="dxa"/>
        </w:tblCellMar>
      </w:tblPr>
      <w:tblGrid>
        <w:gridCol w:w="5135"/>
        <w:gridCol w:w="3005"/>
      </w:tblGrid>
      <w:tr>
        <w:trPr/>
        <w:tc>
          <w:tcPr>
            <w:tcW w:w="513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Delaware</w:t>
            </w:r>
          </w:p>
        </w:tc>
        <w:tc>
          <w:tcPr>
            <w:tcW w:w="30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76-0533927</w:t>
            </w:r>
          </w:p>
        </w:tc>
      </w:tr>
      <w:tr>
        <w:trPr/>
        <w:tc>
          <w:tcPr>
            <w:tcW w:w="513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(State or other jurisdiction of incorporation or organization)</w:t>
            </w:r>
          </w:p>
        </w:tc>
        <w:tc>
          <w:tcPr>
            <w:tcW w:w="300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(I.R.S. Employer 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13139 Jess Pirtle Blvd.</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Sugar Land, TX 77478</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(Address of principal executive offices)</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(281) 295-1800</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(Registrant’s telephone number)</w:t>
      </w:r>
    </w:p>
    <w:p>
      <w:pPr>
        <w:pStyle w:val="TextBody"/>
        <w:bidi w:val="0"/>
        <w:spacing w:before="0" w:after="0"/>
        <w:ind w:left="0" w:right="0" w:hanging="0"/>
        <w:jc w:val="left"/>
        <w:rPr/>
      </w:pPr>
      <w:r>
        <w:rPr/>
        <w:t>​</w:t>
      </w:r>
    </w:p>
    <w:p>
      <w:pPr>
        <w:pStyle w:val="TextBody"/>
        <w:bidi w:val="0"/>
        <w:spacing w:before="0" w:after="0"/>
        <w:ind w:left="0" w:right="0" w:firstLine="462"/>
        <w:jc w:val="both"/>
        <w:rPr/>
      </w:pPr>
      <w:r>
        <w:rPr/>
        <w:t> </w:t>
      </w:r>
    </w:p>
    <w:p>
      <w:pPr>
        <w:pStyle w:val="TextBody"/>
        <w:bidi w:val="0"/>
        <w:spacing w:before="0" w:after="0"/>
        <w:ind w:left="729" w:right="294" w:hanging="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ind w:left="0" w:right="0" w:hanging="0"/>
        <w:jc w:val="left"/>
        <w:rPr/>
      </w:pPr>
      <w:r>
        <w:rPr/>
        <w:t> </w:t>
      </w:r>
    </w:p>
    <w:tbl>
      <w:tblPr>
        <w:tblW w:w="8535" w:type="dxa"/>
        <w:jc w:val="left"/>
        <w:tblInd w:w="0" w:type="dxa"/>
        <w:tblLayout w:type="fixed"/>
        <w:tblCellMar>
          <w:top w:w="0" w:type="dxa"/>
          <w:left w:w="0" w:type="dxa"/>
          <w:bottom w:w="28" w:type="dxa"/>
          <w:right w:w="0" w:type="dxa"/>
        </w:tblCellMar>
      </w:tblPr>
      <w:tblGrid>
        <w:gridCol w:w="2735"/>
        <w:gridCol w:w="1535"/>
        <w:gridCol w:w="4265"/>
      </w:tblGrid>
      <w:tr>
        <w:trPr/>
        <w:tc>
          <w:tcPr>
            <w:tcW w:w="273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Title of each class</w:t>
            </w:r>
          </w:p>
        </w:tc>
        <w:tc>
          <w:tcPr>
            <w:tcW w:w="153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Trading Symbol(s)</w:t>
            </w:r>
          </w:p>
        </w:tc>
        <w:tc>
          <w:tcPr>
            <w:tcW w:w="4265" w:type="dxa"/>
            <w:tcBorders>
              <w:bottom w:val="single" w:sz="2" w:space="0" w:color="000000"/>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Trading Name of each exchange on which registered</w:t>
            </w:r>
          </w:p>
        </w:tc>
      </w:tr>
      <w:tr>
        <w:trPr/>
        <w:tc>
          <w:tcPr>
            <w:tcW w:w="273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Common Stock, Par value $0.001</w:t>
            </w:r>
          </w:p>
        </w:tc>
        <w:tc>
          <w:tcPr>
            <w:tcW w:w="153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AAOI</w:t>
            </w:r>
          </w:p>
        </w:tc>
        <w:tc>
          <w:tcPr>
            <w:tcW w:w="4265"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NASDAQ Global Market</w:t>
            </w:r>
          </w:p>
        </w:tc>
      </w:tr>
    </w:tbl>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 </w:t>
      </w:r>
    </w:p>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 </w:t>
      </w:r>
    </w:p>
    <w:tbl>
      <w:tblPr>
        <w:tblW w:w="4625" w:type="dxa"/>
        <w:jc w:val="left"/>
        <w:tblInd w:w="0" w:type="dxa"/>
        <w:tblLayout w:type="fixed"/>
        <w:tblCellMar>
          <w:top w:w="0" w:type="dxa"/>
          <w:left w:w="0" w:type="dxa"/>
          <w:bottom w:w="0" w:type="dxa"/>
          <w:right w:w="0" w:type="dxa"/>
        </w:tblCellMar>
      </w:tblPr>
      <w:tblGrid>
        <w:gridCol w:w="60"/>
        <w:gridCol w:w="1820"/>
        <w:gridCol w:w="290"/>
        <w:gridCol w:w="2225"/>
        <w:gridCol w:w="230"/>
      </w:tblGrid>
      <w:tr>
        <w:trPr/>
        <w:tc>
          <w:tcPr>
            <w:tcW w:w="60"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Large accelerated filer</w:t>
            </w:r>
          </w:p>
        </w:tc>
        <w:tc>
          <w:tcPr>
            <w:tcW w:w="29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Accelerated filer</w:t>
            </w:r>
          </w:p>
        </w:tc>
        <w:tc>
          <w:tcPr>
            <w:tcW w:w="230" w:type="dxa"/>
            <w:tcBorders/>
            <w:vAlign w:val="center"/>
          </w:tcPr>
          <w:p>
            <w:pPr>
              <w:pStyle w:val="TableContents"/>
              <w:bidi w:val="0"/>
              <w:spacing w:before="0" w:after="283"/>
              <w:jc w:val="left"/>
              <w:rPr/>
            </w:pPr>
            <w:r>
              <w:rPr/>
              <w:t>☒</w:t>
            </w:r>
          </w:p>
        </w:tc>
      </w:tr>
      <w:tr>
        <w:trPr/>
        <w:tc>
          <w:tcPr>
            <w:tcW w:w="60"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Non-accelerated filer</w:t>
            </w:r>
          </w:p>
        </w:tc>
        <w:tc>
          <w:tcPr>
            <w:tcW w:w="29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Smaller reporting company</w:t>
            </w:r>
          </w:p>
        </w:tc>
        <w:tc>
          <w:tcPr>
            <w:tcW w:w="230" w:type="dxa"/>
            <w:tcBorders/>
            <w:vAlign w:val="center"/>
          </w:tcPr>
          <w:p>
            <w:pPr>
              <w:pStyle w:val="TableContents"/>
              <w:bidi w:val="0"/>
              <w:spacing w:before="0" w:after="0"/>
              <w:ind w:left="0" w:right="0" w:hanging="0"/>
              <w:jc w:val="left"/>
              <w:rPr/>
            </w:pPr>
            <w:r>
              <w:rPr/>
              <w:t>☐</w:t>
            </w:r>
          </w:p>
        </w:tc>
      </w:tr>
      <w:tr>
        <w:trPr/>
        <w:tc>
          <w:tcPr>
            <w:tcW w:w="60" w:type="dxa"/>
            <w:tcBorders/>
            <w:vAlign w:val="center"/>
          </w:tcPr>
          <w:p>
            <w:pPr>
              <w:pStyle w:val="TableContents"/>
              <w:bidi w:val="0"/>
              <w:spacing w:before="0" w:after="0"/>
              <w:ind w:left="0" w:right="0" w:hanging="0"/>
              <w:jc w:val="left"/>
              <w:rPr/>
            </w:pPr>
            <w:r>
              <w:rPr/>
              <w:t> </w:t>
            </w:r>
          </w:p>
        </w:tc>
        <w:tc>
          <w:tcPr>
            <w:tcW w:w="182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Emerging growth company</w:t>
            </w:r>
          </w:p>
        </w:tc>
        <w:tc>
          <w:tcPr>
            <w:tcW w:w="230"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pPr>
      <w:r>
        <w:rPr/>
        <w:t> </w:t>
      </w:r>
    </w:p>
    <w:p>
      <w:pPr>
        <w:pStyle w:val="TextBody"/>
        <w:bidi w:val="0"/>
        <w:spacing w:before="0" w:after="0"/>
        <w:ind w:left="294" w:right="294" w:firstLine="462"/>
        <w:jc w:val="both"/>
        <w:rPr>
          <w:rFonts w:ascii="Times New Roman" w:hAnsi="Times New Roman"/>
          <w:sz w:val="20"/>
        </w:rPr>
      </w:pPr>
      <w:r>
        <w:rPr>
          <w:rFonts w:ascii="Times New Roman" w:hAnsi="Times New Roman"/>
          <w:sz w:val="20"/>
        </w:rPr>
        <w:t>Indicate by check mark whether the registrant is a shell company (as defined in Rule 12b-2 of the Exchange Act).                                       Yes ☐  No ☒</w:t>
      </w:r>
    </w:p>
    <w:p>
      <w:pPr>
        <w:pStyle w:val="TextBody"/>
        <w:bidi w:val="0"/>
        <w:spacing w:before="0" w:after="0"/>
        <w:ind w:left="0" w:right="0" w:hanging="0"/>
        <w:jc w:val="left"/>
        <w:rPr/>
      </w:pPr>
      <w:r>
        <w:rPr/>
        <w:t> </w:t>
      </w:r>
    </w:p>
    <w:p>
      <w:pPr>
        <w:pStyle w:val="TextBody"/>
        <w:bidi w:val="0"/>
        <w:spacing w:before="0" w:after="0"/>
        <w:ind w:left="294" w:right="294" w:firstLine="461"/>
        <w:jc w:val="both"/>
        <w:rPr>
          <w:rFonts w:ascii="Times New Roman" w:hAnsi="Times New Roman"/>
          <w:sz w:val="20"/>
        </w:rPr>
      </w:pPr>
      <w:r>
        <w:rPr>
          <w:rFonts w:ascii="Times New Roman" w:hAnsi="Times New Roman"/>
          <w:sz w:val="20"/>
        </w:rPr>
        <w:t>As of May</w:t>
      </w:r>
      <w:r>
        <w:rPr>
          <w:rFonts w:ascii="Times New Roman" w:hAnsi="Times New Roman"/>
          <w:sz w:val="20"/>
          <w:shd w:fill="FFFFFF" w:val="clear"/>
        </w:rPr>
        <w:t> </w:t>
      </w:r>
      <w:r>
        <w:rPr>
          <w:rFonts w:ascii="Times New Roman" w:hAnsi="Times New Roman"/>
          <w:sz w:val="20"/>
        </w:rPr>
        <w:t>5, 2025, there were 55,544,354</w:t>
      </w:r>
      <w:r>
        <w:rPr>
          <w:rFonts w:ascii="Times New Roman" w:hAnsi="Times New Roman"/>
          <w:sz w:val="20"/>
          <w:shd w:fill="FFFFFF" w:val="clear"/>
        </w:rPr>
        <w:t> </w:t>
      </w:r>
      <w:r>
        <w:rPr>
          <w:rFonts w:ascii="Times New Roman" w:hAnsi="Times New Roman"/>
          <w:sz w:val="20"/>
        </w:rPr>
        <w:t>shares of the registrant’s Common Stock outstanding.</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Applied Optoelectronics, Inc.</w:t>
      </w:r>
    </w:p>
    <w:p>
      <w:pPr>
        <w:pStyle w:val="TextBody"/>
        <w:bidi w:val="0"/>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Table of Contents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653"/>
        <w:gridCol w:w="9141"/>
        <w:gridCol w:w="411"/>
      </w:tblGrid>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Page</w:t>
            </w:r>
          </w:p>
        </w:tc>
      </w:tr>
      <w:tr>
        <w:trPr/>
        <w:tc>
          <w:tcPr>
            <w:tcW w:w="10205" w:type="dxa"/>
            <w:gridSpan w:val="3"/>
            <w:tcBorders/>
            <w:vAlign w:val="center"/>
          </w:tcPr>
          <w:p>
            <w:pPr>
              <w:pStyle w:val="TableContents"/>
              <w:bidi w:val="0"/>
              <w:spacing w:before="0" w:after="0"/>
              <w:ind w:left="0" w:right="0" w:hanging="0"/>
              <w:jc w:val="left"/>
              <w:rPr/>
            </w:pPr>
            <w:hyperlink w:anchor="part1">
              <w:r>
                <w:rPr>
                  <w:rStyle w:val="InternetLink"/>
                  <w:rFonts w:ascii="Times New Roman;Times;serif" w:hAnsi="Times New Roman;Times;serif"/>
                  <w:b/>
                  <w:sz w:val="20"/>
                </w:rPr>
                <w:t>Part I. Financial Information</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9141" w:type="dxa"/>
            <w:tcBorders/>
            <w:vAlign w:val="center"/>
          </w:tcPr>
          <w:p>
            <w:pPr>
              <w:pStyle w:val="TableContents"/>
              <w:bidi w:val="0"/>
              <w:spacing w:before="0" w:after="0"/>
              <w:ind w:left="0" w:right="0" w:hanging="0"/>
              <w:jc w:val="left"/>
              <w:rPr/>
            </w:pPr>
            <w:hyperlink w:anchor="item1">
              <w:r>
                <w:rPr>
                  <w:rStyle w:val="InternetLink"/>
                  <w:rFonts w:ascii="Times New Roman;Times;serif" w:hAnsi="Times New Roman;Times;serif"/>
                  <w:sz w:val="20"/>
                </w:rPr>
                <w:t>Condensed Consolidated Financial Statements (Unaudited)</w:t>
              </w:r>
            </w:hyperlink>
          </w:p>
        </w:tc>
        <w:tc>
          <w:tcPr>
            <w:tcW w:w="411" w:type="dxa"/>
            <w:tcBorders/>
            <w:vAlign w:val="center"/>
          </w:tcPr>
          <w:p>
            <w:pPr>
              <w:pStyle w:val="TableContents"/>
              <w:bidi w:val="0"/>
              <w:spacing w:before="0" w:after="0"/>
              <w:ind w:left="0" w:right="0" w:hanging="0"/>
              <w:jc w:val="right"/>
              <w:rPr/>
            </w:pPr>
            <w:hyperlink w:anchor="item1">
              <w:r>
                <w:rPr>
                  <w:rStyle w:val="InternetLink"/>
                  <w:rFonts w:ascii="Times New Roman;Times;serif" w:hAnsi="Times New Roman;Times;serif"/>
                  <w:sz w:val="20"/>
                </w:rPr>
                <w:t>3</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0"/>
              <w:ind w:left="0" w:right="0" w:hanging="0"/>
              <w:jc w:val="left"/>
              <w:rPr/>
            </w:pPr>
            <w:hyperlink w:anchor="bs">
              <w:r>
                <w:rPr>
                  <w:rStyle w:val="InternetLink"/>
                  <w:rFonts w:ascii="Times New Roman;Times;serif" w:hAnsi="Times New Roman;Times;serif"/>
                  <w:sz w:val="20"/>
                </w:rPr>
                <w:t>Condensed Consolidated Balance Sheets as of March 31, 2025 (Unaudited) and December 31, 2024</w:t>
              </w:r>
            </w:hyperlink>
          </w:p>
        </w:tc>
        <w:tc>
          <w:tcPr>
            <w:tcW w:w="411" w:type="dxa"/>
            <w:tcBorders/>
            <w:vAlign w:val="center"/>
          </w:tcPr>
          <w:p>
            <w:pPr>
              <w:pStyle w:val="TableContents"/>
              <w:bidi w:val="0"/>
              <w:spacing w:before="0" w:after="0"/>
              <w:ind w:left="0" w:right="0" w:hanging="0"/>
              <w:jc w:val="right"/>
              <w:rPr/>
            </w:pPr>
            <w:hyperlink w:anchor="bs">
              <w:r>
                <w:rPr>
                  <w:rStyle w:val="InternetLink"/>
                  <w:rFonts w:ascii="Times New Roman;Times;serif" w:hAnsi="Times New Roman;Times;serif"/>
                  <w:sz w:val="20"/>
                </w:rPr>
                <w:t>3</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0"/>
              <w:ind w:left="0" w:right="0" w:hanging="0"/>
              <w:jc w:val="left"/>
              <w:rPr/>
            </w:pPr>
            <w:hyperlink w:anchor="ops">
              <w:r>
                <w:rPr>
                  <w:rStyle w:val="InternetLink"/>
                  <w:rFonts w:ascii="Times New Roman;Times;serif" w:hAnsi="Times New Roman;Times;serif"/>
                  <w:sz w:val="20"/>
                </w:rPr>
                <w:t>Condensed Consolidated Statements of Operations for the Three Months ended March 31, 2025 and 2024 (Unaudited)</w:t>
              </w:r>
            </w:hyperlink>
          </w:p>
        </w:tc>
        <w:tc>
          <w:tcPr>
            <w:tcW w:w="411" w:type="dxa"/>
            <w:tcBorders/>
            <w:vAlign w:val="center"/>
          </w:tcPr>
          <w:p>
            <w:pPr>
              <w:pStyle w:val="TableContents"/>
              <w:bidi w:val="0"/>
              <w:spacing w:before="0" w:after="0"/>
              <w:ind w:left="0" w:right="0" w:hanging="0"/>
              <w:jc w:val="right"/>
              <w:rPr/>
            </w:pPr>
            <w:hyperlink w:anchor="ops">
              <w:r>
                <w:rPr>
                  <w:rStyle w:val="InternetLink"/>
                  <w:rFonts w:ascii="Times New Roman;Times;serif" w:hAnsi="Times New Roman;Times;serif"/>
                  <w:sz w:val="20"/>
                </w:rPr>
                <w:t>4</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0"/>
              <w:ind w:left="0" w:right="0" w:hanging="0"/>
              <w:jc w:val="left"/>
              <w:rPr/>
            </w:pPr>
            <w:hyperlink w:anchor="compincome">
              <w:r>
                <w:rPr>
                  <w:rStyle w:val="InternetLink"/>
                  <w:rFonts w:ascii="Times New Roman;Times;serif" w:hAnsi="Times New Roman;Times;serif"/>
                  <w:sz w:val="20"/>
                </w:rPr>
                <w:t>Condensed Consolidated Statements of Comprehensive Income (Loss) for the Three Months ended March 31, 2025 and 2024 (Unaudited)</w:t>
              </w:r>
            </w:hyperlink>
          </w:p>
        </w:tc>
        <w:tc>
          <w:tcPr>
            <w:tcW w:w="411" w:type="dxa"/>
            <w:tcBorders/>
            <w:vAlign w:val="center"/>
          </w:tcPr>
          <w:p>
            <w:pPr>
              <w:pStyle w:val="TableContents"/>
              <w:bidi w:val="0"/>
              <w:spacing w:before="0" w:after="0"/>
              <w:ind w:left="0" w:right="0" w:hanging="0"/>
              <w:jc w:val="right"/>
              <w:rPr/>
            </w:pPr>
            <w:hyperlink w:anchor="compincome">
              <w:r>
                <w:rPr>
                  <w:rStyle w:val="InternetLink"/>
                  <w:rFonts w:ascii="Times New Roman;Times;serif" w:hAnsi="Times New Roman;Times;serif"/>
                  <w:sz w:val="20"/>
                </w:rPr>
                <w:t>5</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0"/>
              <w:ind w:left="0" w:right="0" w:hanging="0"/>
              <w:jc w:val="left"/>
              <w:rPr/>
            </w:pPr>
            <w:hyperlink w:anchor="eq">
              <w:r>
                <w:rPr>
                  <w:rStyle w:val="InternetLink"/>
                  <w:rFonts w:ascii="Times New Roman;Times;serif" w:hAnsi="Times New Roman;Times;serif"/>
                  <w:sz w:val="20"/>
                </w:rPr>
                <w:t>Condensed Consolidated Statements of Stockholders’ Equity for the Three Months ended March 31, 2025 and 2024 (Unaudited)</w:t>
              </w:r>
            </w:hyperlink>
          </w:p>
        </w:tc>
        <w:tc>
          <w:tcPr>
            <w:tcW w:w="411" w:type="dxa"/>
            <w:tcBorders/>
            <w:vAlign w:val="center"/>
          </w:tcPr>
          <w:p>
            <w:pPr>
              <w:pStyle w:val="TableContents"/>
              <w:bidi w:val="0"/>
              <w:spacing w:before="0" w:after="0"/>
              <w:ind w:left="0" w:right="0" w:hanging="0"/>
              <w:jc w:val="right"/>
              <w:rPr/>
            </w:pPr>
            <w:hyperlink w:anchor="eq">
              <w:r>
                <w:rPr>
                  <w:rStyle w:val="InternetLink"/>
                  <w:rFonts w:ascii="Times New Roman;Times;serif" w:hAnsi="Times New Roman;Times;serif"/>
                  <w:sz w:val="20"/>
                </w:rPr>
                <w:t>6</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0"/>
              <w:ind w:left="0" w:right="0" w:hanging="0"/>
              <w:jc w:val="left"/>
              <w:rPr/>
            </w:pPr>
            <w:hyperlink w:anchor="cf">
              <w:r>
                <w:rPr>
                  <w:rStyle w:val="InternetLink"/>
                  <w:rFonts w:ascii="Times New Roman;Times;serif" w:hAnsi="Times New Roman;Times;serif"/>
                  <w:sz w:val="20"/>
                </w:rPr>
                <w:t>Condensed Consolidated Statements of Cash Flows for the Three Months ended March 31, 2025 and 2024 (Unaudited)</w:t>
              </w:r>
            </w:hyperlink>
          </w:p>
        </w:tc>
        <w:tc>
          <w:tcPr>
            <w:tcW w:w="411" w:type="dxa"/>
            <w:tcBorders/>
            <w:vAlign w:val="center"/>
          </w:tcPr>
          <w:p>
            <w:pPr>
              <w:pStyle w:val="TableContents"/>
              <w:bidi w:val="0"/>
              <w:spacing w:before="0" w:after="0"/>
              <w:ind w:left="0" w:right="0" w:hanging="0"/>
              <w:jc w:val="right"/>
              <w:rPr/>
            </w:pPr>
            <w:hyperlink w:anchor="cf">
              <w:r>
                <w:rPr>
                  <w:rStyle w:val="InternetLink"/>
                  <w:rFonts w:ascii="Times New Roman;Times;serif" w:hAnsi="Times New Roman;Times;serif"/>
                  <w:sz w:val="20"/>
                </w:rPr>
                <w:t>7</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0"/>
              <w:ind w:left="0" w:right="0" w:hanging="0"/>
              <w:jc w:val="left"/>
              <w:rPr/>
            </w:pPr>
            <w:hyperlink w:anchor="notes">
              <w:r>
                <w:rPr>
                  <w:rStyle w:val="InternetLink"/>
                  <w:rFonts w:ascii="Times New Roman;Times;serif" w:hAnsi="Times New Roman;Times;serif"/>
                  <w:sz w:val="20"/>
                </w:rPr>
                <w:t>Notes To Condensed Consolidated Financial Statements (Unaudited)</w:t>
              </w:r>
            </w:hyperlink>
          </w:p>
        </w:tc>
        <w:tc>
          <w:tcPr>
            <w:tcW w:w="411" w:type="dxa"/>
            <w:tcBorders/>
            <w:vAlign w:val="center"/>
          </w:tcPr>
          <w:p>
            <w:pPr>
              <w:pStyle w:val="TableContents"/>
              <w:bidi w:val="0"/>
              <w:spacing w:before="0" w:after="0"/>
              <w:ind w:left="0" w:right="0" w:hanging="0"/>
              <w:jc w:val="right"/>
              <w:rPr/>
            </w:pPr>
            <w:hyperlink w:anchor="notes">
              <w:r>
                <w:rPr>
                  <w:rStyle w:val="InternetLink"/>
                  <w:rFonts w:ascii="Times New Roman;Times;serif" w:hAnsi="Times New Roman;Times;serif"/>
                  <w:sz w:val="20"/>
                </w:rPr>
                <w:t>8</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9141" w:type="dxa"/>
            <w:tcBorders/>
            <w:vAlign w:val="center"/>
          </w:tcPr>
          <w:p>
            <w:pPr>
              <w:pStyle w:val="TableContents"/>
              <w:bidi w:val="0"/>
              <w:spacing w:before="0" w:after="0"/>
              <w:ind w:left="0" w:right="0" w:hanging="0"/>
              <w:jc w:val="left"/>
              <w:rPr/>
            </w:pPr>
            <w:hyperlink w:anchor="item2">
              <w:r>
                <w:rPr>
                  <w:rStyle w:val="InternetLink"/>
                  <w:rFonts w:ascii="Times New Roman;Times;serif" w:hAnsi="Times New Roman;Times;serif"/>
                  <w:sz w:val="20"/>
                </w:rPr>
                <w:t>Management’s Discussion and Analysis of Financial Condition and Results of Operations</w:t>
              </w:r>
            </w:hyperlink>
          </w:p>
        </w:tc>
        <w:tc>
          <w:tcPr>
            <w:tcW w:w="411" w:type="dxa"/>
            <w:tcBorders/>
            <w:vAlign w:val="center"/>
          </w:tcPr>
          <w:p>
            <w:pPr>
              <w:pStyle w:val="TableContents"/>
              <w:bidi w:val="0"/>
              <w:spacing w:before="0" w:after="0"/>
              <w:ind w:left="0" w:right="0" w:hanging="0"/>
              <w:jc w:val="right"/>
              <w:rPr/>
            </w:pPr>
            <w:hyperlink w:anchor="item2">
              <w:r>
                <w:rPr>
                  <w:rStyle w:val="InternetLink"/>
                  <w:rFonts w:ascii="Times New Roman;Times;serif" w:hAnsi="Times New Roman;Times;serif"/>
                  <w:sz w:val="20"/>
                </w:rPr>
                <w:t>19</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9141" w:type="dxa"/>
            <w:tcBorders/>
            <w:vAlign w:val="center"/>
          </w:tcPr>
          <w:p>
            <w:pPr>
              <w:pStyle w:val="TableContents"/>
              <w:bidi w:val="0"/>
              <w:spacing w:before="0" w:after="0"/>
              <w:ind w:left="0" w:right="0" w:hanging="0"/>
              <w:jc w:val="left"/>
              <w:rPr/>
            </w:pPr>
            <w:hyperlink w:anchor="item3">
              <w:r>
                <w:rPr>
                  <w:rStyle w:val="InternetLink"/>
                  <w:rFonts w:ascii="Times New Roman;Times;serif" w:hAnsi="Times New Roman;Times;serif"/>
                  <w:sz w:val="20"/>
                </w:rPr>
                <w:t>Quantitative and Qualitative Disclosures About Market Risk</w:t>
              </w:r>
            </w:hyperlink>
          </w:p>
        </w:tc>
        <w:tc>
          <w:tcPr>
            <w:tcW w:w="411" w:type="dxa"/>
            <w:tcBorders/>
            <w:vAlign w:val="center"/>
          </w:tcPr>
          <w:p>
            <w:pPr>
              <w:pStyle w:val="TableContents"/>
              <w:bidi w:val="0"/>
              <w:spacing w:before="0" w:after="0"/>
              <w:ind w:left="0" w:right="0" w:hanging="0"/>
              <w:jc w:val="right"/>
              <w:rPr/>
            </w:pPr>
            <w:hyperlink w:anchor="item3">
              <w:r>
                <w:rPr>
                  <w:rStyle w:val="InternetLink"/>
                  <w:rFonts w:ascii="Times New Roman;Times;serif" w:hAnsi="Times New Roman;Times;serif"/>
                  <w:sz w:val="20"/>
                </w:rPr>
                <w:t>27</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6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9141" w:type="dxa"/>
            <w:tcBorders/>
            <w:vAlign w:val="center"/>
          </w:tcPr>
          <w:p>
            <w:pPr>
              <w:pStyle w:val="TableContents"/>
              <w:bidi w:val="0"/>
              <w:spacing w:before="0" w:after="0"/>
              <w:ind w:left="0" w:right="0" w:hanging="0"/>
              <w:jc w:val="left"/>
              <w:rPr/>
            </w:pPr>
            <w:hyperlink w:anchor="item4">
              <w:r>
                <w:rPr>
                  <w:rStyle w:val="InternetLink"/>
                  <w:rFonts w:ascii="Times New Roman;Times;serif" w:hAnsi="Times New Roman;Times;serif"/>
                  <w:sz w:val="20"/>
                </w:rPr>
                <w:t>Controls and Procedures</w:t>
              </w:r>
            </w:hyperlink>
          </w:p>
        </w:tc>
        <w:tc>
          <w:tcPr>
            <w:tcW w:w="411" w:type="dxa"/>
            <w:tcBorders/>
            <w:vAlign w:val="center"/>
          </w:tcPr>
          <w:p>
            <w:pPr>
              <w:pStyle w:val="TableContents"/>
              <w:bidi w:val="0"/>
              <w:spacing w:before="0" w:after="0"/>
              <w:ind w:left="0" w:right="0" w:hanging="0"/>
              <w:jc w:val="right"/>
              <w:rPr/>
            </w:pPr>
            <w:hyperlink w:anchor="item4">
              <w:r>
                <w:rPr>
                  <w:rStyle w:val="InternetLink"/>
                  <w:rFonts w:ascii="Times New Roman;Times;serif" w:hAnsi="Times New Roman;Times;serif"/>
                  <w:sz w:val="20"/>
                </w:rPr>
                <w:t>27</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right"/>
              <w:rPr/>
            </w:pPr>
            <w:r>
              <w:rPr/>
              <w:t> </w:t>
            </w:r>
          </w:p>
        </w:tc>
      </w:tr>
      <w:tr>
        <w:trPr/>
        <w:tc>
          <w:tcPr>
            <w:tcW w:w="10205" w:type="dxa"/>
            <w:gridSpan w:val="3"/>
            <w:tcBorders/>
            <w:vAlign w:val="center"/>
          </w:tcPr>
          <w:p>
            <w:pPr>
              <w:pStyle w:val="TableContents"/>
              <w:bidi w:val="0"/>
              <w:spacing w:before="0" w:after="0"/>
              <w:ind w:left="0" w:right="0" w:hanging="0"/>
              <w:jc w:val="left"/>
              <w:rPr/>
            </w:pPr>
            <w:hyperlink w:anchor="part2">
              <w:r>
                <w:rPr>
                  <w:rStyle w:val="InternetLink"/>
                  <w:rFonts w:ascii="Times New Roman;Times;serif" w:hAnsi="Times New Roman;Times;serif"/>
                  <w:b/>
                  <w:sz w:val="20"/>
                </w:rPr>
                <w:t>Part II. Other Information</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9141" w:type="dxa"/>
            <w:tcBorders/>
            <w:vAlign w:val="center"/>
          </w:tcPr>
          <w:p>
            <w:pPr>
              <w:pStyle w:val="TableContents"/>
              <w:bidi w:val="0"/>
              <w:spacing w:before="0" w:after="0"/>
              <w:ind w:left="0" w:right="0" w:hanging="0"/>
              <w:jc w:val="left"/>
              <w:rPr/>
            </w:pPr>
            <w:hyperlink w:anchor="legal">
              <w:r>
                <w:rPr>
                  <w:rStyle w:val="InternetLink"/>
                  <w:rFonts w:ascii="Times New Roman;Times;serif" w:hAnsi="Times New Roman;Times;serif"/>
                  <w:sz w:val="20"/>
                </w:rPr>
                <w:t>Legal Proceedings</w:t>
              </w:r>
            </w:hyperlink>
          </w:p>
        </w:tc>
        <w:tc>
          <w:tcPr>
            <w:tcW w:w="411" w:type="dxa"/>
            <w:tcBorders/>
            <w:vAlign w:val="center"/>
          </w:tcPr>
          <w:p>
            <w:pPr>
              <w:pStyle w:val="TableContents"/>
              <w:bidi w:val="0"/>
              <w:spacing w:before="0" w:after="0"/>
              <w:ind w:left="0" w:right="0" w:hanging="0"/>
              <w:jc w:val="right"/>
              <w:rPr/>
            </w:pPr>
            <w:hyperlink w:anchor="legal">
              <w:r>
                <w:rPr>
                  <w:rStyle w:val="InternetLink"/>
                  <w:rFonts w:ascii="Times New Roman;Times;serif" w:hAnsi="Times New Roman;Times;serif"/>
                  <w:sz w:val="20"/>
                </w:rPr>
                <w:t>27</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9141" w:type="dxa"/>
            <w:tcBorders/>
            <w:vAlign w:val="center"/>
          </w:tcPr>
          <w:p>
            <w:pPr>
              <w:pStyle w:val="TableContents"/>
              <w:bidi w:val="0"/>
              <w:spacing w:before="0" w:after="0"/>
              <w:ind w:left="0" w:right="0" w:hanging="0"/>
              <w:jc w:val="left"/>
              <w:rPr/>
            </w:pPr>
            <w:hyperlink w:anchor="risk">
              <w:r>
                <w:rPr>
                  <w:rStyle w:val="InternetLink"/>
                  <w:rFonts w:ascii="Times New Roman;Times;serif" w:hAnsi="Times New Roman;Times;serif"/>
                  <w:sz w:val="20"/>
                </w:rPr>
                <w:t>Risk Factors</w:t>
              </w:r>
            </w:hyperlink>
          </w:p>
        </w:tc>
        <w:tc>
          <w:tcPr>
            <w:tcW w:w="411" w:type="dxa"/>
            <w:tcBorders/>
            <w:vAlign w:val="center"/>
          </w:tcPr>
          <w:p>
            <w:pPr>
              <w:pStyle w:val="TableContents"/>
              <w:bidi w:val="0"/>
              <w:spacing w:before="0" w:after="0"/>
              <w:ind w:left="0" w:right="0" w:hanging="0"/>
              <w:jc w:val="right"/>
              <w:rPr/>
            </w:pPr>
            <w:hyperlink w:anchor="risk">
              <w:r>
                <w:rPr>
                  <w:rStyle w:val="InternetLink"/>
                  <w:rFonts w:ascii="Times New Roman;Times;serif" w:hAnsi="Times New Roman;Times;serif"/>
                  <w:sz w:val="20"/>
                </w:rPr>
                <w:t>27</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53" w:type="dxa"/>
            <w:tcBorders/>
            <w:vAlign w:val="center"/>
          </w:tcPr>
          <w:p>
            <w:pPr>
              <w:pStyle w:val="TableContents"/>
              <w:bidi w:val="0"/>
              <w:spacing w:before="0" w:after="283"/>
              <w:jc w:val="left"/>
              <w:rPr/>
            </w:pPr>
            <w:r>
              <w:rPr/>
              <w:t>Item 5.</w:t>
            </w:r>
          </w:p>
        </w:tc>
        <w:tc>
          <w:tcPr>
            <w:tcW w:w="9141" w:type="dxa"/>
            <w:tcBorders/>
            <w:vAlign w:val="center"/>
          </w:tcPr>
          <w:p>
            <w:pPr>
              <w:pStyle w:val="TableContents"/>
              <w:bidi w:val="0"/>
              <w:spacing w:before="0" w:after="283"/>
              <w:jc w:val="left"/>
              <w:rPr/>
            </w:pPr>
            <w:hyperlink w:anchor="item5">
              <w:r>
                <w:rPr>
                  <w:rStyle w:val="InternetLink"/>
                </w:rPr>
                <w:t>Other Information</w:t>
              </w:r>
            </w:hyperlink>
          </w:p>
        </w:tc>
        <w:tc>
          <w:tcPr>
            <w:tcW w:w="411" w:type="dxa"/>
            <w:tcBorders/>
            <w:vAlign w:val="center"/>
          </w:tcPr>
          <w:p>
            <w:pPr>
              <w:pStyle w:val="TableContents"/>
              <w:bidi w:val="0"/>
              <w:spacing w:before="0" w:after="283"/>
              <w:jc w:val="right"/>
              <w:rPr/>
            </w:pPr>
            <w:hyperlink w:anchor="item5">
              <w:r>
                <w:rPr>
                  <w:rStyle w:val="InternetLink"/>
                </w:rPr>
                <w:t>28</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5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9141" w:type="dxa"/>
            <w:tcBorders/>
            <w:vAlign w:val="center"/>
          </w:tcPr>
          <w:p>
            <w:pPr>
              <w:pStyle w:val="TableContents"/>
              <w:bidi w:val="0"/>
              <w:spacing w:before="0" w:after="0"/>
              <w:ind w:left="0" w:right="0" w:hanging="0"/>
              <w:jc w:val="left"/>
              <w:rPr/>
            </w:pPr>
            <w:hyperlink w:anchor="exhibits">
              <w:r>
                <w:rPr>
                  <w:rStyle w:val="InternetLink"/>
                  <w:rFonts w:ascii="Times New Roman;Times;serif" w:hAnsi="Times New Roman;Times;serif"/>
                  <w:sz w:val="20"/>
                </w:rPr>
                <w:t>Exhibits</w:t>
              </w:r>
            </w:hyperlink>
          </w:p>
        </w:tc>
        <w:tc>
          <w:tcPr>
            <w:tcW w:w="411" w:type="dxa"/>
            <w:tcBorders/>
            <w:vAlign w:val="center"/>
          </w:tcPr>
          <w:p>
            <w:pPr>
              <w:pStyle w:val="TableContents"/>
              <w:bidi w:val="0"/>
              <w:spacing w:before="0" w:after="0"/>
              <w:ind w:left="0" w:right="0" w:hanging="0"/>
              <w:jc w:val="right"/>
              <w:rPr/>
            </w:pPr>
            <w:hyperlink w:anchor="exhibits">
              <w:r>
                <w:rPr>
                  <w:rStyle w:val="InternetLink"/>
                  <w:rFonts w:ascii="Times New Roman;Times;serif" w:hAnsi="Times New Roman;Times;serif"/>
                  <w:sz w:val="20"/>
                </w:rPr>
                <w:t>28</w:t>
              </w:r>
            </w:hyperlink>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r>
      <w:tr>
        <w:trPr/>
        <w:tc>
          <w:tcPr>
            <w:tcW w:w="653" w:type="dxa"/>
            <w:tcBorders/>
            <w:vAlign w:val="center"/>
          </w:tcPr>
          <w:p>
            <w:pPr>
              <w:pStyle w:val="TableContents"/>
              <w:bidi w:val="0"/>
              <w:spacing w:before="0" w:after="283"/>
              <w:jc w:val="left"/>
              <w:rPr/>
            </w:pPr>
            <w:r>
              <w:rPr/>
              <w:t> </w:t>
            </w:r>
          </w:p>
        </w:tc>
        <w:tc>
          <w:tcPr>
            <w:tcW w:w="9141" w:type="dxa"/>
            <w:tcBorders/>
            <w:vAlign w:val="center"/>
          </w:tcPr>
          <w:p>
            <w:pPr>
              <w:pStyle w:val="TableContents"/>
              <w:bidi w:val="0"/>
              <w:spacing w:before="0" w:after="0"/>
              <w:ind w:left="0" w:right="0" w:hanging="0"/>
              <w:jc w:val="left"/>
              <w:rPr/>
            </w:pPr>
            <w:hyperlink w:anchor="sigs">
              <w:r>
                <w:rPr>
                  <w:rStyle w:val="InternetLink"/>
                  <w:rFonts w:ascii="Times New Roman;Times;serif" w:hAnsi="Times New Roman;Times;serif"/>
                  <w:sz w:val="20"/>
                </w:rPr>
                <w:t>Signatures</w:t>
              </w:r>
            </w:hyperlink>
          </w:p>
        </w:tc>
        <w:tc>
          <w:tcPr>
            <w:tcW w:w="411" w:type="dxa"/>
            <w:tcBorders/>
            <w:vAlign w:val="center"/>
          </w:tcPr>
          <w:p>
            <w:pPr>
              <w:pStyle w:val="TableContents"/>
              <w:bidi w:val="0"/>
              <w:spacing w:before="0" w:after="0"/>
              <w:ind w:left="0" w:right="0" w:hanging="0"/>
              <w:jc w:val="right"/>
              <w:rPr/>
            </w:pPr>
            <w:hyperlink w:anchor="sigs">
              <w:r>
                <w:rPr>
                  <w:rStyle w:val="InternetLink"/>
                  <w:rFonts w:ascii="Times New Roman;Times;serif" w:hAnsi="Times New Roman;Times;serif"/>
                  <w:sz w:val="20"/>
                </w:rPr>
                <w:t>29</w:t>
              </w:r>
            </w:hyperlink>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 w:name="part1"/>
      <w:bookmarkEnd w:id="3"/>
      <w:r>
        <w:rPr>
          <w:rFonts w:ascii="Times New Roman;Times;serif" w:hAnsi="Times New Roman;Times;serif"/>
          <w:b/>
          <w:sz w:val="20"/>
        </w:rPr>
        <w:t>Part I. Financial Information</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b/>
          <w:sz w:val="20"/>
        </w:rPr>
      </w:pPr>
      <w:bookmarkStart w:id="4" w:name="item1"/>
      <w:bookmarkEnd w:id="4"/>
      <w:r>
        <w:rPr>
          <w:rFonts w:ascii="Times New Roman;Times;serif" w:hAnsi="Times New Roman;Times;serif"/>
          <w:b/>
          <w:sz w:val="20"/>
        </w:rPr>
        <w:t>Item 1.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bookmarkStart w:id="5" w:name="bs"/>
      <w:bookmarkEnd w:id="5"/>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8026"/>
        <w:gridCol w:w="60"/>
        <w:gridCol w:w="125"/>
        <w:gridCol w:w="755"/>
        <w:gridCol w:w="80"/>
        <w:gridCol w:w="60"/>
        <w:gridCol w:w="144"/>
        <w:gridCol w:w="874"/>
        <w:gridCol w:w="81"/>
      </w:tblGrid>
      <w:tr>
        <w:trPr/>
        <w:tc>
          <w:tcPr>
            <w:tcW w:w="802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8"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67,428</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11,705</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116,801</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102,313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88,135</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17,199</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358,842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301,268</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241,453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219,235</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use rights,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4,837</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right of use asset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9,646</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3,680</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8,366</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644,668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547,032</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 AND STOCKHOLDERS' EQUITY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104,969</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acceptance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19,259</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22,091</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lease liability - operating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notes payable and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22,370</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191,007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170,069</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lease liability - operating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9,041</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Long term debt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75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1,811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shd w:fill="FFFFFF" w:val="clear"/>
            <w:vAlign w:val="center"/>
          </w:tcPr>
          <w:p>
            <w:pPr>
              <w:pStyle w:val="TableContents"/>
              <w:bidi w:val="0"/>
              <w:spacing w:before="0" w:after="0"/>
              <w:ind w:left="0" w:right="0" w:hanging="0"/>
              <w:jc w:val="left"/>
              <w:rPr/>
            </w:pPr>
            <w:r>
              <w:rPr/>
              <w:t> </w:t>
            </w:r>
          </w:p>
        </w:tc>
        <w:tc>
          <w:tcPr>
            <w:tcW w:w="874"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4,313</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senior notes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134,497</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335,655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317,920</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874"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Preferred Stock; 5,000 shares authorized at $0.001 par value; no shares issued and outstanding at March 31, 2025 and December 31, 2024, respectively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874" w:type="dxa"/>
            <w:tcBorders/>
            <w:shd w:fill="CCEEFF" w:val="clear"/>
            <w:vAlign w:val="center"/>
          </w:tcPr>
          <w:p>
            <w:pPr>
              <w:pStyle w:val="TableContents"/>
              <w:bidi w:val="0"/>
              <w:spacing w:before="0" w:after="283"/>
              <w:jc w:val="right"/>
              <w:rPr/>
            </w:pPr>
            <w:r>
              <w:rPr/>
              <w:t>—</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80,000 shares authorized at $0.001 par value; 53,212 and 49,393 shares issued and outstanding at March 31, 2025 and December 31, 2024, respectively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772,738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87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683,462</w:t>
            </w:r>
          </w:p>
        </w:tc>
        <w:tc>
          <w:tcPr>
            <w:tcW w:w="81" w:type="dxa"/>
            <w:tcBorders/>
            <w:shd w:fill="CCEEFF" w:val="clear"/>
            <w:vAlign w:val="center"/>
          </w:tcPr>
          <w:p>
            <w:pPr>
              <w:pStyle w:val="TableContents"/>
              <w:bidi w:val="0"/>
              <w:spacing w:before="0" w:after="283"/>
              <w:jc w:val="left"/>
              <w:rPr/>
            </w:pPr>
            <w:r>
              <w:rPr/>
              <w:t> </w:t>
            </w:r>
          </w:p>
        </w:tc>
      </w:tr>
      <w:tr>
        <w:trPr/>
        <w:tc>
          <w:tcPr>
            <w:tcW w:w="8026"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36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87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(2,548</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2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(461,023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(451,851</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26"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309,013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229,112</w:t>
            </w:r>
          </w:p>
        </w:tc>
        <w:tc>
          <w:tcPr>
            <w:tcW w:w="81" w:type="dxa"/>
            <w:tcBorders/>
            <w:shd w:fill="FFFFFF" w:val="clear"/>
            <w:vAlign w:val="center"/>
          </w:tcPr>
          <w:p>
            <w:pPr>
              <w:pStyle w:val="TableContents"/>
              <w:bidi w:val="0"/>
              <w:spacing w:before="0" w:after="283"/>
              <w:jc w:val="left"/>
              <w:rPr/>
            </w:pPr>
            <w:r>
              <w:rPr/>
              <w:t> </w:t>
            </w:r>
          </w:p>
        </w:tc>
      </w:tr>
      <w:tr>
        <w:trPr/>
        <w:tc>
          <w:tcPr>
            <w:tcW w:w="8026"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644,668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547,032</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i/>
          <w:sz w:val="20"/>
        </w:rPr>
        <w:t>The accompanying notes are an integral part of these condensed consolidated financial statements.</w:t>
      </w:r>
      <w:r>
        <w:rPr>
          <w:rFonts w:ascii="Times New Roman" w:hAnsi="Times New Roman"/>
          <w:sz w:val="20"/>
        </w:rPr>
        <w:t>​</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6" w:name="ops"/>
      <w:bookmarkEnd w:id="6"/>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per share data)</w:t>
      </w:r>
    </w:p>
    <w:p>
      <w:pPr>
        <w:pStyle w:val="TextBody"/>
        <w:bidi w:val="0"/>
        <w:spacing w:before="0" w:after="0"/>
        <w:ind w:left="0" w:right="0" w:hanging="0"/>
        <w:jc w:val="center"/>
        <w:rPr/>
      </w:pPr>
      <w:r>
        <w:rPr/>
        <w:t>​</w:t>
      </w:r>
    </w:p>
    <w:tbl>
      <w:tblPr>
        <w:tblW w:w="7617" w:type="dxa"/>
        <w:jc w:val="left"/>
        <w:tblInd w:w="0" w:type="dxa"/>
        <w:tblLayout w:type="fixed"/>
        <w:tblCellMar>
          <w:top w:w="0" w:type="dxa"/>
          <w:left w:w="0" w:type="dxa"/>
          <w:bottom w:w="0" w:type="dxa"/>
          <w:right w:w="0" w:type="dxa"/>
        </w:tblCellMar>
      </w:tblPr>
      <w:tblGrid>
        <w:gridCol w:w="4895"/>
        <w:gridCol w:w="60"/>
        <w:gridCol w:w="198"/>
        <w:gridCol w:w="935"/>
        <w:gridCol w:w="126"/>
        <w:gridCol w:w="95"/>
        <w:gridCol w:w="198"/>
        <w:gridCol w:w="1030"/>
        <w:gridCol w:w="80"/>
      </w:tblGrid>
      <w:tr>
        <w:trPr/>
        <w:tc>
          <w:tcPr>
            <w:tcW w:w="4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2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99,859</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40,673</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69,315</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33,082</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30,544</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7,591</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228"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17,810</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11,712</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5,357</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16,314</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13,727</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39,481</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29,237</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(8,937</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228"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w:t>
            </w:r>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98"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935"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198" w:type="dxa"/>
            <w:tcBorders>
              <w:top w:val="single" w:sz="2" w:space="0" w:color="000000"/>
            </w:tcBorders>
            <w:shd w:fill="CCEEFF" w:val="clear"/>
            <w:tcMar>
              <w:top w:w="28" w:type="dxa"/>
            </w:tcMar>
            <w:vAlign w:val="center"/>
          </w:tcPr>
          <w:p>
            <w:pPr>
              <w:pStyle w:val="TableContents"/>
              <w:bidi w:val="0"/>
              <w:spacing w:before="0" w:after="283"/>
              <w:ind w:left="0" w:right="0" w:hanging="0"/>
              <w:jc w:val="left"/>
              <w:rPr/>
            </w:pPr>
            <w:r>
              <w:rPr/>
              <w:t> </w:t>
            </w:r>
          </w:p>
        </w:tc>
        <w:tc>
          <w:tcPr>
            <w:tcW w:w="1030" w:type="dxa"/>
            <w:tcBorders>
              <w:top w:val="single" w:sz="2" w:space="0" w:color="000000"/>
            </w:tcBorders>
            <w:shd w:fill="CCEEFF" w:val="clear"/>
            <w:tcMar>
              <w:top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228"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9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33"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228"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to compute net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228"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4895"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50,041</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38,362</w:t>
            </w:r>
          </w:p>
        </w:tc>
        <w:tc>
          <w:tcPr>
            <w:tcW w:w="80" w:type="dxa"/>
            <w:tcBorders/>
            <w:shd w:fill="CCEEFF" w:val="clear"/>
            <w:vAlign w:val="center"/>
          </w:tcPr>
          <w:p>
            <w:pPr>
              <w:pStyle w:val="TableContents"/>
              <w:bidi w:val="0"/>
              <w:spacing w:before="0" w:after="283"/>
              <w:jc w:val="left"/>
              <w:rPr/>
            </w:pPr>
            <w:r>
              <w:rPr/>
              <w:t> </w:t>
            </w:r>
          </w:p>
        </w:tc>
      </w:tr>
      <w:tr>
        <w:trPr/>
        <w:tc>
          <w:tcPr>
            <w:tcW w:w="4895"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50,041</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38,362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7" w:name="compincome"/>
      <w:bookmarkEnd w:id="7"/>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COMPREHENSIVE INCOME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rPr/>
      </w:pPr>
      <w:r>
        <w:rPr/>
        <w:t>​</w:t>
      </w:r>
    </w:p>
    <w:tbl>
      <w:tblPr>
        <w:tblW w:w="6611" w:type="dxa"/>
        <w:jc w:val="left"/>
        <w:tblInd w:w="0" w:type="dxa"/>
        <w:tblLayout w:type="fixed"/>
        <w:tblCellMar>
          <w:top w:w="0" w:type="dxa"/>
          <w:left w:w="0" w:type="dxa"/>
          <w:bottom w:w="0" w:type="dxa"/>
          <w:right w:w="0" w:type="dxa"/>
        </w:tblCellMar>
      </w:tblPr>
      <w:tblGrid>
        <w:gridCol w:w="3890"/>
        <w:gridCol w:w="60"/>
        <w:gridCol w:w="203"/>
        <w:gridCol w:w="888"/>
        <w:gridCol w:w="130"/>
        <w:gridCol w:w="97"/>
        <w:gridCol w:w="203"/>
        <w:gridCol w:w="1060"/>
        <w:gridCol w:w="80"/>
      </w:tblGrid>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5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3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12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ind w:left="0" w:right="0" w:hanging="0"/>
              <w:jc w:val="left"/>
              <w:rPr/>
            </w:pPr>
            <w:r>
              <w:rPr/>
              <w:t> </w:t>
            </w:r>
          </w:p>
        </w:tc>
        <w:tc>
          <w:tcPr>
            <w:tcW w:w="20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13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FFFFFF" w:val="clear"/>
            <w:vAlign w:val="center"/>
          </w:tcPr>
          <w:p>
            <w:pPr>
              <w:pStyle w:val="TableContents"/>
              <w:bidi w:val="0"/>
              <w:spacing w:before="0" w:after="283"/>
              <w:jc w:val="left"/>
              <w:rPr/>
            </w:pPr>
            <w:r>
              <w:rPr/>
              <w:t> </w:t>
            </w:r>
          </w:p>
        </w:tc>
        <w:tc>
          <w:tcPr>
            <w:tcW w:w="20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(9,379</w:t>
            </w:r>
          </w:p>
        </w:tc>
        <w:tc>
          <w:tcPr>
            <w:tcW w:w="13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 w:type="dxa"/>
            <w:tcBorders/>
            <w:shd w:fill="CCEEFF" w:val="clear"/>
            <w:vAlign w:val="center"/>
          </w:tcPr>
          <w:p>
            <w:pPr>
              <w:pStyle w:val="TableContents"/>
              <w:bidi w:val="0"/>
              <w:spacing w:before="0" w:after="283"/>
              <w:ind w:left="0" w:right="0" w:hanging="0"/>
              <w:jc w:val="left"/>
              <w:rPr/>
            </w:pPr>
            <w:r>
              <w:rPr/>
              <w:t> </w:t>
            </w:r>
          </w:p>
        </w:tc>
        <w:tc>
          <w:tcPr>
            <w:tcW w:w="20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8" w:name="eq"/>
      <w:bookmarkEnd w:id="8"/>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CONDENSED CONSOLIDATED STATEMENTS OF STOCKHOLDERS’ EQUITY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Three Months ended March 31, 2025 and 2024</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 except for share amount)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18"/>
        <w:gridCol w:w="60"/>
        <w:gridCol w:w="124"/>
        <w:gridCol w:w="541"/>
        <w:gridCol w:w="72"/>
        <w:gridCol w:w="72"/>
        <w:gridCol w:w="184"/>
        <w:gridCol w:w="436"/>
        <w:gridCol w:w="60"/>
        <w:gridCol w:w="60"/>
        <w:gridCol w:w="71"/>
        <w:gridCol w:w="594"/>
        <w:gridCol w:w="64"/>
        <w:gridCol w:w="64"/>
        <w:gridCol w:w="184"/>
        <w:gridCol w:w="436"/>
        <w:gridCol w:w="60"/>
        <w:gridCol w:w="60"/>
        <w:gridCol w:w="130"/>
        <w:gridCol w:w="715"/>
        <w:gridCol w:w="80"/>
        <w:gridCol w:w="60"/>
        <w:gridCol w:w="205"/>
        <w:gridCol w:w="910"/>
        <w:gridCol w:w="80"/>
        <w:gridCol w:w="60"/>
        <w:gridCol w:w="139"/>
        <w:gridCol w:w="841"/>
        <w:gridCol w:w="80"/>
        <w:gridCol w:w="60"/>
        <w:gridCol w:w="152"/>
        <w:gridCol w:w="846"/>
        <w:gridCol w:w="87"/>
      </w:tblGrid>
      <w:tr>
        <w:trPr/>
        <w:tc>
          <w:tcPr>
            <w:tcW w:w="261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ind w:left="0" w:right="0" w:hanging="0"/>
              <w:jc w:val="left"/>
              <w:rPr/>
            </w:pPr>
            <w:r>
              <w:rPr/>
              <w:t> </w:t>
            </w:r>
          </w:p>
        </w:tc>
        <w:tc>
          <w:tcPr>
            <w:tcW w:w="62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62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8"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 w:type="dxa"/>
            <w:tcBorders/>
            <w:vAlign w:val="center"/>
          </w:tcPr>
          <w:p>
            <w:pPr>
              <w:pStyle w:val="TableContents"/>
              <w:bidi w:val="0"/>
              <w:spacing w:before="0" w:after="283"/>
              <w:jc w:val="left"/>
              <w:rPr/>
            </w:pPr>
            <w:r>
              <w:rPr/>
              <w:t> </w:t>
            </w:r>
          </w:p>
        </w:tc>
      </w:tr>
      <w:tr>
        <w:trPr/>
        <w:tc>
          <w:tcPr>
            <w:tcW w:w="261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142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xml:space="preserve">Common Stock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8"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7" w:type="dxa"/>
            <w:tcBorders/>
            <w:vAlign w:val="center"/>
          </w:tcPr>
          <w:p>
            <w:pPr>
              <w:pStyle w:val="TableContents"/>
              <w:bidi w:val="0"/>
              <w:spacing w:before="0" w:after="283"/>
              <w:jc w:val="left"/>
              <w:rPr/>
            </w:pPr>
            <w:r>
              <w:rPr/>
              <w:t> </w:t>
            </w:r>
          </w:p>
        </w:tc>
      </w:tr>
      <w:tr>
        <w:trPr/>
        <w:tc>
          <w:tcPr>
            <w:tcW w:w="261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ind w:left="0" w:right="0" w:hanging="0"/>
              <w:jc w:val="left"/>
              <w:rPr/>
            </w:pPr>
            <w:r>
              <w:rPr/>
              <w:t> </w:t>
            </w:r>
          </w:p>
        </w:tc>
        <w:tc>
          <w:tcPr>
            <w:tcW w:w="62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62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8"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87" w:type="dxa"/>
            <w:tcBorders/>
            <w:vAlign w:val="center"/>
          </w:tcPr>
          <w:p>
            <w:pPr>
              <w:pStyle w:val="TableContents"/>
              <w:bidi w:val="0"/>
              <w:spacing w:before="0" w:after="283"/>
              <w:jc w:val="left"/>
              <w:rPr/>
            </w:pPr>
            <w:r>
              <w:rPr/>
              <w:t> </w:t>
            </w:r>
          </w:p>
        </w:tc>
      </w:tr>
      <w:tr>
        <w:trPr/>
        <w:tc>
          <w:tcPr>
            <w:tcW w:w="2618"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gain (loss)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equity</w:t>
            </w:r>
          </w:p>
        </w:tc>
        <w:tc>
          <w:tcPr>
            <w:tcW w:w="87" w:type="dxa"/>
            <w:tcBorders/>
            <w:vAlign w:val="center"/>
          </w:tcPr>
          <w:p>
            <w:pPr>
              <w:pStyle w:val="TableContents"/>
              <w:bidi w:val="0"/>
              <w:spacing w:before="0" w:after="283"/>
              <w:jc w:val="left"/>
              <w:rPr/>
            </w:pPr>
            <w:r>
              <w:rPr/>
              <w:t> </w:t>
            </w:r>
          </w:p>
        </w:tc>
      </w:tr>
      <w:tr>
        <w:trPr/>
        <w:tc>
          <w:tcPr>
            <w:tcW w:w="26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as of December 31, 2024</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pPr>
            <w:r>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49,393</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683,462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(2,548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9"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(451,851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229,112</w:t>
            </w:r>
          </w:p>
        </w:tc>
        <w:tc>
          <w:tcPr>
            <w:tcW w:w="87" w:type="dxa"/>
            <w:tcBorders/>
            <w:shd w:fill="CCEEFF" w:val="clear"/>
            <w:vAlign w:val="center"/>
          </w:tcPr>
          <w:p>
            <w:pPr>
              <w:pStyle w:val="TableContents"/>
              <w:bidi w:val="0"/>
              <w:spacing w:before="0" w:after="283"/>
              <w:jc w:val="left"/>
              <w:rPr/>
            </w:pPr>
            <w:r>
              <w:rPr/>
              <w:t> </w:t>
            </w:r>
          </w:p>
        </w:tc>
      </w:tr>
      <w:tr>
        <w:trPr/>
        <w:tc>
          <w:tcPr>
            <w:tcW w:w="26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restricted stock,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283</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(1,686</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(1,686</w:t>
            </w:r>
          </w:p>
        </w:tc>
        <w:tc>
          <w:tcPr>
            <w:tcW w:w="8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ind w:left="0" w:right="0" w:hanging="0"/>
              <w:jc w:val="left"/>
              <w:rPr/>
            </w:pPr>
            <w:r>
              <w:rPr/>
              <w:t> </w:t>
            </w:r>
          </w:p>
        </w:tc>
        <w:tc>
          <w:tcPr>
            <w:tcW w:w="541" w:type="dxa"/>
            <w:tcBorders/>
            <w:shd w:fill="CCEEFF" w:val="clear"/>
            <w:vAlign w:val="center"/>
          </w:tcPr>
          <w:p>
            <w:pPr>
              <w:pStyle w:val="TableContents"/>
              <w:bidi w:val="0"/>
              <w:spacing w:before="0" w:after="283"/>
              <w:ind w:left="0" w:right="0" w:hanging="0"/>
              <w:jc w:val="right"/>
              <w:rPr/>
            </w:pPr>
            <w:r>
              <w:rPr>
                <w:rStyle w:val="Emphasis"/>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pPr>
            <w:r>
              <w:rPr>
                <w:rStyle w:val="Emphasis"/>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2,562</w:t>
            </w:r>
          </w:p>
        </w:tc>
        <w:tc>
          <w:tcPr>
            <w:tcW w:w="87" w:type="dxa"/>
            <w:tcBorders/>
            <w:shd w:fill="CCEEFF" w:val="clear"/>
            <w:vAlign w:val="center"/>
          </w:tcPr>
          <w:p>
            <w:pPr>
              <w:pStyle w:val="TableContents"/>
              <w:bidi w:val="0"/>
              <w:spacing w:before="0" w:after="283"/>
              <w:jc w:val="left"/>
              <w:rPr/>
            </w:pPr>
            <w:r>
              <w:rPr/>
              <w:t> </w:t>
            </w:r>
          </w:p>
        </w:tc>
      </w:tr>
      <w:tr>
        <w:trPr/>
        <w:tc>
          <w:tcPr>
            <w:tcW w:w="26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Public offering of common stock, net</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3,536</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71,662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71,666</w:t>
            </w:r>
          </w:p>
        </w:tc>
        <w:tc>
          <w:tcPr>
            <w:tcW w:w="87" w:type="dxa"/>
            <w:tcBorders/>
            <w:shd w:fill="FFFFFF" w:val="clear"/>
            <w:vAlign w:val="center"/>
          </w:tcPr>
          <w:p>
            <w:pPr>
              <w:pStyle w:val="TableContents"/>
              <w:bidi w:val="0"/>
              <w:spacing w:before="0" w:after="283"/>
              <w:jc w:val="left"/>
              <w:rPr/>
            </w:pPr>
            <w:r>
              <w:rPr/>
              <w:t> </w:t>
            </w:r>
          </w:p>
        </w:tc>
      </w:tr>
      <w:tr>
        <w:trPr/>
        <w:tc>
          <w:tcPr>
            <w:tcW w:w="26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Warrants contra revenue</w:t>
            </w:r>
          </w:p>
        </w:tc>
        <w:tc>
          <w:tcPr>
            <w:tcW w:w="60" w:type="dxa"/>
            <w:tcBorders/>
            <w:shd w:fill="CCEEFF" w:val="clear"/>
            <w:vAlign w:val="center"/>
          </w:tcPr>
          <w:p>
            <w:pPr>
              <w:pStyle w:val="TableContents"/>
              <w:bidi w:val="0"/>
              <w:spacing w:before="0" w:after="283"/>
              <w:jc w:val="left"/>
              <w:rPr/>
            </w:pPr>
            <w:r>
              <w:rPr/>
              <w:t> </w:t>
            </w:r>
          </w:p>
        </w:tc>
        <w:tc>
          <w:tcPr>
            <w:tcW w:w="124" w:type="dxa"/>
            <w:tcBorders/>
            <w:shd w:fill="CCEEFF" w:val="clear"/>
            <w:vAlign w:val="center"/>
          </w:tcPr>
          <w:p>
            <w:pPr>
              <w:pStyle w:val="TableContents"/>
              <w:bidi w:val="0"/>
              <w:spacing w:before="0" w:after="283"/>
              <w:jc w:val="left"/>
              <w:rPr/>
            </w:pPr>
            <w:r>
              <w:rPr/>
              <w:t> </w:t>
            </w:r>
          </w:p>
        </w:tc>
        <w:tc>
          <w:tcPr>
            <w:tcW w:w="541" w:type="dxa"/>
            <w:tcBorders/>
            <w:shd w:fill="CCEEFF" w:val="clear"/>
            <w:vAlign w:val="center"/>
          </w:tcPr>
          <w:p>
            <w:pPr>
              <w:pStyle w:val="TableContents"/>
              <w:bidi w:val="0"/>
              <w:spacing w:before="0" w:after="283"/>
              <w:jc w:val="left"/>
              <w:rPr/>
            </w:pPr>
            <w:r>
              <w:rPr>
                <w:rStyle w:val="Emphasis"/>
              </w:rPr>
              <w:t> </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pPr>
            <w:r>
              <w:rPr>
                <w:rStyle w:val="Emphasis"/>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16,738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84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16,738</w:t>
            </w:r>
          </w:p>
        </w:tc>
        <w:tc>
          <w:tcPr>
            <w:tcW w:w="87" w:type="dxa"/>
            <w:tcBorders/>
            <w:shd w:fill="CCEEFF" w:val="clear"/>
            <w:vAlign w:val="center"/>
          </w:tcPr>
          <w:p>
            <w:pPr>
              <w:pStyle w:val="TableContents"/>
              <w:bidi w:val="0"/>
              <w:spacing w:before="0" w:after="283"/>
              <w:jc w:val="left"/>
              <w:rPr/>
            </w:pPr>
            <w:r>
              <w:rPr/>
              <w:t> </w:t>
            </w:r>
          </w:p>
        </w:tc>
      </w:tr>
      <w:tr>
        <w:trPr/>
        <w:tc>
          <w:tcPr>
            <w:tcW w:w="26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4" w:type="dxa"/>
            <w:tcBorders/>
            <w:shd w:fill="FFFFFF" w:val="clear"/>
            <w:vAlign w:val="center"/>
          </w:tcPr>
          <w:p>
            <w:pPr>
              <w:pStyle w:val="TableContents"/>
              <w:bidi w:val="0"/>
              <w:spacing w:before="0" w:after="283"/>
              <w:ind w:left="0" w:right="0" w:hanging="0"/>
              <w:jc w:val="left"/>
              <w:rPr/>
            </w:pPr>
            <w:r>
              <w:rPr/>
              <w:t> </w:t>
            </w:r>
          </w:p>
        </w:tc>
        <w:tc>
          <w:tcPr>
            <w:tcW w:w="541" w:type="dxa"/>
            <w:tcBorders/>
            <w:shd w:fill="FFFFFF" w:val="clear"/>
            <w:vAlign w:val="center"/>
          </w:tcPr>
          <w:p>
            <w:pPr>
              <w:pStyle w:val="TableContents"/>
              <w:bidi w:val="0"/>
              <w:spacing w:before="0" w:after="283"/>
              <w:ind w:left="0" w:right="0" w:hanging="0"/>
              <w:jc w:val="right"/>
              <w:rPr/>
            </w:pPr>
            <w:r>
              <w:rPr>
                <w:rStyle w:val="Emphasis"/>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94" w:type="dxa"/>
            <w:tcBorders/>
            <w:shd w:fill="FFFFFF" w:val="clear"/>
            <w:vAlign w:val="center"/>
          </w:tcPr>
          <w:p>
            <w:pPr>
              <w:pStyle w:val="TableContents"/>
              <w:bidi w:val="0"/>
              <w:spacing w:before="0" w:after="283"/>
              <w:ind w:left="0" w:right="0" w:hanging="0"/>
              <w:jc w:val="right"/>
              <w:rPr/>
            </w:pPr>
            <w:r>
              <w:rPr>
                <w:rStyle w:val="Emphasis"/>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84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(207</w:t>
            </w:r>
          </w:p>
        </w:tc>
        <w:tc>
          <w:tcPr>
            <w:tcW w:w="87"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1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(9,172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(9,172</w:t>
            </w:r>
          </w:p>
        </w:tc>
        <w:tc>
          <w:tcPr>
            <w:tcW w:w="87"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61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2025</w:t>
            </w:r>
          </w:p>
        </w:tc>
        <w:tc>
          <w:tcPr>
            <w:tcW w:w="60" w:type="dxa"/>
            <w:tcBorders/>
            <w:shd w:fill="FFFFFF" w:val="clear"/>
            <w:vAlign w:val="center"/>
          </w:tcPr>
          <w:p>
            <w:pPr>
              <w:pStyle w:val="TableContents"/>
              <w:bidi w:val="0"/>
              <w:spacing w:before="0" w:after="283"/>
              <w:jc w:val="left"/>
              <w:rPr/>
            </w:pPr>
            <w:r>
              <w:rPr/>
              <w:t> </w:t>
            </w:r>
          </w:p>
        </w:tc>
        <w:tc>
          <w:tcPr>
            <w:tcW w:w="1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2"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53,212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772,738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(2,755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(461,023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309,013</w:t>
            </w:r>
          </w:p>
        </w:tc>
        <w:tc>
          <w:tcPr>
            <w:tcW w:w="87"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809"/>
        <w:gridCol w:w="60"/>
        <w:gridCol w:w="125"/>
        <w:gridCol w:w="544"/>
        <w:gridCol w:w="74"/>
        <w:gridCol w:w="74"/>
        <w:gridCol w:w="184"/>
        <w:gridCol w:w="436"/>
        <w:gridCol w:w="60"/>
        <w:gridCol w:w="60"/>
        <w:gridCol w:w="71"/>
        <w:gridCol w:w="598"/>
        <w:gridCol w:w="65"/>
        <w:gridCol w:w="65"/>
        <w:gridCol w:w="184"/>
        <w:gridCol w:w="436"/>
        <w:gridCol w:w="60"/>
        <w:gridCol w:w="60"/>
        <w:gridCol w:w="130"/>
        <w:gridCol w:w="715"/>
        <w:gridCol w:w="80"/>
        <w:gridCol w:w="60"/>
        <w:gridCol w:w="205"/>
        <w:gridCol w:w="910"/>
        <w:gridCol w:w="80"/>
        <w:gridCol w:w="60"/>
        <w:gridCol w:w="110"/>
        <w:gridCol w:w="665"/>
        <w:gridCol w:w="80"/>
        <w:gridCol w:w="60"/>
        <w:gridCol w:w="152"/>
        <w:gridCol w:w="848"/>
        <w:gridCol w:w="85"/>
      </w:tblGrid>
      <w:tr>
        <w:trPr/>
        <w:tc>
          <w:tcPr>
            <w:tcW w:w="280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9"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62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9"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62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 w:type="dxa"/>
            <w:tcBorders/>
            <w:vAlign w:val="center"/>
          </w:tcPr>
          <w:p>
            <w:pPr>
              <w:pStyle w:val="TableContents"/>
              <w:bidi w:val="0"/>
              <w:spacing w:before="0" w:after="283"/>
              <w:jc w:val="left"/>
              <w:rPr/>
            </w:pPr>
            <w:r>
              <w:rPr/>
              <w:t> </w:t>
            </w:r>
          </w:p>
        </w:tc>
      </w:tr>
      <w:tr>
        <w:trPr/>
        <w:tc>
          <w:tcPr>
            <w:tcW w:w="2809"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143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Preferred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1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 xml:space="preserve">Common Stock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Additional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18"/>
              </w:rPr>
            </w:pPr>
            <w:r>
              <w:rPr>
                <w:rFonts w:ascii="Times New Roman;Times;serif" w:hAnsi="Times New Roman;Times;serif"/>
                <w:b/>
                <w:caps w:val="false"/>
                <w:smallCaps w:val="false"/>
                <w:sz w:val="18"/>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5" w:type="dxa"/>
            <w:tcBorders/>
            <w:vAlign w:val="center"/>
          </w:tcPr>
          <w:p>
            <w:pPr>
              <w:pStyle w:val="TableContents"/>
              <w:bidi w:val="0"/>
              <w:spacing w:before="0" w:after="283"/>
              <w:jc w:val="left"/>
              <w:rPr/>
            </w:pPr>
            <w:r>
              <w:rPr/>
              <w:t> </w:t>
            </w:r>
          </w:p>
        </w:tc>
      </w:tr>
      <w:tr>
        <w:trPr/>
        <w:tc>
          <w:tcPr>
            <w:tcW w:w="2809"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66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62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9"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Number</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620"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0" w:type="dxa"/>
            <w:gridSpan w:val="2"/>
            <w:tcBorders/>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Stockholders'</w:t>
            </w:r>
          </w:p>
        </w:tc>
        <w:tc>
          <w:tcPr>
            <w:tcW w:w="85" w:type="dxa"/>
            <w:tcBorders/>
            <w:vAlign w:val="center"/>
          </w:tcPr>
          <w:p>
            <w:pPr>
              <w:pStyle w:val="TableContents"/>
              <w:bidi w:val="0"/>
              <w:spacing w:before="0" w:after="283"/>
              <w:jc w:val="left"/>
              <w:rPr/>
            </w:pPr>
            <w:r>
              <w:rPr/>
              <w:t> </w:t>
            </w:r>
          </w:p>
        </w:tc>
      </w:tr>
      <w:tr>
        <w:trPr/>
        <w:tc>
          <w:tcPr>
            <w:tcW w:w="2809"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66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74"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of shares</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capital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gain (loss)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0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18"/>
              </w:rPr>
              <w:t>equity</w:t>
            </w:r>
          </w:p>
        </w:tc>
        <w:tc>
          <w:tcPr>
            <w:tcW w:w="85" w:type="dxa"/>
            <w:tcBorders/>
            <w:vAlign w:val="center"/>
          </w:tcPr>
          <w:p>
            <w:pPr>
              <w:pStyle w:val="TableContents"/>
              <w:bidi w:val="0"/>
              <w:spacing w:before="0" w:after="283"/>
              <w:jc w:val="left"/>
              <w:rPr/>
            </w:pPr>
            <w:r>
              <w:rPr/>
              <w:t> </w:t>
            </w:r>
          </w:p>
        </w:tc>
      </w:tr>
      <w:tr>
        <w:trPr/>
        <w:tc>
          <w:tcPr>
            <w:tcW w:w="28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December 31, 2023</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4" w:type="dxa"/>
            <w:tcBorders/>
            <w:shd w:fill="CCEEFF" w:val="clear"/>
            <w:vAlign w:val="center"/>
          </w:tcPr>
          <w:p>
            <w:pPr>
              <w:pStyle w:val="TableContents"/>
              <w:bidi w:val="0"/>
              <w:spacing w:before="0" w:after="283"/>
              <w:ind w:left="0" w:right="0" w:hanging="0"/>
              <w:jc w:val="right"/>
              <w:rPr/>
            </w:pPr>
            <w:r>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38,148</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8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478,972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(265,116</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214,869</w:t>
            </w:r>
          </w:p>
        </w:tc>
        <w:tc>
          <w:tcPr>
            <w:tcW w:w="85" w:type="dxa"/>
            <w:tcBorders/>
            <w:shd w:fill="CCEEFF" w:val="clear"/>
            <w:vAlign w:val="center"/>
          </w:tcPr>
          <w:p>
            <w:pPr>
              <w:pStyle w:val="TableContents"/>
              <w:bidi w:val="0"/>
              <w:spacing w:before="0" w:after="283"/>
              <w:jc w:val="left"/>
              <w:rPr/>
            </w:pPr>
            <w:r>
              <w:rPr/>
              <w:t> </w:t>
            </w:r>
          </w:p>
        </w:tc>
      </w:tr>
      <w:tr>
        <w:trPr/>
        <w:tc>
          <w:tcPr>
            <w:tcW w:w="280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Issuance of restricted stock, net of shares withheld for employee tax</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4" w:type="dxa"/>
            <w:tcBorders/>
            <w:shd w:fill="FFFFFF" w:val="clear"/>
            <w:vAlign w:val="center"/>
          </w:tcPr>
          <w:p>
            <w:pPr>
              <w:pStyle w:val="TableContents"/>
              <w:bidi w:val="0"/>
              <w:spacing w:before="0" w:after="283"/>
              <w:ind w:left="0" w:right="0" w:hanging="0"/>
              <w:jc w:val="righ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309</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(1,011</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(1,010</w:t>
            </w:r>
          </w:p>
        </w:tc>
        <w:tc>
          <w:tcPr>
            <w:tcW w:w="8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8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4" w:type="dxa"/>
            <w:tcBorders/>
            <w:shd w:fill="CCEEFF" w:val="clear"/>
            <w:vAlign w:val="center"/>
          </w:tcPr>
          <w:p>
            <w:pPr>
              <w:pStyle w:val="TableContents"/>
              <w:bidi w:val="0"/>
              <w:spacing w:before="0" w:after="283"/>
              <w:ind w:left="0" w:right="0" w:hanging="0"/>
              <w:jc w:val="right"/>
              <w:rPr/>
            </w:pPr>
            <w:r>
              <w:rPr>
                <w:rStyle w:val="Emphasis"/>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pPr>
            <w:r>
              <w:rPr>
                <w:rStyle w:val="Emphasis"/>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2,839</w:t>
            </w:r>
          </w:p>
        </w:tc>
        <w:tc>
          <w:tcPr>
            <w:tcW w:w="85" w:type="dxa"/>
            <w:tcBorders/>
            <w:shd w:fill="CCEEFF" w:val="clear"/>
            <w:vAlign w:val="center"/>
          </w:tcPr>
          <w:p>
            <w:pPr>
              <w:pStyle w:val="TableContents"/>
              <w:bidi w:val="0"/>
              <w:spacing w:before="0" w:after="283"/>
              <w:jc w:val="left"/>
              <w:rPr/>
            </w:pPr>
            <w:r>
              <w:rPr/>
              <w:t> </w:t>
            </w:r>
          </w:p>
        </w:tc>
      </w:tr>
      <w:tr>
        <w:trPr/>
        <w:tc>
          <w:tcPr>
            <w:tcW w:w="280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Public offering of common stock,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4" w:type="dxa"/>
            <w:tcBorders/>
            <w:shd w:fill="FFFFFF" w:val="clear"/>
            <w:vAlign w:val="center"/>
          </w:tcPr>
          <w:p>
            <w:pPr>
              <w:pStyle w:val="TableContents"/>
              <w:bidi w:val="0"/>
              <w:spacing w:before="0" w:after="283"/>
              <w:ind w:left="0" w:right="0" w:hanging="0"/>
              <w:jc w:val="righ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270</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3,826</w:t>
            </w:r>
          </w:p>
        </w:tc>
        <w:tc>
          <w:tcPr>
            <w:tcW w:w="85" w:type="dxa"/>
            <w:tcBorders/>
            <w:shd w:fill="FFFFFF" w:val="clear"/>
            <w:vAlign w:val="center"/>
          </w:tcPr>
          <w:p>
            <w:pPr>
              <w:pStyle w:val="TableContents"/>
              <w:bidi w:val="0"/>
              <w:spacing w:before="0" w:after="283"/>
              <w:jc w:val="left"/>
              <w:rPr/>
            </w:pPr>
            <w:r>
              <w:rPr/>
              <w:t> </w:t>
            </w:r>
          </w:p>
        </w:tc>
      </w:tr>
      <w:tr>
        <w:trPr/>
        <w:tc>
          <w:tcPr>
            <w:tcW w:w="28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converted by Note Holder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44" w:type="dxa"/>
            <w:tcBorders/>
            <w:shd w:fill="CCEEFF" w:val="clear"/>
            <w:vAlign w:val="center"/>
          </w:tcPr>
          <w:p>
            <w:pPr>
              <w:pStyle w:val="TableContents"/>
              <w:bidi w:val="0"/>
              <w:spacing w:before="0" w:after="283"/>
              <w:jc w:val="left"/>
              <w:rPr>
                <w:sz w:val="4"/>
                <w:szCs w:val="4"/>
              </w:rPr>
            </w:pPr>
            <w:r>
              <w:rPr>
                <w:sz w:val="4"/>
                <w:szCs w:val="4"/>
              </w:rPr>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436"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9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43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shd w:fill="CCEEFF" w:val="clear"/>
            <w:vAlign w:val="center"/>
          </w:tcPr>
          <w:p>
            <w:pPr>
              <w:pStyle w:val="TableContents"/>
              <w:bidi w:val="0"/>
              <w:spacing w:before="0" w:after="283"/>
              <w:ind w:left="0" w:right="0" w:hanging="0"/>
              <w:jc w:val="left"/>
              <w:rPr/>
            </w:pPr>
            <w:r>
              <w:rPr/>
              <w:t> </w:t>
            </w:r>
          </w:p>
        </w:tc>
        <w:tc>
          <w:tcPr>
            <w:tcW w:w="71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2" w:type="dxa"/>
            <w:tcBorders/>
            <w:shd w:fill="CCEEFF" w:val="clear"/>
            <w:vAlign w:val="center"/>
          </w:tcPr>
          <w:p>
            <w:pPr>
              <w:pStyle w:val="TableContents"/>
              <w:bidi w:val="0"/>
              <w:spacing w:before="0" w:after="283"/>
              <w:ind w:left="0" w:right="0" w:hanging="0"/>
              <w:jc w:val="left"/>
              <w:rPr/>
            </w:pPr>
            <w:r>
              <w:rPr/>
              <w:t> </w:t>
            </w:r>
          </w:p>
        </w:tc>
        <w:tc>
          <w:tcPr>
            <w:tcW w:w="848"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37</w:t>
            </w:r>
          </w:p>
        </w:tc>
        <w:tc>
          <w:tcPr>
            <w:tcW w:w="85" w:type="dxa"/>
            <w:tcBorders/>
            <w:shd w:fill="CCEEFF" w:val="clear"/>
            <w:vAlign w:val="center"/>
          </w:tcPr>
          <w:p>
            <w:pPr>
              <w:pStyle w:val="TableContents"/>
              <w:bidi w:val="0"/>
              <w:spacing w:before="0" w:after="283"/>
              <w:jc w:val="left"/>
              <w:rPr/>
            </w:pPr>
            <w:r>
              <w:rPr/>
              <w:t> </w:t>
            </w:r>
          </w:p>
        </w:tc>
      </w:tr>
      <w:tr>
        <w:trPr/>
        <w:tc>
          <w:tcPr>
            <w:tcW w:w="280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4" w:type="dxa"/>
            <w:tcBorders/>
            <w:shd w:fill="FFFFFF" w:val="clear"/>
            <w:vAlign w:val="center"/>
          </w:tcPr>
          <w:p>
            <w:pPr>
              <w:pStyle w:val="TableContents"/>
              <w:bidi w:val="0"/>
              <w:spacing w:before="0" w:after="283"/>
              <w:ind w:left="0" w:right="0" w:hanging="0"/>
              <w:jc w:val="right"/>
              <w:rPr/>
            </w:pPr>
            <w:r>
              <w:rPr>
                <w:rStyle w:val="Emphasis"/>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98" w:type="dxa"/>
            <w:tcBorders/>
            <w:shd w:fill="FFFFFF" w:val="clear"/>
            <w:vAlign w:val="center"/>
          </w:tcPr>
          <w:p>
            <w:pPr>
              <w:pStyle w:val="TableContents"/>
              <w:bidi w:val="0"/>
              <w:spacing w:before="0" w:after="283"/>
              <w:ind w:left="0" w:right="0" w:hanging="0"/>
              <w:jc w:val="right"/>
              <w:rPr/>
            </w:pPr>
            <w:r>
              <w:rPr>
                <w:rStyle w:val="Emphasis"/>
              </w:rPr>
              <w:t>—</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43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shd w:fill="FFFFFF" w:val="clear"/>
            <w:vAlign w:val="center"/>
          </w:tcPr>
          <w:p>
            <w:pPr>
              <w:pStyle w:val="TableContents"/>
              <w:bidi w:val="0"/>
              <w:spacing w:before="0" w:after="283"/>
              <w:ind w:left="0" w:right="0" w:hanging="0"/>
              <w:jc w:val="left"/>
              <w:rPr/>
            </w:pPr>
            <w:r>
              <w:rPr/>
              <w:t> </w:t>
            </w:r>
          </w:p>
        </w:tc>
        <w:tc>
          <w:tcPr>
            <w:tcW w:w="71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(1,663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6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848"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(1,665</w:t>
            </w:r>
          </w:p>
        </w:tc>
        <w:tc>
          <w:tcPr>
            <w:tcW w:w="85"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80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74"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3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(23,170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(23,170</w:t>
            </w:r>
          </w:p>
        </w:tc>
        <w:tc>
          <w:tcPr>
            <w:tcW w:w="85"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280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March 31, 2024</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4" w:type="dxa"/>
            <w:tcBorders/>
            <w:shd w:fill="FFFFFF" w:val="clear"/>
            <w:vAlign w:val="center"/>
          </w:tcPr>
          <w:p>
            <w:pPr>
              <w:pStyle w:val="TableContents"/>
              <w:bidi w:val="0"/>
              <w:spacing w:before="0" w:after="283"/>
              <w:jc w:val="left"/>
              <w:rPr/>
            </w:pPr>
            <w:r>
              <w:rPr/>
              <w:t> </w:t>
            </w:r>
          </w:p>
        </w:tc>
        <w:tc>
          <w:tcPr>
            <w:tcW w:w="74"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38,729</w:t>
            </w:r>
          </w:p>
        </w:tc>
        <w:tc>
          <w:tcPr>
            <w:tcW w:w="65"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43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1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484,663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(288,288</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8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195,726</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9" w:name="cf"/>
      <w:bookmarkEnd w:id="9"/>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CONDENSED CONSOLIDATED STATEMENTS OF CASH FLOWS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 in thousands)</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0" w:type="dxa"/>
          <w:right w:w="0" w:type="dxa"/>
        </w:tblCellMar>
      </w:tblPr>
      <w:tblGrid>
        <w:gridCol w:w="7504"/>
        <w:gridCol w:w="60"/>
        <w:gridCol w:w="189"/>
        <w:gridCol w:w="985"/>
        <w:gridCol w:w="120"/>
        <w:gridCol w:w="90"/>
        <w:gridCol w:w="189"/>
        <w:gridCol w:w="985"/>
        <w:gridCol w:w="83"/>
      </w:tblGrid>
      <w:tr>
        <w:trPr/>
        <w:tc>
          <w:tcPr>
            <w:tcW w:w="75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174"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174"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w:t>
            </w:r>
          </w:p>
        </w:tc>
        <w:tc>
          <w:tcPr>
            <w:tcW w:w="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(23,170</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174"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Allowance of bad debt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reserve adjustment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1,872</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1,607</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5,725</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4,995</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 and premium</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Amortization of convertible notes premium</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(508</w:t>
            </w:r>
          </w:p>
        </w:tc>
        <w:tc>
          <w:tcPr>
            <w:tcW w:w="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on disposal of assets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2,562</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2,839</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 foreign exchange (gain)</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trade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(54,300</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(9,402</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Notes receivable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pPr>
            <w:r>
              <w:rPr/>
              <w:t>—</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(16,194</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7,291</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1,215</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right of use asset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19,896</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(9,253</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liabilities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(1,569</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(5,071</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Unearned revenue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pPr>
            <w:r>
              <w:rPr/>
              <w:t>—</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(50,915</w:t>
            </w:r>
          </w:p>
        </w:tc>
        <w:tc>
          <w:tcPr>
            <w:tcW w:w="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(28,481</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property, plant and equipment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(28,389</w:t>
            </w:r>
          </w:p>
        </w:tc>
        <w:tc>
          <w:tcPr>
            <w:tcW w:w="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(5,761</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Deposits and prepaid for equipment</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(7,847</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(2,190</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intangible assets</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2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(36,301</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(8,072</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activities: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174"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of long-term debt and notes payable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line of credit borrowings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6,546</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7,997</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line of credit borrowings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(11,143</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(7,027</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bank acceptance payable</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23,865</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10,175</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bank acceptance payable</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(19,178</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(14,912</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Principal payment on long term debt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(214</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of tax withholding on behalf of employees related to share-based compensation</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(1,686</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common stock offering, net</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71,665</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pPr>
            <w:r>
              <w:rPr/>
              <w:t> </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3,826</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70,014</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4,880</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(12,322</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(37,692</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beginning of period</w:t>
            </w:r>
          </w:p>
        </w:tc>
        <w:tc>
          <w:tcPr>
            <w:tcW w:w="6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79,133</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55,097</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66,811</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17,405</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net of amounts capitalized</w:t>
            </w:r>
          </w:p>
        </w:tc>
        <w:tc>
          <w:tcPr>
            <w:tcW w:w="6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ind w:left="0" w:right="0" w:hanging="0"/>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accounts payable related to property and equipment additions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504"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deposits and prepaid for equipment related to property and equipment additions</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(864</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ind w:left="0" w:right="0" w:hanging="0"/>
              <w:jc w:val="left"/>
              <w:rPr/>
            </w:pPr>
            <w:r>
              <w:rPr/>
              <w:t> </w:t>
            </w:r>
          </w:p>
        </w:tc>
        <w:tc>
          <w:tcPr>
            <w:tcW w:w="9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Non-cash operating and financing activities:</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7504"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 issued and vested to customer</w:t>
            </w:r>
          </w:p>
        </w:tc>
        <w:tc>
          <w:tcPr>
            <w:tcW w:w="6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16,739</w:t>
            </w:r>
          </w:p>
        </w:tc>
        <w:tc>
          <w:tcPr>
            <w:tcW w:w="120" w:type="dxa"/>
            <w:tcBorders/>
            <w:shd w:fill="CCEEFF" w:val="clear"/>
            <w:vAlign w:val="center"/>
          </w:tcPr>
          <w:p>
            <w:pPr>
              <w:pStyle w:val="TableContents"/>
              <w:bidi w:val="0"/>
              <w:spacing w:before="0" w:after="283"/>
              <w:jc w:val="left"/>
              <w:rPr/>
            </w:pPr>
            <w:r>
              <w:rPr/>
              <w:t> </w:t>
            </w:r>
          </w:p>
        </w:tc>
        <w:tc>
          <w:tcPr>
            <w:tcW w:w="90" w:type="dxa"/>
            <w:tcBorders/>
            <w:shd w:fill="CCEEFF" w:val="clear"/>
            <w:vAlign w:val="center"/>
          </w:tcPr>
          <w:p>
            <w:pPr>
              <w:pStyle w:val="TableContents"/>
              <w:bidi w:val="0"/>
              <w:spacing w:before="0" w:after="283"/>
              <w:jc w:val="left"/>
              <w:rPr/>
            </w:pPr>
            <w:r>
              <w:rPr/>
              <w:t> </w:t>
            </w:r>
          </w:p>
        </w:tc>
        <w:tc>
          <w:tcPr>
            <w:tcW w:w="189" w:type="dxa"/>
            <w:tcBorders/>
            <w:shd w:fill="CCEEFF" w:val="clear"/>
            <w:vAlign w:val="center"/>
          </w:tcPr>
          <w:p>
            <w:pPr>
              <w:pStyle w:val="TableContents"/>
              <w:bidi w:val="0"/>
              <w:spacing w:before="0" w:after="283"/>
              <w:jc w:val="left"/>
              <w:rPr/>
            </w:pPr>
            <w:r>
              <w:rPr/>
              <w:t> </w:t>
            </w:r>
          </w:p>
        </w:tc>
        <w:tc>
          <w:tcPr>
            <w:tcW w:w="985" w:type="dxa"/>
            <w:tcBorders/>
            <w:shd w:fill="CCEEFF" w:val="clear"/>
            <w:vAlign w:val="center"/>
          </w:tcPr>
          <w:p>
            <w:pPr>
              <w:pStyle w:val="TableContents"/>
              <w:bidi w:val="0"/>
              <w:spacing w:before="0" w:after="283"/>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750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jc w:val="left"/>
              <w:rPr/>
            </w:pPr>
            <w:r>
              <w:rPr/>
              <w:t> </w:t>
            </w:r>
          </w:p>
        </w:tc>
        <w:tc>
          <w:tcPr>
            <w:tcW w:w="90" w:type="dxa"/>
            <w:tcBorders/>
            <w:shd w:fill="FFFFFF" w:val="clear"/>
            <w:vAlign w:val="center"/>
          </w:tcPr>
          <w:p>
            <w:pPr>
              <w:pStyle w:val="TableContents"/>
              <w:bidi w:val="0"/>
              <w:spacing w:before="0" w:after="283"/>
              <w:jc w:val="left"/>
              <w:rPr/>
            </w:pPr>
            <w:r>
              <w:rPr/>
              <w:t> </w:t>
            </w:r>
          </w:p>
        </w:tc>
        <w:tc>
          <w:tcPr>
            <w:tcW w:w="189" w:type="dxa"/>
            <w:tcBorders/>
            <w:shd w:fill="FFFFFF" w:val="clear"/>
            <w:vAlign w:val="center"/>
          </w:tcPr>
          <w:p>
            <w:pPr>
              <w:pStyle w:val="TableContents"/>
              <w:bidi w:val="0"/>
              <w:spacing w:before="0" w:after="283"/>
              <w:jc w:val="left"/>
              <w:rPr/>
            </w:pPr>
            <w:r>
              <w:rPr/>
              <w:t> </w:t>
            </w:r>
          </w:p>
        </w:tc>
        <w:tc>
          <w:tcPr>
            <w:tcW w:w="985" w:type="dxa"/>
            <w:tcBorders/>
            <w:shd w:fill="FFFFFF" w:val="clear"/>
            <w:vAlign w:val="center"/>
          </w:tcPr>
          <w:p>
            <w:pPr>
              <w:pStyle w:val="TableContents"/>
              <w:bidi w:val="0"/>
              <w:spacing w:before="0" w:after="283"/>
              <w:jc w:val="right"/>
              <w:rPr/>
            </w:pPr>
            <w:r>
              <w:rPr/>
              <w:t> </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i/>
          <w:sz w:val="20"/>
        </w:rPr>
      </w:pPr>
      <w:r>
        <w:rPr>
          <w:rFonts w:ascii="Times New Roman;Times;serif" w:hAnsi="Times New Roman;Times;serif"/>
          <w:i/>
          <w:sz w:val="20"/>
        </w:rPr>
        <w:t>The accompanying notes are an integral part of these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10" w:name="notes"/>
      <w:bookmarkEnd w:id="10"/>
      <w:r>
        <w:rPr>
          <w:rFonts w:ascii="Times New Roman;Times;serif" w:hAnsi="Times New Roman;Times;serif"/>
          <w:b/>
          <w:sz w:val="20"/>
        </w:rPr>
        <w:t>Applied Optoelectronics, Inc. and Subsidiaries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(Unaudited)</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w:t>
      </w:r>
      <w:r>
        <w:rPr>
          <w:rFonts w:ascii="Times New Roman;Times;serif" w:hAnsi="Times New Roman;Times;serif"/>
          <w:b/>
          <w:sz w:val="20"/>
        </w:rPr>
        <w:t xml:space="preserve">   Description of Business​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Business Overview</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Applied Optoelectronics, Inc. ("AOI" or the "Company") is a Delaware corporation. The Company is a leading, vertically integrated provider of fiber-optic networking products, primarily for </w:t>
      </w:r>
      <w:r>
        <w:rPr>
          <w:rStyle w:val="Emphasis"/>
          <w:rFonts w:ascii="Times New Roman;Times;serif" w:hAnsi="Times New Roman;Times;serif"/>
          <w:sz w:val="20"/>
        </w:rPr>
        <w:t>four</w:t>
      </w:r>
      <w:r>
        <w:rPr>
          <w:rFonts w:ascii="Times New Roman;Times;serif" w:hAnsi="Times New Roman;Times;serif"/>
          <w:sz w:val="20"/>
        </w:rPr>
        <w:t xml:space="preserve"> networking end-markets: internet data center, cable television ("CATV"), telecommunications ("telecom") and fiber-to-the-home ("FTTH"). The Company designs and manufactures a wide range of optical communications products at varying levels of integration, from components, subassemblies and modules to complete turn-key equipment.</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Company has manufacturing and research and development facilities located in the U.S., Taiwan and China. In the U.S., at its corporate headquarters and manufacturing facilities in Sugar Land, Texas, the Company primarily manufactures lasers and laser components as well as certain of its data center transceivers and performs research and development activities for laser component and optical module products and certain data center transceiver products. In addition, the Company has a research and development facility in Duluth, Georgia. The Company operates in Taipei, Taiwan and Ningbo, China through its wholly-owned subsidiary Prime World International Holdings, Ltd. ("Prime World", incorporated in the British Virgin Islands). Prime World operates a branch in Taipei, Taiwan, which primarily manufactures certain of its data center transceivers and certain CATV systems and equipment and performs research and development activities for the transceiver products. Prime World is the parent of Global Technology, Inc. ("Global", incorporated in the People’s Republic of China). Through Global, the Company primarily manufactures certain of its data center transceiver products, including subassemblies, as well as CATV systems and equipment, and performs research and development activities for CATV and certain data center transceiver products.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Interim Financial Statements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The accompanying unaudited condensed consolidated financial statements of the Company as of </w:t>
      </w:r>
      <w:r>
        <w:rPr>
          <w:rStyle w:val="Emphasis"/>
          <w:rFonts w:ascii="Times New Roman;Times;serif" w:hAnsi="Times New Roman;Times;serif"/>
          <w:sz w:val="20"/>
        </w:rPr>
        <w:t xml:space="preserve"> March 31, 2025</w:t>
      </w:r>
      <w:r>
        <w:rPr>
          <w:rFonts w:ascii="Times New Roman;Times;serif" w:hAnsi="Times New Roman;Times;serif"/>
          <w:sz w:val="20"/>
        </w:rPr>
        <w:t xml:space="preserve"> and </w:t>
      </w:r>
      <w:r>
        <w:rPr>
          <w:rStyle w:val="Emphasis"/>
          <w:rFonts w:ascii="Times New Roman;Times;serif" w:hAnsi="Times New Roman;Times;serif"/>
          <w:sz w:val="20"/>
        </w:rPr>
        <w:t xml:space="preserve"> December 31, 2024</w:t>
      </w:r>
      <w:r>
        <w:rPr>
          <w:rFonts w:ascii="Times New Roman;Times;serif" w:hAnsi="Times New Roman;Times;serif"/>
          <w:sz w:val="20"/>
        </w:rPr>
        <w:t xml:space="preserve"> and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2025</w:t>
      </w:r>
      <w:r>
        <w:rPr>
          <w:rFonts w:ascii="Times New Roman;Times;serif" w:hAnsi="Times New Roman;Times;serif"/>
          <w:sz w:val="20"/>
        </w:rPr>
        <w:t xml:space="preserve"> and </w:t>
      </w:r>
      <w:r>
        <w:rPr>
          <w:rStyle w:val="Emphasis"/>
          <w:rFonts w:ascii="Times New Roman;Times;serif" w:hAnsi="Times New Roman;Times;serif"/>
          <w:sz w:val="20"/>
        </w:rPr>
        <w:t>March 31, 2024</w:t>
      </w:r>
      <w:r>
        <w:rPr>
          <w:rFonts w:ascii="Times New Roman;Times;serif" w:hAnsi="Times New Roman;Times;serif"/>
          <w:sz w:val="20"/>
        </w:rPr>
        <w:t xml:space="preserve">, have been prepared in accordance with accounting principles generally accepted in the United States of America ("GAAP") for interim information and with the instructions on Form </w:t>
      </w:r>
      <w:r>
        <w:rPr>
          <w:rStyle w:val="Emphasis"/>
          <w:rFonts w:ascii="Times New Roman;Times;serif" w:hAnsi="Times New Roman;Times;serif"/>
          <w:sz w:val="20"/>
        </w:rPr>
        <w:t>10</w:t>
      </w:r>
      <w:r>
        <w:rPr>
          <w:rFonts w:ascii="Times New Roman;Times;serif" w:hAnsi="Times New Roman;Times;serif"/>
          <w:sz w:val="20"/>
        </w:rPr>
        <w:t xml:space="preserve">-Q and Rule </w:t>
      </w:r>
      <w:r>
        <w:rPr>
          <w:rStyle w:val="Emphasis"/>
          <w:rFonts w:ascii="Times New Roman;Times;serif" w:hAnsi="Times New Roman;Times;serif"/>
          <w:sz w:val="20"/>
        </w:rPr>
        <w:t>10</w:t>
      </w:r>
      <w:r>
        <w:rPr>
          <w:rFonts w:ascii="Times New Roman;Times;serif" w:hAnsi="Times New Roman;Times;serif"/>
          <w:sz w:val="20"/>
        </w:rPr>
        <w:t>-</w:t>
      </w:r>
      <w:r>
        <w:rPr>
          <w:rStyle w:val="Emphasis"/>
          <w:rFonts w:ascii="Times New Roman;Times;serif" w:hAnsi="Times New Roman;Times;serif"/>
          <w:sz w:val="20"/>
        </w:rPr>
        <w:t>01</w:t>
      </w:r>
      <w:r>
        <w:rPr>
          <w:rFonts w:ascii="Times New Roman;Times;serif" w:hAnsi="Times New Roman;Times;serif"/>
          <w:sz w:val="20"/>
        </w:rPr>
        <w:t xml:space="preserve"> of Regulation S-</w:t>
      </w:r>
      <w:r>
        <w:rPr>
          <w:rStyle w:val="Emphasis"/>
          <w:rFonts w:ascii="Times New Roman;Times;serif" w:hAnsi="Times New Roman;Times;serif"/>
          <w:sz w:val="20"/>
        </w:rPr>
        <w:t>X</w:t>
      </w:r>
      <w:r>
        <w:rPr>
          <w:rFonts w:ascii="Times New Roman;Times;serif" w:hAnsi="Times New Roman;Times;serif"/>
          <w:sz w:val="20"/>
        </w:rPr>
        <w:t xml:space="preserve"> pursuant to the rules and regulations of the Securities and Exchange Commission ("SEC"). In accordance with those rules and regulations, the Company has omitted certain information and notes required by GAAP for annual consolidated financial statements. In the opinion of management, the condensed consolidated financial statements contain all adjustments, except as otherwise noted, necessary for the fair presentation of the Company’s financial position and results of operations for the periods presented. The year-end condensed balance sheet data was derived from audited financial statements. These condensed consolidated financial statements should be read in conjunction with the Consolidated Financial Statements and Notes thereto included in the Company’s Annual Report on Form </w:t>
      </w:r>
      <w:r>
        <w:rPr>
          <w:rStyle w:val="Emphasis"/>
          <w:rFonts w:ascii="Times New Roman;Times;serif" w:hAnsi="Times New Roman;Times;serif"/>
          <w:sz w:val="20"/>
        </w:rPr>
        <w:t>10</w:t>
      </w:r>
      <w:r>
        <w:rPr>
          <w:rFonts w:ascii="Times New Roman;Times;serif" w:hAnsi="Times New Roman;Times;serif"/>
          <w:sz w:val="20"/>
        </w:rPr>
        <w:t xml:space="preserve">-K ("Annual Report") for the fiscal year ended </w:t>
      </w:r>
      <w:r>
        <w:rPr>
          <w:rStyle w:val="Emphasis"/>
          <w:rFonts w:ascii="Times New Roman;Times;serif" w:hAnsi="Times New Roman;Times;serif"/>
          <w:sz w:val="20"/>
        </w:rPr>
        <w:t>December 31, 2024</w:t>
      </w:r>
      <w:r>
        <w:rPr>
          <w:rFonts w:ascii="Times New Roman;Times;serif" w:hAnsi="Times New Roman;Times;serif"/>
          <w:sz w:val="20"/>
        </w:rPr>
        <w:t>. The results of operations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2025</w:t>
      </w:r>
      <w:r>
        <w:rPr>
          <w:rFonts w:ascii="Times New Roman;Times;serif" w:hAnsi="Times New Roman;Times;serif"/>
          <w:sz w:val="20"/>
        </w:rPr>
        <w:t xml:space="preserve"> are </w:t>
      </w:r>
      <w:r>
        <w:rPr>
          <w:rStyle w:val="Emphasis"/>
          <w:rFonts w:ascii="Times New Roman;Times;serif" w:hAnsi="Times New Roman;Times;serif"/>
          <w:sz w:val="20"/>
        </w:rPr>
        <w:t>not</w:t>
      </w:r>
      <w:r>
        <w:rPr>
          <w:rFonts w:ascii="Times New Roman;Times;serif" w:hAnsi="Times New Roman;Times;serif"/>
          <w:sz w:val="20"/>
        </w:rPr>
        <w:t xml:space="preserve"> necessarily indicative of the results expected for the entire fiscal year. All significant inter-company accounts and transactions have been eliminated.</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Use of Estimates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preparation of financial statements in conformity with GAAP requires management to make estimates and assumptions that affect the amounts reported. Actual results could differ materially from those estimates in the consolidated financial statement</w:t>
      </w:r>
      <w:r>
        <w:rPr>
          <w:rFonts w:ascii="Times New Roman;Times;serif" w:hAnsi="Times New Roman;Times;serif"/>
          <w:sz w:val="20"/>
          <w:shd w:fill="FFFFFF" w:val="clear"/>
        </w:rPr>
        <w:t>s and accompanying notes. Significant estimates and assumptions that impact these financial statements and the accompanying notes relate to, among other things, revenue recognition, allowance for doubtful accounts, inventory reserve, impairment of long-lived assets, service and product warranty costs, share-based compensation expense, estimated useful lives of tangible and intangible assets, and taxes.</w:t>
      </w:r>
    </w:p>
    <w:p>
      <w:pPr>
        <w:pStyle w:val="TextBody"/>
        <w:bidi w:val="0"/>
        <w:spacing w:before="0" w:after="0"/>
        <w:ind w:left="0" w:right="0" w:firstLine="72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2.</w:t>
      </w:r>
      <w:r>
        <w:rPr>
          <w:rFonts w:ascii="Times New Roman;Times;serif" w:hAnsi="Times New Roman;Times;serif"/>
          <w:b/>
          <w:sz w:val="20"/>
        </w:rPr>
        <w:t>  Significant Accounting Policies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There have been </w:t>
      </w:r>
      <w:r>
        <w:rPr>
          <w:rStyle w:val="Emphasis"/>
          <w:rFonts w:ascii="Times New Roman;Times;serif" w:hAnsi="Times New Roman;Times;serif"/>
          <w:sz w:val="20"/>
        </w:rPr>
        <w:t>no</w:t>
      </w:r>
      <w:r>
        <w:rPr>
          <w:rFonts w:ascii="Times New Roman;Times;serif" w:hAnsi="Times New Roman;Times;serif"/>
          <w:sz w:val="20"/>
        </w:rPr>
        <w:t xml:space="preserve"> changes in the Company’s significant accounting policies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March 31, 2025</w:t>
      </w:r>
      <w:r>
        <w:rPr>
          <w:rFonts w:ascii="Times New Roman;Times;serif" w:hAnsi="Times New Roman;Times;serif"/>
          <w:sz w:val="20"/>
        </w:rPr>
        <w:t>, as compared to the significant accounting policies described in its </w:t>
      </w:r>
      <w:r>
        <w:rPr>
          <w:rStyle w:val="Emphasis"/>
          <w:rFonts w:ascii="Times New Roman;Times;serif" w:hAnsi="Times New Roman;Times;serif"/>
          <w:sz w:val="20"/>
        </w:rPr>
        <w:t>2024</w:t>
      </w:r>
      <w:r>
        <w:rPr>
          <w:rFonts w:ascii="Times New Roman;Times;serif" w:hAnsi="Times New Roman;Times;serif"/>
          <w:sz w:val="20"/>
        </w:rPr>
        <w:t xml:space="preserve"> Annual Report.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Recent Accounting Pronouncements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pPr>
      <w:r>
        <w:rPr>
          <w:caps w:val="false"/>
          <w:smallCaps w:val="false"/>
        </w:rPr>
        <w:t>           </w:t>
      </w:r>
      <w:r>
        <w:rPr>
          <w:rFonts w:ascii="Times New Roman" w:hAnsi="Times New Roman"/>
          <w:caps w:val="false"/>
          <w:smallCaps w:val="false"/>
          <w:sz w:val="20"/>
        </w:rPr>
        <w:t xml:space="preserve">There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accounting pronouncement adopted in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p>
    <w:p>
      <w:pPr>
        <w:pStyle w:val="TextBody"/>
        <w:bidi w:val="0"/>
        <w:spacing w:before="0" w:after="0"/>
        <w:ind w:left="160" w:right="0" w:hanging="0"/>
        <w:jc w:val="left"/>
        <w:rPr>
          <w:caps w:val="false"/>
          <w:smallCaps w:val="false"/>
        </w:rPr>
      </w:pPr>
      <w:r>
        <w:rPr>
          <w:caps w:val="false"/>
          <w:smallCaps w:val="false"/>
        </w:rPr>
        <w:t>         </w:t>
      </w:r>
      <w:r>
        <w:rPr>
          <w:caps w:val="false"/>
          <w:smallCaps w:val="false"/>
          <w:shd w:fill="FFFFFF" w:val="clear"/>
        </w:rPr>
        <w:t>​</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Recent Accounting Pronouncements Yet to be Adopted</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2024, </w:t>
      </w:r>
      <w:r>
        <w:rPr>
          <w:rFonts w:ascii="Times New Roman" w:hAnsi="Times New Roman"/>
          <w:caps w:val="false"/>
          <w:smallCaps w:val="false"/>
          <w:sz w:val="20"/>
        </w:rPr>
        <w:t>the Financial Accounting Standard Board ("FASB") issued Accounting Standard Update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"Income Statement: Reporting Comprehensive Income/Expense Disaggregation Disclosures (Subtopic </w:t>
      </w:r>
      <w:r>
        <w:rPr>
          <w:rStyle w:val="Emphasis"/>
          <w:rFonts w:ascii="Times New Roman" w:hAnsi="Times New Roman"/>
          <w:caps w:val="false"/>
          <w:smallCaps w:val="false"/>
          <w:sz w:val="20"/>
        </w:rPr>
        <w:t>220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to improve the disclosures about an entity's expenses. Upon adoption, we will be required to disclose in the notes a disaggregation of certain expense categories included within the expense captions of the income statement. The standard is effective for our </w:t>
      </w:r>
      <w:r>
        <w:rPr>
          <w:rStyle w:val="Emphasis"/>
          <w:rFonts w:ascii="Times New Roman" w:hAnsi="Times New Roman"/>
          <w:caps w:val="false"/>
          <w:smallCaps w:val="false"/>
          <w:sz w:val="20"/>
        </w:rPr>
        <w:t>2027</w:t>
      </w:r>
      <w:r>
        <w:rPr>
          <w:rFonts w:ascii="Times New Roman" w:hAnsi="Times New Roman"/>
          <w:caps w:val="false"/>
          <w:smallCaps w:val="false"/>
          <w:sz w:val="20"/>
        </w:rPr>
        <w:t> annual period, and our interim periods beginning in </w:t>
      </w:r>
      <w:r>
        <w:rPr>
          <w:rStyle w:val="Emphasis"/>
          <w:rFonts w:ascii="Times New Roman" w:hAnsi="Times New Roman"/>
          <w:caps w:val="false"/>
          <w:smallCaps w:val="false"/>
          <w:sz w:val="20"/>
        </w:rPr>
        <w:t>2028.</w:t>
      </w:r>
      <w:r>
        <w:rPr>
          <w:rFonts w:ascii="Times New Roman" w:hAnsi="Times New Roman"/>
          <w:caps w:val="false"/>
          <w:smallCaps w:val="false"/>
          <w:sz w:val="20"/>
        </w:rPr>
        <w:t> The Company is currently evaluating the impact of the new standard will have on its financial statements and related disclosures.</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December 2023,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"Income Taxes (Topic </w:t>
      </w:r>
      <w:r>
        <w:rPr>
          <w:rStyle w:val="Emphasis"/>
          <w:rFonts w:ascii="Times New Roman" w:hAnsi="Times New Roman"/>
          <w:caps w:val="false"/>
          <w:smallCaps w:val="false"/>
          <w:sz w:val="20"/>
        </w:rPr>
        <w:t>740</w:t>
      </w:r>
      <w:r>
        <w:rPr>
          <w:rFonts w:ascii="Times New Roman" w:hAnsi="Times New Roman"/>
          <w:caps w:val="false"/>
          <w:smallCaps w:val="false"/>
          <w:sz w:val="20"/>
        </w:rPr>
        <w:t>): Improvements to Income Tax Disclosures", which requires the Company to disclose disaggregated jurisdictional and categorical information for the tax rate reconciliation, income taxes paid and other income tax related amounts. This guidance is effective for annual periods beginning after </w:t>
      </w:r>
      <w:r>
        <w:rPr>
          <w:rStyle w:val="Emphasis"/>
          <w:rFonts w:ascii="Times New Roman" w:hAnsi="Times New Roman"/>
          <w:caps w:val="false"/>
          <w:smallCaps w:val="false"/>
          <w:sz w:val="20"/>
        </w:rPr>
        <w:t xml:space="preserve"> December 15, 2024, </w:t>
      </w:r>
      <w:r>
        <w:rPr>
          <w:rFonts w:ascii="Times New Roman" w:hAnsi="Times New Roman"/>
          <w:caps w:val="false"/>
          <w:smallCaps w:val="false"/>
          <w:sz w:val="20"/>
        </w:rPr>
        <w:t xml:space="preserve">with early adoption permitted.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09</w:t>
      </w:r>
      <w:r>
        <w:rPr>
          <w:rFonts w:ascii="Times New Roman" w:hAnsi="Times New Roman"/>
          <w:caps w:val="false"/>
          <w:smallCaps w:val="false"/>
          <w:sz w:val="20"/>
        </w:rPr>
        <w:t xml:space="preserve"> will be effective for the Company for the year ending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The adoption is expected to enhance the Company's Notes to the Consolidated Financial Statements. The Company is currently evaluating the impact the new standard will have on its annual financial statements and related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October 2023,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"Codification Amendments in Response to the SEC’s Disclosure Update and Simplification Initiative", which amends U.S. GAAP to include </w:t>
      </w:r>
      <w:r>
        <w:rPr>
          <w:rStyle w:val="Emphasis"/>
          <w:rFonts w:ascii="Times New Roman" w:hAnsi="Times New Roman"/>
          <w:caps w:val="false"/>
          <w:smallCaps w:val="false"/>
          <w:sz w:val="20"/>
        </w:rPr>
        <w:t>14</w:t>
      </w:r>
      <w:r>
        <w:rPr>
          <w:rFonts w:ascii="Times New Roman" w:hAnsi="Times New Roman"/>
          <w:caps w:val="false"/>
          <w:smallCaps w:val="false"/>
          <w:sz w:val="20"/>
        </w:rPr>
        <w:t> disclosure requirements that are currently required under SEC Regulation S-</w:t>
      </w:r>
      <w:r>
        <w:rPr>
          <w:rStyle w:val="Emphasis"/>
          <w:rFonts w:ascii="Times New Roman" w:hAnsi="Times New Roman"/>
          <w:caps w:val="false"/>
          <w:smallCaps w:val="false"/>
          <w:sz w:val="20"/>
        </w:rPr>
        <w:t>X</w:t>
      </w:r>
      <w:r>
        <w:rPr>
          <w:rFonts w:ascii="Times New Roman" w:hAnsi="Times New Roman"/>
          <w:caps w:val="false"/>
          <w:smallCaps w:val="false"/>
          <w:sz w:val="20"/>
        </w:rPr>
        <w:t> or Regulation S-K. Each amendment will be effective on the date on which the SEC removes the related disclosure requirement from SEC Regulation S-</w:t>
      </w:r>
      <w:r>
        <w:rPr>
          <w:rStyle w:val="Emphasis"/>
          <w:rFonts w:ascii="Times New Roman" w:hAnsi="Times New Roman"/>
          <w:caps w:val="false"/>
          <w:smallCaps w:val="false"/>
          <w:sz w:val="20"/>
        </w:rPr>
        <w:t>X</w:t>
      </w:r>
      <w:r>
        <w:rPr>
          <w:rFonts w:ascii="Times New Roman" w:hAnsi="Times New Roman"/>
          <w:caps w:val="false"/>
          <w:smallCaps w:val="false"/>
          <w:sz w:val="20"/>
        </w:rPr>
        <w:t> or Regulation S-K.  The Company has evaluated the new standard and determined that it will have </w:t>
      </w:r>
      <w:r>
        <w:rPr>
          <w:rStyle w:val="Emphasis"/>
          <w:rFonts w:ascii="Times New Roman" w:hAnsi="Times New Roman"/>
          <w:caps w:val="false"/>
          <w:smallCaps w:val="false"/>
          <w:sz w:val="20"/>
        </w:rPr>
        <w:t>no</w:t>
      </w:r>
      <w:r>
        <w:rPr>
          <w:rFonts w:ascii="Times New Roman" w:hAnsi="Times New Roman"/>
          <w:caps w:val="false"/>
          <w:smallCaps w:val="false"/>
          <w:sz w:val="20"/>
        </w:rPr>
        <w:t> material impact on its financial statements or disclosures since the Company is already subject to the relevant SEC disclosure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3.</w:t>
      </w:r>
      <w:r>
        <w:rPr>
          <w:rFonts w:ascii="Times New Roman;Times;serif" w:hAnsi="Times New Roman;Times;serif"/>
          <w:b/>
          <w:sz w:val="20"/>
        </w:rPr>
        <w:t>  Revenue Recognition</w:t>
      </w:r>
    </w:p>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Disaggregation of Revenue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rFonts w:ascii="Times New Roman;Times;serif" w:hAnsi="Times New Roman;Times;serif"/>
          <w:sz w:val="20"/>
        </w:rPr>
        <w:t xml:space="preserve">Revenue is classified based on the location where the product is manufactured. For additional information on the disaggregated revenues by geographical region, see Note </w:t>
      </w:r>
      <w:r>
        <w:rPr>
          <w:rStyle w:val="Emphasis"/>
          <w:rFonts w:ascii="Times New Roman;Times;serif" w:hAnsi="Times New Roman;Times;serif"/>
          <w:sz w:val="20"/>
        </w:rPr>
        <w:t>17,</w:t>
      </w:r>
      <w:r>
        <w:rPr>
          <w:rFonts w:ascii="Times New Roman;Times;serif" w:hAnsi="Times New Roman;Times;serif"/>
          <w:sz w:val="20"/>
        </w:rPr>
        <w:t xml:space="preserve"> "Segment and Geographic Information."</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Revenue is also classified by major product categories and is presented below (in thousands):</w:t>
      </w:r>
    </w:p>
    <w:p>
      <w:pPr>
        <w:pStyle w:val="TextBody"/>
        <w:bidi w:val="0"/>
        <w:spacing w:before="0" w:after="0"/>
        <w:ind w:left="0" w:right="0" w:hanging="0"/>
        <w:jc w:val="both"/>
        <w:rPr/>
      </w:pPr>
      <w:r>
        <w:rPr/>
        <w:t>​</w:t>
      </w:r>
    </w:p>
    <w:tbl>
      <w:tblPr>
        <w:tblW w:w="4830" w:type="dxa"/>
        <w:jc w:val="left"/>
        <w:tblInd w:w="0" w:type="dxa"/>
        <w:tblLayout w:type="fixed"/>
        <w:tblCellMar>
          <w:top w:w="0" w:type="dxa"/>
          <w:left w:w="0" w:type="dxa"/>
          <w:bottom w:w="0" w:type="dxa"/>
          <w:right w:w="0" w:type="dxa"/>
        </w:tblCellMar>
      </w:tblPr>
      <w:tblGrid>
        <w:gridCol w:w="1220"/>
        <w:gridCol w:w="60"/>
        <w:gridCol w:w="125"/>
        <w:gridCol w:w="590"/>
        <w:gridCol w:w="60"/>
        <w:gridCol w:w="60"/>
        <w:gridCol w:w="79"/>
        <w:gridCol w:w="646"/>
        <w:gridCol w:w="185"/>
        <w:gridCol w:w="60"/>
        <w:gridCol w:w="125"/>
        <w:gridCol w:w="590"/>
        <w:gridCol w:w="60"/>
        <w:gridCol w:w="60"/>
        <w:gridCol w:w="79"/>
        <w:gridCol w:w="646"/>
        <w:gridCol w:w="185"/>
      </w:tblGrid>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6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CATV</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Center</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6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FTTH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6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2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Unearned Revenue</w:t>
      </w:r>
    </w:p>
    <w:p>
      <w:pPr>
        <w:pStyle w:val="TextBody"/>
        <w:bidi w:val="0"/>
        <w:spacing w:before="0" w:after="0"/>
        <w:ind w:left="0" w:right="0" w:hanging="0"/>
        <w:jc w:val="left"/>
        <w:rPr/>
      </w:pPr>
      <w:r>
        <w:rPr/>
        <w:t>​</w:t>
      </w:r>
    </w:p>
    <w:p>
      <w:pPr>
        <w:pStyle w:val="TextBody"/>
        <w:bidi w:val="0"/>
        <w:spacing w:before="0" w:after="0"/>
        <w:ind w:left="0" w:right="0" w:firstLine="720"/>
        <w:jc w:val="both"/>
        <w:rPr/>
      </w:pPr>
      <w:r>
        <w:rPr>
          <w:rFonts w:ascii="Times New Roman;Times;serif" w:hAnsi="Times New Roman;Times;serif"/>
          <w:sz w:val="20"/>
        </w:rPr>
        <w:t>We record unearned revenues when cash payments are received or due in advance of our performance, including amounts which are refundable. Unearned revenues solely relate to statement of work with Microsoft regarding contract prices allocated to the performance obligations that are unsatisfied, or partially unsatisfied, as of the balance sheet dates. Unearned revenue balance as of </w:t>
      </w:r>
      <w:r>
        <w:rPr>
          <w:rStyle w:val="Emphasis"/>
          <w:rFonts w:ascii="Times New Roman;Times;serif" w:hAnsi="Times New Roman;Times;serif"/>
          <w:sz w:val="20"/>
        </w:rPr>
        <w:t xml:space="preserve"> March 31, 2025</w:t>
      </w:r>
      <w:r>
        <w:rPr>
          <w:rFonts w:ascii="Times New Roman;Times;serif" w:hAnsi="Times New Roman;Times;serif"/>
          <w:sz w:val="20"/>
        </w:rPr>
        <w:t xml:space="preserve"> and </w:t>
      </w:r>
      <w:r>
        <w:rPr>
          <w:rStyle w:val="Emphasis"/>
          <w:rFonts w:ascii="Times New Roman;Times;serif" w:hAnsi="Times New Roman;Times;serif"/>
          <w:sz w:val="20"/>
        </w:rPr>
        <w:t xml:space="preserve"> December 31, 2024</w:t>
      </w:r>
      <w:r>
        <w:rPr>
          <w:rFonts w:ascii="Times New Roman;Times;serif" w:hAnsi="Times New Roman;Times;serif"/>
          <w:sz w:val="20"/>
        </w:rPr>
        <w:t xml:space="preserve"> were both zero.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March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revenue recognized from the unearned revenue balance was $0 and $0.1 million, respectively. </w:t>
      </w:r>
    </w:p>
    <w:p>
      <w:pPr>
        <w:pStyle w:val="TextBody"/>
        <w:bidi w:val="0"/>
        <w:spacing w:before="0" w:after="0"/>
        <w:ind w:left="0" w:right="0" w:hanging="0"/>
        <w:jc w:val="left"/>
        <w:rPr/>
      </w:pPr>
      <w:r>
        <w:rPr/>
        <w:t>   </w:t>
      </w:r>
    </w:p>
    <w:tbl>
      <w:tblPr>
        <w:tblW w:w="5902" w:type="dxa"/>
        <w:jc w:val="left"/>
        <w:tblInd w:w="0" w:type="dxa"/>
        <w:tblLayout w:type="fixed"/>
        <w:tblCellMar>
          <w:top w:w="0" w:type="dxa"/>
          <w:left w:w="0" w:type="dxa"/>
          <w:bottom w:w="0" w:type="dxa"/>
          <w:right w:w="0" w:type="dxa"/>
        </w:tblCellMar>
      </w:tblPr>
      <w:tblGrid>
        <w:gridCol w:w="3200"/>
        <w:gridCol w:w="60"/>
        <w:gridCol w:w="289"/>
        <w:gridCol w:w="602"/>
        <w:gridCol w:w="139"/>
        <w:gridCol w:w="139"/>
        <w:gridCol w:w="289"/>
        <w:gridCol w:w="1124"/>
        <w:gridCol w:w="60"/>
      </w:tblGrid>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2" w:type="dxa"/>
            <w:gridSpan w:val="6"/>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91" w:type="dxa"/>
            <w:gridSpan w:val="2"/>
            <w:tcBorders>
              <w:bottom w:val="single" w:sz="2" w:space="0" w:color="000000"/>
            </w:tcBorders>
            <w:shd w:fill="CCEEFF" w:val="clear"/>
            <w:tcMar>
              <w:bottom w:w="28" w:type="dxa"/>
            </w:tcMar>
            <w:vAlign w:val="center"/>
          </w:tcPr>
          <w:p>
            <w:pPr>
              <w:pStyle w:val="TableContents"/>
              <w:bidi w:val="0"/>
              <w:spacing w:before="0" w:after="0"/>
              <w:jc w:val="center"/>
              <w:rPr/>
            </w:pPr>
            <w:r>
              <w:rPr>
                <w:rStyle w:val="Emphasis"/>
                <w:rFonts w:ascii="Times New Roman;Times;serif" w:hAnsi="Times New Roman;Times;serif"/>
                <w:sz w:val="20"/>
              </w:rPr>
              <w:t>2025</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1413" w:type="dxa"/>
            <w:gridSpan w:val="2"/>
            <w:tcBorders>
              <w:bottom w:val="single" w:sz="2" w:space="0" w:color="000000"/>
            </w:tcBorders>
            <w:shd w:fill="CCEEFF" w:val="clear"/>
            <w:tcMar>
              <w:bottom w:w="28" w:type="dxa"/>
            </w:tcMar>
            <w:vAlign w:val="center"/>
          </w:tcPr>
          <w:p>
            <w:pPr>
              <w:pStyle w:val="TableContents"/>
              <w:bidi w:val="0"/>
              <w:spacing w:before="0" w:after="0"/>
              <w:jc w:val="center"/>
              <w:rPr/>
            </w:pPr>
            <w:r>
              <w:rPr>
                <w:rStyle w:val="Emphasis"/>
                <w:rFonts w:ascii="Times New Roman;Times;serif" w:hAnsi="Times New Roman;Times;serif"/>
                <w:sz w:val="20"/>
              </w:rPr>
              <w:t>2024</w:t>
            </w:r>
          </w:p>
        </w:tc>
        <w:tc>
          <w:tcPr>
            <w:tcW w:w="6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Unearned revenue, beginning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shd w:fill="FFFFFF" w:val="clear"/>
            <w:vAlign w:val="center"/>
          </w:tcPr>
          <w:p>
            <w:pPr>
              <w:pStyle w:val="TableContents"/>
              <w:bidi w:val="0"/>
              <w:spacing w:before="0" w:after="283"/>
              <w:ind w:left="0" w:right="0" w:hanging="0"/>
              <w:jc w:val="right"/>
              <w:rPr/>
            </w:pPr>
            <w:r>
              <w:rPr/>
              <w:t>—</w:t>
            </w:r>
          </w:p>
        </w:tc>
        <w:tc>
          <w:tcPr>
            <w:tcW w:w="13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ind w:left="0" w:right="0" w:hanging="0"/>
              <w:jc w:val="left"/>
              <w:rPr/>
            </w:pPr>
            <w:r>
              <w:rPr/>
              <w:t> </w:t>
            </w:r>
          </w:p>
        </w:tc>
        <w:tc>
          <w:tcPr>
            <w:tcW w:w="28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1,803</w:t>
            </w:r>
          </w:p>
        </w:tc>
        <w:tc>
          <w:tcPr>
            <w:tcW w:w="6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unearned revenue</w:t>
            </w:r>
          </w:p>
        </w:tc>
        <w:tc>
          <w:tcPr>
            <w:tcW w:w="60"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602" w:type="dxa"/>
            <w:tcBorders/>
            <w:shd w:fill="CCEEFF" w:val="clear"/>
            <w:vAlign w:val="center"/>
          </w:tcPr>
          <w:p>
            <w:pPr>
              <w:pStyle w:val="TableContents"/>
              <w:bidi w:val="0"/>
              <w:spacing w:before="0" w:after="283"/>
              <w:ind w:left="0" w:right="0" w:hanging="0"/>
              <w:jc w:val="right"/>
              <w:rPr/>
            </w:pPr>
            <w:r>
              <w:rPr/>
              <w:t>—</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289" w:type="dxa"/>
            <w:tcBorders/>
            <w:shd w:fill="CCEEFF" w:val="clear"/>
            <w:vAlign w:val="center"/>
          </w:tcPr>
          <w:p>
            <w:pPr>
              <w:pStyle w:val="TableContents"/>
              <w:bidi w:val="0"/>
              <w:spacing w:before="0" w:after="283"/>
              <w:ind w:left="0" w:right="0" w:hanging="0"/>
              <w:jc w:val="left"/>
              <w:rPr/>
            </w:pPr>
            <w:r>
              <w:rPr/>
              <w:t> </w:t>
            </w:r>
          </w:p>
        </w:tc>
        <w:tc>
          <w:tcPr>
            <w:tcW w:w="112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32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recognized</w:t>
            </w:r>
          </w:p>
        </w:tc>
        <w:tc>
          <w:tcPr>
            <w:tcW w:w="60" w:type="dxa"/>
            <w:tcBorders/>
            <w:shd w:fill="FFFFFF" w:val="clear"/>
            <w:vAlign w:val="center"/>
          </w:tcPr>
          <w:p>
            <w:pPr>
              <w:pStyle w:val="TableContents"/>
              <w:bidi w:val="0"/>
              <w:spacing w:before="0" w:after="283"/>
              <w:jc w:val="left"/>
              <w:rPr/>
            </w:pPr>
            <w:r>
              <w:rPr/>
              <w:t> </w:t>
            </w:r>
          </w:p>
        </w:tc>
        <w:tc>
          <w:tcPr>
            <w:tcW w:w="2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39" w:type="dxa"/>
            <w:tcBorders/>
            <w:shd w:fill="FFFFFF" w:val="clear"/>
            <w:vAlign w:val="center"/>
          </w:tcPr>
          <w:p>
            <w:pPr>
              <w:pStyle w:val="TableContents"/>
              <w:bidi w:val="0"/>
              <w:spacing w:before="0" w:after="283"/>
              <w:jc w:val="left"/>
              <w:rPr/>
            </w:pPr>
            <w:r>
              <w:rPr/>
              <w:t> </w:t>
            </w:r>
          </w:p>
        </w:tc>
        <w:tc>
          <w:tcPr>
            <w:tcW w:w="139" w:type="dxa"/>
            <w:tcBorders/>
            <w:shd w:fill="FFFFFF" w:val="clear"/>
            <w:vAlign w:val="center"/>
          </w:tcPr>
          <w:p>
            <w:pPr>
              <w:pStyle w:val="TableContents"/>
              <w:bidi w:val="0"/>
              <w:spacing w:before="0" w:after="283"/>
              <w:jc w:val="left"/>
              <w:rPr/>
            </w:pPr>
            <w:r>
              <w:rPr/>
              <w:t> </w:t>
            </w:r>
          </w:p>
        </w:tc>
        <w:tc>
          <w:tcPr>
            <w:tcW w:w="2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60" w:type="dxa"/>
            <w:tcBorders/>
            <w:shd w:fill="FFFFFF" w:val="clear"/>
            <w:vAlign w:val="center"/>
          </w:tcPr>
          <w:p>
            <w:pPr>
              <w:pStyle w:val="TableContents"/>
              <w:bidi w:val="0"/>
              <w:spacing w:before="0" w:after="283"/>
              <w:jc w:val="left"/>
              <w:rPr/>
            </w:pPr>
            <w:r>
              <w:rPr/>
              <w:t> </w:t>
            </w:r>
          </w:p>
        </w:tc>
      </w:tr>
      <w:tr>
        <w:trPr/>
        <w:tc>
          <w:tcPr>
            <w:tcW w:w="32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Unearned revenue,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39"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ind w:left="0" w:right="0" w:hanging="0"/>
              <w:jc w:val="left"/>
              <w:rPr/>
            </w:pPr>
            <w:r>
              <w:rPr/>
              <w:t> </w:t>
            </w:r>
          </w:p>
        </w:tc>
        <w:tc>
          <w:tcPr>
            <w:tcW w:w="28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Customer Warrant</w:t>
      </w:r>
    </w:p>
    <w:p>
      <w:pPr>
        <w:pStyle w:val="TextBody"/>
        <w:bidi w:val="0"/>
        <w:spacing w:before="0" w:after="0"/>
        <w:ind w:left="0" w:right="0" w:firstLine="720"/>
        <w:jc w:val="both"/>
        <w:rPr/>
      </w:pPr>
      <w:r>
        <w:rPr/>
        <w:t> </w:t>
      </w:r>
    </w:p>
    <w:p>
      <w:pPr>
        <w:pStyle w:val="TextBody"/>
        <w:bidi w:val="0"/>
        <w:spacing w:before="0" w:after="0"/>
        <w:ind w:left="0" w:right="0" w:firstLine="720"/>
        <w:jc w:val="both"/>
        <w:rPr/>
      </w:pPr>
      <w:r>
        <w:rPr>
          <w:rFonts w:ascii="Times New Roman" w:hAnsi="Times New Roman"/>
          <w:sz w:val="20"/>
        </w:rPr>
        <w:t xml:space="preserve">On </w:t>
      </w:r>
      <w:r>
        <w:rPr>
          <w:rStyle w:val="Emphasis"/>
          <w:rFonts w:ascii="Times New Roman" w:hAnsi="Times New Roman"/>
          <w:sz w:val="20"/>
        </w:rPr>
        <w:t xml:space="preserve">March 13, 2025, </w:t>
      </w:r>
      <w:r>
        <w:rPr>
          <w:rFonts w:ascii="Times New Roman" w:hAnsi="Times New Roman"/>
          <w:sz w:val="20"/>
        </w:rPr>
        <w:t xml:space="preserve">the Company issued a warrant (the "Customer Warrant") to a wholly-owned subsidiary of Amazon.com, Inc. ("Warrantholder") to purchase up to an aggregate of 7,945,399 shares of the Company's common stock ("Warrant Shares") at an exercise price of $23.6956 per share. The Customer Warrant has a contractual term of 10 years. At the time of the issuance, the Customer Warrant is exercisable to purchase 1,324,233 Warrant Shares. The remaining 6,621,166 Warrant Shares </w:t>
      </w:r>
      <w:r>
        <w:rPr>
          <w:rStyle w:val="Emphasis"/>
          <w:rFonts w:ascii="Times New Roman" w:hAnsi="Times New Roman"/>
          <w:sz w:val="20"/>
        </w:rPr>
        <w:t xml:space="preserve">may </w:t>
      </w:r>
      <w:r>
        <w:rPr>
          <w:rFonts w:ascii="Times New Roman" w:hAnsi="Times New Roman"/>
          <w:sz w:val="20"/>
        </w:rPr>
        <w:t xml:space="preserve">vest over the next </w:t>
      </w:r>
      <w:r>
        <w:rPr>
          <w:rStyle w:val="Emphasis"/>
          <w:rFonts w:ascii="Times New Roman" w:hAnsi="Times New Roman"/>
          <w:sz w:val="20"/>
        </w:rPr>
        <w:t>10</w:t>
      </w:r>
      <w:r>
        <w:rPr>
          <w:rFonts w:ascii="Times New Roman" w:hAnsi="Times New Roman"/>
          <w:sz w:val="20"/>
        </w:rPr>
        <w:t xml:space="preserve"> years, dependent on aggregate purchases by or on behalf of Amazon and its affiliates of $4 billion of the Company's products over this time period. The Company accounts for the Customer Warrant as an equity classified share-based consideration to a customer and will recognize the grant-date fair value of the Customer Warrant as a reduction of revenue from Amazon as the related goods or services are transferred. As of </w:t>
      </w:r>
      <w:r>
        <w:rPr>
          <w:rStyle w:val="Emphasis"/>
          <w:rFonts w:ascii="Times New Roman" w:hAnsi="Times New Roman"/>
          <w:sz w:val="20"/>
        </w:rPr>
        <w:t xml:space="preserve">March 13, 2025, </w:t>
      </w:r>
      <w:r>
        <w:rPr>
          <w:rFonts w:ascii="Times New Roman" w:hAnsi="Times New Roman"/>
          <w:sz w:val="20"/>
        </w:rPr>
        <w:t>the Company recorded other current asset of $1.7 million and other noncurrent asset of $15.1 million, representing the aggregate grant-date fair value of 1,324,233 Warrant Shares vested at the issuance. The grant date fair value of the Customer Warrant was determined to be $12.64 per share, using the Black-Scholes-Merton option pricing model. </w:t>
      </w:r>
    </w:p>
    <w:p>
      <w:pPr>
        <w:pStyle w:val="TextBody"/>
        <w:bidi w:val="0"/>
        <w:spacing w:before="0" w:after="0"/>
        <w:ind w:left="0" w:right="0" w:firstLine="720"/>
        <w:jc w:val="both"/>
        <w:rPr/>
      </w:pPr>
      <w:r>
        <w:rPr/>
        <w:t> </w:t>
      </w:r>
    </w:p>
    <w:p>
      <w:pPr>
        <w:pStyle w:val="TextBody"/>
        <w:bidi w:val="0"/>
        <w:ind w:left="0" w:right="0" w:firstLine="720"/>
        <w:jc w:val="left"/>
        <w:rPr>
          <w:sz w:val="20"/>
        </w:rPr>
      </w:pPr>
      <w:r>
        <w:rPr>
          <w:sz w:val="20"/>
        </w:rPr>
        <w:t xml:space="preserve">The per share grant date fair value of the Customer Warrant was estimated using the following assumptions: </w:t>
      </w:r>
    </w:p>
    <w:p>
      <w:pPr>
        <w:pStyle w:val="TextBody"/>
        <w:bidi w:val="0"/>
        <w:spacing w:before="0" w:after="0"/>
        <w:ind w:left="0" w:right="0" w:firstLine="720"/>
        <w:jc w:val="both"/>
        <w:rPr/>
      </w:pPr>
      <w:r>
        <w:rPr/>
        <w:t> </w:t>
      </w:r>
    </w:p>
    <w:tbl>
      <w:tblPr>
        <w:tblW w:w="4934" w:type="dxa"/>
        <w:jc w:val="left"/>
        <w:tblInd w:w="0" w:type="dxa"/>
        <w:tblLayout w:type="fixed"/>
        <w:tblCellMar>
          <w:top w:w="0" w:type="dxa"/>
          <w:left w:w="0" w:type="dxa"/>
          <w:bottom w:w="0" w:type="dxa"/>
          <w:right w:w="0" w:type="dxa"/>
        </w:tblCellMar>
      </w:tblPr>
      <w:tblGrid>
        <w:gridCol w:w="3485"/>
        <w:gridCol w:w="60"/>
        <w:gridCol w:w="246"/>
        <w:gridCol w:w="958"/>
        <w:gridCol w:w="185"/>
      </w:tblGrid>
      <w:tr>
        <w:trPr/>
        <w:tc>
          <w:tcPr>
            <w:tcW w:w="3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4"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At Grant Date</w:t>
            </w:r>
          </w:p>
        </w:tc>
        <w:tc>
          <w:tcPr>
            <w:tcW w:w="185" w:type="dxa"/>
            <w:tcBorders/>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Weighted-average expected term (in years)</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FFFFFF" w:val="clear"/>
            <w:vAlign w:val="center"/>
          </w:tcPr>
          <w:p>
            <w:pPr>
              <w:pStyle w:val="TableContents"/>
              <w:bidi w:val="0"/>
              <w:spacing w:before="0" w:after="283"/>
              <w:jc w:val="left"/>
              <w:rPr/>
            </w:pPr>
            <w:r>
              <w:rPr/>
              <w:t> </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interest rate</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Dividend yield</w:t>
            </w:r>
          </w:p>
        </w:tc>
        <w:tc>
          <w:tcPr>
            <w:tcW w:w="60" w:type="dxa"/>
            <w:tcBorders/>
            <w:shd w:fill="FFFFFF" w:val="clear"/>
            <w:vAlign w:val="center"/>
          </w:tcPr>
          <w:p>
            <w:pPr>
              <w:pStyle w:val="TableContents"/>
              <w:bidi w:val="0"/>
              <w:spacing w:before="0" w:after="283"/>
              <w:jc w:val="left"/>
              <w:rPr/>
            </w:pPr>
            <w:r>
              <w:rPr/>
              <w:t> </w:t>
            </w:r>
          </w:p>
        </w:tc>
        <w:tc>
          <w:tcPr>
            <w:tcW w:w="246"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4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per ordinary share at grant date</w:t>
            </w:r>
          </w:p>
        </w:tc>
        <w:tc>
          <w:tcPr>
            <w:tcW w:w="60" w:type="dxa"/>
            <w:tcBorders/>
            <w:shd w:fill="CCEEFF" w:val="clear"/>
            <w:vAlign w:val="center"/>
          </w:tcPr>
          <w:p>
            <w:pPr>
              <w:pStyle w:val="TableContents"/>
              <w:bidi w:val="0"/>
              <w:spacing w:before="0" w:after="283"/>
              <w:jc w:val="left"/>
              <w:rPr/>
            </w:pPr>
            <w:r>
              <w:rPr/>
              <w:t> </w:t>
            </w:r>
          </w:p>
        </w:tc>
        <w:tc>
          <w:tcPr>
            <w:tcW w:w="2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15.87</w:t>
            </w:r>
          </w:p>
        </w:tc>
        <w:tc>
          <w:tcPr>
            <w:tcW w:w="18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4.</w:t>
      </w:r>
      <w:r>
        <w:rPr>
          <w:rFonts w:ascii="Times New Roman" w:hAnsi="Times New Roman"/>
          <w:b/>
          <w:sz w:val="20"/>
        </w:rPr>
        <w:t>  Leases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caps w:val="false"/>
          <w:smallCaps w:val="false"/>
          <w:sz w:val="20"/>
        </w:rPr>
        <w:t>The Company leases space under non-cancellable operating leases for manufacturing facilities, research and development offices and certain storage facilities and apartments. These leases do </w:t>
      </w:r>
      <w:r>
        <w:rPr>
          <w:rStyle w:val="Emphasis"/>
          <w:rFonts w:ascii="Times New Roman" w:hAnsi="Times New Roman"/>
          <w:caps w:val="false"/>
          <w:smallCaps w:val="false"/>
          <w:sz w:val="20"/>
        </w:rPr>
        <w:t>not</w:t>
      </w:r>
      <w:r>
        <w:rPr>
          <w:rFonts w:ascii="Times New Roman" w:hAnsi="Times New Roman"/>
          <w:caps w:val="false"/>
          <w:smallCaps w:val="false"/>
          <w:sz w:val="20"/>
        </w:rPr>
        <w:t> contain contingent rent provisions. The Company also leases certain machinery, office equipment and a vehicle under operating leases. The Company determines if an arrangement is or contains a lease at contract inception. Many of its leases include both lease (e.g. fixed payments including rent, taxes, and insurance costs) and non-lease components (e.g. common-area or other maintenance costs) which are accounted for as a single lease component as the Company has elected the practical expedient to group lease and non-lease components for all leases. Several of the leases include </w:t>
      </w:r>
      <w:r>
        <w:rPr>
          <w:rStyle w:val="Emphasis"/>
          <w:rFonts w:ascii="Times New Roman" w:hAnsi="Times New Roman"/>
          <w:caps w:val="false"/>
          <w:smallCaps w:val="false"/>
          <w:sz w:val="20"/>
        </w:rPr>
        <w:t>one</w:t>
      </w:r>
      <w:r>
        <w:rPr>
          <w:rFonts w:ascii="Times New Roman" w:hAnsi="Times New Roman"/>
          <w:caps w:val="false"/>
          <w:smallCaps w:val="false"/>
          <w:sz w:val="20"/>
        </w:rPr>
        <w:t> or more options to renew which have been assessed and either included or excluded from the calculation of the lease liability of the ROU asset based on management’s intentions and individual fact patterns. Several warehouses and apartments have non-cancellable lease terms of less than </w:t>
      </w:r>
      <w:r>
        <w:rPr>
          <w:rStyle w:val="Emphasis"/>
          <w:rFonts w:ascii="Times New Roman" w:hAnsi="Times New Roman"/>
          <w:caps w:val="false"/>
          <w:smallCaps w:val="false"/>
          <w:sz w:val="20"/>
        </w:rPr>
        <w:t>one</w:t>
      </w:r>
      <w:r>
        <w:rPr>
          <w:rFonts w:ascii="Times New Roman" w:hAnsi="Times New Roman"/>
          <w:caps w:val="false"/>
          <w:smallCaps w:val="false"/>
          <w:sz w:val="20"/>
        </w:rPr>
        <w:t>-year and therefore, the Company has elected the practical expedient to exclude these short-term leases from its ROU asset and lease liabilities</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sz w:val="20"/>
        </w:rPr>
        <w:t>On </w:t>
      </w:r>
      <w:r>
        <w:rPr>
          <w:rStyle w:val="Emphasis"/>
          <w:rFonts w:ascii="Times New Roman" w:hAnsi="Times New Roman"/>
          <w:sz w:val="20"/>
        </w:rPr>
        <w:t xml:space="preserve"> October 7, 2024, </w:t>
      </w:r>
      <w:r>
        <w:rPr>
          <w:rFonts w:ascii="Times New Roman" w:hAnsi="Times New Roman"/>
          <w:sz w:val="20"/>
        </w:rPr>
        <w:t>Prime World International Holdings Ltd. (“Prime World”), a wholly owned subsidiary of Applied Optoelectronics, Inc., entered into a Land and Building Lease Agreement (the “Lease Agreement”) with San Ho Enterprise Co., Ltd. (the “Lessor”), under which Prime World will lease approximately 3,537 square meters of </w:t>
      </w:r>
      <w:r>
        <w:rPr>
          <w:rStyle w:val="Emphasis"/>
          <w:rFonts w:ascii="Times New Roman" w:hAnsi="Times New Roman"/>
          <w:sz w:val="20"/>
        </w:rPr>
        <w:t>two</w:t>
      </w:r>
      <w:r>
        <w:rPr>
          <w:rFonts w:ascii="Times New Roman" w:hAnsi="Times New Roman"/>
          <w:sz w:val="20"/>
        </w:rPr>
        <w:t> adjoining parcels of land, in New Taipei City. The lease also includes a building on these parcels, totaling approximately 3,406 square meters. The lease term is for fifteen years, commencing on </w:t>
      </w:r>
      <w:r>
        <w:rPr>
          <w:rStyle w:val="Emphasis"/>
          <w:rFonts w:ascii="Times New Roman" w:hAnsi="Times New Roman"/>
          <w:sz w:val="20"/>
        </w:rPr>
        <w:t xml:space="preserve"> December 1, 2024, </w:t>
      </w:r>
      <w:r>
        <w:rPr>
          <w:rFonts w:ascii="Times New Roman" w:hAnsi="Times New Roman"/>
          <w:sz w:val="20"/>
        </w:rPr>
        <w:t>and ending on </w:t>
      </w:r>
      <w:r>
        <w:rPr>
          <w:rStyle w:val="Emphasis"/>
          <w:rFonts w:ascii="Times New Roman" w:hAnsi="Times New Roman"/>
          <w:sz w:val="20"/>
        </w:rPr>
        <w:t xml:space="preserve"> November 30, 2039. </w:t>
      </w:r>
      <w:r>
        <w:rPr>
          <w:rFonts w:ascii="Times New Roman" w:hAnsi="Times New Roman"/>
          <w:sz w:val="20"/>
        </w:rPr>
        <w:t>A </w:t>
      </w:r>
      <w:r>
        <w:rPr>
          <w:rStyle w:val="Emphasis"/>
          <w:rFonts w:ascii="Times New Roman" w:hAnsi="Times New Roman"/>
          <w:sz w:val="20"/>
        </w:rPr>
        <w:t>two</w:t>
      </w:r>
      <w:r>
        <w:rPr>
          <w:rFonts w:ascii="Times New Roman" w:hAnsi="Times New Roman"/>
          <w:sz w:val="20"/>
        </w:rPr>
        <w:t>-month renovation period from </w:t>
      </w:r>
      <w:r>
        <w:rPr>
          <w:rStyle w:val="Emphasis"/>
          <w:rFonts w:ascii="Times New Roman" w:hAnsi="Times New Roman"/>
          <w:sz w:val="20"/>
        </w:rPr>
        <w:t xml:space="preserve"> October 1 </w:t>
      </w:r>
      <w:r>
        <w:rPr>
          <w:rFonts w:ascii="Times New Roman" w:hAnsi="Times New Roman"/>
          <w:sz w:val="20"/>
        </w:rPr>
        <w:t>to </w:t>
      </w:r>
      <w:r>
        <w:rPr>
          <w:rStyle w:val="Emphasis"/>
          <w:rFonts w:ascii="Times New Roman" w:hAnsi="Times New Roman"/>
          <w:sz w:val="20"/>
        </w:rPr>
        <w:t xml:space="preserve"> November 30, 2024,  </w:t>
      </w:r>
      <w:r>
        <w:rPr>
          <w:rFonts w:ascii="Times New Roman" w:hAnsi="Times New Roman"/>
          <w:sz w:val="20"/>
        </w:rPr>
        <w:t>preceded the lease term, during which </w:t>
      </w:r>
      <w:r>
        <w:rPr>
          <w:rStyle w:val="Emphasis"/>
          <w:rFonts w:ascii="Times New Roman" w:hAnsi="Times New Roman"/>
          <w:sz w:val="20"/>
        </w:rPr>
        <w:t>no</w:t>
      </w:r>
      <w:r>
        <w:rPr>
          <w:rFonts w:ascii="Times New Roman" w:hAnsi="Times New Roman"/>
          <w:sz w:val="20"/>
        </w:rPr>
        <w:t> rent was be charged by the Lessor. During the lease term, the monthly rent will increase by </w:t>
      </w:r>
      <w:r>
        <w:rPr>
          <w:rStyle w:val="Emphasis"/>
          <w:rFonts w:ascii="Times New Roman" w:hAnsi="Times New Roman"/>
          <w:sz w:val="20"/>
        </w:rPr>
        <w:t>three</w:t>
      </w:r>
      <w:r>
        <w:rPr>
          <w:rFonts w:ascii="Times New Roman" w:hAnsi="Times New Roman"/>
          <w:sz w:val="20"/>
        </w:rPr>
        <w:t> percent (3%) every </w:t>
      </w:r>
      <w:r>
        <w:rPr>
          <w:rStyle w:val="Emphasis"/>
          <w:rFonts w:ascii="Times New Roman" w:hAnsi="Times New Roman"/>
          <w:sz w:val="20"/>
        </w:rPr>
        <w:t>three</w:t>
      </w:r>
      <w:r>
        <w:rPr>
          <w:rFonts w:ascii="Times New Roman" w:hAnsi="Times New Roman"/>
          <w:sz w:val="20"/>
        </w:rPr>
        <w:t> years.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As most of the Company’s leases do </w:t>
      </w:r>
      <w:r>
        <w:rPr>
          <w:rStyle w:val="Emphasis"/>
          <w:rFonts w:ascii="Times New Roman" w:hAnsi="Times New Roman"/>
          <w:sz w:val="20"/>
        </w:rPr>
        <w:t>not</w:t>
      </w:r>
      <w:r>
        <w:rPr>
          <w:rFonts w:ascii="Times New Roman" w:hAnsi="Times New Roman"/>
          <w:sz w:val="20"/>
        </w:rPr>
        <w:t xml:space="preserve"> provide an implicit rate, the Company uses its incremental borrowing rate, which is the rate incurred to borrow on a collateralized basis over a similar term an amount equal to the lease payments in a similar economic environment. Based on the applicable lease terms and current economic environment, the Company applies a location approach for determining the incremental borrowing rate.</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b w:val="false"/>
          <w:sz w:val="20"/>
        </w:rPr>
        <w:t xml:space="preserve">Lease expense is included under general and administrative expenses and was $0.6 million, and $0.2 million for the </w:t>
      </w:r>
      <w:r>
        <w:rPr>
          <w:rStyle w:val="Emphasis"/>
          <w:rFonts w:ascii="Times New Roman;Times;serif" w:hAnsi="Times New Roman;Times;serif"/>
          <w:b w:val="false"/>
          <w:sz w:val="20"/>
        </w:rPr>
        <w:t>three</w:t>
      </w:r>
      <w:r>
        <w:rPr>
          <w:rFonts w:ascii="Times New Roman;Times;serif" w:hAnsi="Times New Roman;Times;serif"/>
          <w:b w:val="false"/>
          <w:sz w:val="20"/>
        </w:rPr>
        <w:t xml:space="preserve"> months ended </w:t>
      </w:r>
      <w:r>
        <w:rPr>
          <w:rStyle w:val="Emphasis"/>
          <w:rFonts w:ascii="Times New Roman;Times;serif" w:hAnsi="Times New Roman;Times;serif"/>
          <w:b w:val="false"/>
          <w:sz w:val="20"/>
        </w:rPr>
        <w:t xml:space="preserve">March 31, 2025 </w:t>
      </w:r>
      <w:r>
        <w:rPr>
          <w:rFonts w:ascii="Times New Roman;Times;serif" w:hAnsi="Times New Roman;Times;serif"/>
          <w:b w:val="false"/>
          <w:sz w:val="20"/>
        </w:rPr>
        <w:t xml:space="preserve">and </w:t>
      </w:r>
      <w:r>
        <w:rPr>
          <w:rStyle w:val="Emphasis"/>
          <w:rFonts w:ascii="Times New Roman;Times;serif" w:hAnsi="Times New Roman;Times;serif"/>
          <w:b w:val="false"/>
          <w:sz w:val="20"/>
        </w:rPr>
        <w:t>2024</w:t>
      </w:r>
      <w:r>
        <w:rPr>
          <w:rFonts w:ascii="Times New Roman;Times;serif" w:hAnsi="Times New Roman;Times;serif"/>
          <w:b w:val="false"/>
          <w:sz w:val="20"/>
        </w:rPr>
        <w:t>, respectively. The components of lease expense were as follows for the periods indicated (in thousands):</w:t>
      </w:r>
    </w:p>
    <w:p>
      <w:pPr>
        <w:pStyle w:val="TextBody"/>
        <w:bidi w:val="0"/>
        <w:spacing w:before="0" w:after="0"/>
        <w:ind w:left="0" w:right="0" w:hanging="0"/>
        <w:jc w:val="left"/>
        <w:rPr/>
      </w:pPr>
      <w:r>
        <w:rPr/>
        <w:t>  </w:t>
      </w:r>
    </w:p>
    <w:tbl>
      <w:tblPr>
        <w:tblW w:w="4777" w:type="dxa"/>
        <w:jc w:val="left"/>
        <w:tblInd w:w="0" w:type="dxa"/>
        <w:tblLayout w:type="fixed"/>
        <w:tblCellMar>
          <w:top w:w="0" w:type="dxa"/>
          <w:left w:w="0" w:type="dxa"/>
          <w:bottom w:w="0" w:type="dxa"/>
          <w:right w:w="0" w:type="dxa"/>
        </w:tblCellMar>
      </w:tblPr>
      <w:tblGrid>
        <w:gridCol w:w="2075"/>
        <w:gridCol w:w="60"/>
        <w:gridCol w:w="310"/>
        <w:gridCol w:w="832"/>
        <w:gridCol w:w="149"/>
        <w:gridCol w:w="149"/>
        <w:gridCol w:w="310"/>
        <w:gridCol w:w="832"/>
        <w:gridCol w:w="60"/>
      </w:tblGrid>
      <w:tr>
        <w:trPr/>
        <w:tc>
          <w:tcPr>
            <w:tcW w:w="20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3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3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p>
        </w:tc>
        <w:tc>
          <w:tcPr>
            <w:tcW w:w="60" w:type="dxa"/>
            <w:tcBorders/>
            <w:shd w:fill="CCEEFF" w:val="clear"/>
            <w:vAlign w:val="center"/>
          </w:tcPr>
          <w:p>
            <w:pPr>
              <w:pStyle w:val="TableContents"/>
              <w:bidi w:val="0"/>
              <w:spacing w:before="0" w:after="283"/>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 Term lease expense</w:t>
            </w:r>
          </w:p>
        </w:tc>
        <w:tc>
          <w:tcPr>
            <w:tcW w:w="60" w:type="dxa"/>
            <w:tcBorders/>
            <w:shd w:fill="FFFFFF" w:val="clear"/>
            <w:vAlign w:val="center"/>
          </w:tcPr>
          <w:p>
            <w:pPr>
              <w:pStyle w:val="TableContents"/>
              <w:bidi w:val="0"/>
              <w:spacing w:before="0" w:after="283"/>
              <w:jc w:val="left"/>
              <w:rPr/>
            </w:pPr>
            <w:r>
              <w:rPr/>
              <w:t> </w:t>
            </w:r>
          </w:p>
        </w:tc>
        <w:tc>
          <w:tcPr>
            <w:tcW w:w="3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jc w:val="left"/>
              <w:rPr/>
            </w:pPr>
            <w:r>
              <w:rPr/>
              <w:t> </w:t>
            </w:r>
          </w:p>
        </w:tc>
        <w:tc>
          <w:tcPr>
            <w:tcW w:w="3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3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574</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3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sz w:val="20"/>
        </w:rPr>
        <w:t xml:space="preserve">Maturities of lease liabilities are as follows for the future </w:t>
      </w:r>
      <w:r>
        <w:rPr>
          <w:rStyle w:val="Emphasis"/>
          <w:rFonts w:ascii="Times New Roman" w:hAnsi="Times New Roman"/>
          <w:sz w:val="20"/>
        </w:rPr>
        <w:t>one</w:t>
      </w:r>
      <w:r>
        <w:rPr>
          <w:rFonts w:ascii="Times New Roman" w:hAnsi="Times New Roman"/>
          <w:sz w:val="20"/>
        </w:rPr>
        <w:t>-year periods ending </w:t>
      </w:r>
      <w:r>
        <w:rPr>
          <w:rStyle w:val="Emphasis"/>
          <w:rFonts w:ascii="Times New Roman" w:hAnsi="Times New Roman"/>
          <w:sz w:val="20"/>
        </w:rPr>
        <w:t xml:space="preserve"> March 31, 2025</w:t>
      </w:r>
      <w:r>
        <w:rPr>
          <w:rFonts w:ascii="Times New Roman" w:hAnsi="Times New Roman"/>
          <w:sz w:val="20"/>
        </w:rPr>
        <w:t xml:space="preserve"> (in thousands):</w:t>
      </w:r>
    </w:p>
    <w:p>
      <w:pPr>
        <w:pStyle w:val="TextBody"/>
        <w:bidi w:val="0"/>
        <w:spacing w:before="0" w:after="0"/>
        <w:ind w:left="0" w:right="0" w:firstLine="720"/>
        <w:jc w:val="left"/>
        <w:rPr/>
      </w:pPr>
      <w:r>
        <w:rPr/>
        <w:t>​</w:t>
      </w:r>
    </w:p>
    <w:tbl>
      <w:tblPr>
        <w:tblW w:w="3225" w:type="dxa"/>
        <w:jc w:val="left"/>
        <w:tblInd w:w="0" w:type="dxa"/>
        <w:tblLayout w:type="fixed"/>
        <w:tblCellMar>
          <w:top w:w="0" w:type="dxa"/>
          <w:left w:w="0" w:type="dxa"/>
          <w:bottom w:w="0" w:type="dxa"/>
          <w:right w:w="0" w:type="dxa"/>
        </w:tblCellMar>
      </w:tblPr>
      <w:tblGrid>
        <w:gridCol w:w="2225"/>
        <w:gridCol w:w="60"/>
        <w:gridCol w:w="150"/>
        <w:gridCol w:w="710"/>
        <w:gridCol w:w="80"/>
      </w:tblGrid>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Fiscal years:</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Operating</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2025 (remaining 9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1,485</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1,477</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50" w:type="dxa"/>
            <w:tcBorders/>
            <w:shd w:fill="FFFFFF" w:val="clear"/>
            <w:vAlign w:val="center"/>
          </w:tcPr>
          <w:p>
            <w:pPr>
              <w:pStyle w:val="TableContents"/>
              <w:bidi w:val="0"/>
              <w:spacing w:before="0" w:after="283"/>
              <w:ind w:left="0" w:right="0" w:hanging="0"/>
              <w:jc w:val="left"/>
              <w:rPr/>
            </w:pPr>
            <w:r>
              <w:rPr/>
              <w:t> </w:t>
            </w:r>
          </w:p>
        </w:tc>
        <w:tc>
          <w:tcPr>
            <w:tcW w:w="7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911</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 and thereafter</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5,066</w:t>
            </w:r>
          </w:p>
        </w:tc>
        <w:tc>
          <w:tcPr>
            <w:tcW w:w="8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ind w:left="0" w:right="0" w:hanging="0"/>
              <w:jc w:val="left"/>
              <w:rPr/>
            </w:pPr>
            <w:r>
              <w:rPr/>
              <w:t> </w:t>
            </w:r>
          </w:p>
        </w:tc>
        <w:tc>
          <w:tcPr>
            <w:tcW w:w="7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11,693</w:t>
            </w:r>
          </w:p>
        </w:tc>
        <w:tc>
          <w:tcPr>
            <w:tcW w:w="8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w:t>
            </w:r>
          </w:p>
        </w:tc>
        <w:tc>
          <w:tcPr>
            <w:tcW w:w="60" w:type="dxa"/>
            <w:tcBorders/>
            <w:shd w:fill="CCEEFF" w:val="clear"/>
            <w:vAlign w:val="center"/>
          </w:tcPr>
          <w:p>
            <w:pPr>
              <w:pStyle w:val="TableContents"/>
              <w:bidi w:val="0"/>
              <w:spacing w:before="0" w:after="283"/>
              <w:ind w:left="0" w:right="0" w:hanging="0"/>
              <w:jc w:val="left"/>
              <w:rPr/>
            </w:pPr>
            <w:r>
              <w:rPr/>
              <w:t> </w:t>
            </w:r>
          </w:p>
        </w:tc>
        <w:tc>
          <w:tcPr>
            <w:tcW w:w="1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9,957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weighted average remaining lease term and discount rate for the leases were as follows for the periods indicated:</w:t>
      </w:r>
    </w:p>
    <w:p>
      <w:pPr>
        <w:pStyle w:val="TextBody"/>
        <w:bidi w:val="0"/>
        <w:spacing w:before="0" w:after="0"/>
        <w:ind w:left="0" w:right="0" w:hanging="0"/>
        <w:jc w:val="left"/>
        <w:rPr/>
      </w:pPr>
      <w:r>
        <w:rPr/>
        <w:t>​</w:t>
      </w:r>
    </w:p>
    <w:tbl>
      <w:tblPr>
        <w:tblW w:w="8353" w:type="dxa"/>
        <w:jc w:val="left"/>
        <w:tblInd w:w="0" w:type="dxa"/>
        <w:tblLayout w:type="fixed"/>
        <w:tblCellMar>
          <w:top w:w="0" w:type="dxa"/>
          <w:left w:w="0" w:type="dxa"/>
          <w:bottom w:w="0" w:type="dxa"/>
          <w:right w:w="0" w:type="dxa"/>
        </w:tblCellMar>
      </w:tblPr>
      <w:tblGrid>
        <w:gridCol w:w="5525"/>
        <w:gridCol w:w="60"/>
        <w:gridCol w:w="126"/>
        <w:gridCol w:w="1019"/>
        <w:gridCol w:w="388"/>
        <w:gridCol w:w="126"/>
        <w:gridCol w:w="126"/>
        <w:gridCol w:w="798"/>
        <w:gridCol w:w="185"/>
      </w:tblGrid>
      <w:tr>
        <w:trPr/>
        <w:tc>
          <w:tcPr>
            <w:tcW w:w="5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185" w:type="dxa"/>
            <w:tcBorders/>
            <w:shd w:fill="FFFF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388"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9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 Average Remaining Lease Term (Years) - operating leases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w:t>
            </w:r>
          </w:p>
        </w:tc>
        <w:tc>
          <w:tcPr>
            <w:tcW w:w="388"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7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w:t>
            </w:r>
          </w:p>
        </w:tc>
        <w:tc>
          <w:tcPr>
            <w:tcW w:w="185"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 - operating leases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p>
        </w:tc>
        <w:tc>
          <w:tcPr>
            <w:tcW w:w="3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6"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Supplemental cash flow information related to the leases was as follows for the periods indicated (in thousands):</w:t>
      </w:r>
    </w:p>
    <w:p>
      <w:pPr>
        <w:pStyle w:val="TextBody"/>
        <w:bidi w:val="0"/>
        <w:spacing w:before="0" w:after="0"/>
        <w:ind w:left="0" w:right="0" w:firstLine="720"/>
        <w:jc w:val="left"/>
        <w:rPr/>
      </w:pPr>
      <w:r>
        <w:rPr/>
        <w:t> </w:t>
      </w:r>
    </w:p>
    <w:tbl>
      <w:tblPr>
        <w:tblW w:w="8407" w:type="dxa"/>
        <w:jc w:val="left"/>
        <w:tblInd w:w="0" w:type="dxa"/>
        <w:tblLayout w:type="fixed"/>
        <w:tblCellMar>
          <w:top w:w="0" w:type="dxa"/>
          <w:left w:w="0" w:type="dxa"/>
          <w:bottom w:w="0" w:type="dxa"/>
          <w:right w:w="0" w:type="dxa"/>
        </w:tblCellMar>
      </w:tblPr>
      <w:tblGrid>
        <w:gridCol w:w="5705"/>
        <w:gridCol w:w="60"/>
        <w:gridCol w:w="310"/>
        <w:gridCol w:w="832"/>
        <w:gridCol w:w="149"/>
        <w:gridCol w:w="149"/>
        <w:gridCol w:w="310"/>
        <w:gridCol w:w="832"/>
        <w:gridCol w:w="60"/>
      </w:tblGrid>
      <w:tr>
        <w:trPr/>
        <w:tc>
          <w:tcPr>
            <w:tcW w:w="57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11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142"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49"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ind w:left="0" w:right="0" w:hanging="0"/>
              <w:jc w:val="left"/>
              <w:rPr/>
            </w:pPr>
            <w:r>
              <w:rPr/>
              <w:t> </w:t>
            </w:r>
          </w:p>
        </w:tc>
        <w:tc>
          <w:tcPr>
            <w:tcW w:w="1142"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31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w:t>
            </w:r>
          </w:p>
        </w:tc>
        <w:tc>
          <w:tcPr>
            <w:tcW w:w="149" w:type="dxa"/>
            <w:tcBorders/>
            <w:shd w:fill="FFFFFF" w:val="clear"/>
            <w:vAlign w:val="center"/>
          </w:tcPr>
          <w:p>
            <w:pPr>
              <w:pStyle w:val="TableContents"/>
              <w:bidi w:val="0"/>
              <w:spacing w:before="0" w:after="283"/>
              <w:jc w:val="left"/>
              <w:rPr/>
            </w:pPr>
            <w:r>
              <w:rPr/>
              <w:t> </w:t>
            </w:r>
          </w:p>
        </w:tc>
        <w:tc>
          <w:tcPr>
            <w:tcW w:w="149" w:type="dxa"/>
            <w:tcBorders/>
            <w:shd w:fill="FFFFFF" w:val="clear"/>
            <w:vAlign w:val="center"/>
          </w:tcPr>
          <w:p>
            <w:pPr>
              <w:pStyle w:val="TableContents"/>
              <w:bidi w:val="0"/>
              <w:spacing w:before="0" w:after="283"/>
              <w:ind w:left="0" w:right="0" w:hanging="0"/>
              <w:jc w:val="left"/>
              <w:rPr/>
            </w:pPr>
            <w:r>
              <w:rPr/>
              <w:t> </w:t>
            </w:r>
          </w:p>
        </w:tc>
        <w:tc>
          <w:tcPr>
            <w:tcW w:w="31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jc w:val="center"/>
        <w:rPr/>
      </w:pPr>
      <w:r>
        <w:rPr>
          <w:rStyle w:val="Emphasis"/>
          <w:rFonts w:ascii="Times New Roman" w:hAnsi="Times New Roman"/>
          <w:sz w:val="20"/>
        </w:rPr>
        <w:t>10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5.</w:t>
      </w:r>
      <w:r>
        <w:rPr>
          <w:rFonts w:ascii="Times New Roman" w:hAnsi="Times New Roman"/>
          <w:b/>
          <w:sz w:val="20"/>
        </w:rPr>
        <w:t>  Cash, Cash Equivalents and Restricted Cash</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following table provides a reconciliation of c</w:t>
      </w:r>
      <w:r>
        <w:rPr>
          <w:rFonts w:ascii="Times New Roman" w:hAnsi="Times New Roman"/>
          <w:sz w:val="20"/>
          <w:shd w:fill="FFFFFF" w:val="clear"/>
        </w:rPr>
        <w:t>ash, cash equivalents and r</w:t>
      </w:r>
      <w:r>
        <w:rPr>
          <w:rFonts w:ascii="Times New Roman" w:hAnsi="Times New Roman"/>
          <w:sz w:val="20"/>
        </w:rPr>
        <w:t>estricted cash reported within the statement of financial position that sum to the total of the same such amounts in the statement of cash flows (in thousands):</w:t>
      </w:r>
    </w:p>
    <w:p>
      <w:pPr>
        <w:pStyle w:val="TextBody"/>
        <w:bidi w:val="0"/>
        <w:spacing w:before="0" w:after="0"/>
        <w:ind w:left="0" w:right="0" w:firstLine="720"/>
        <w:jc w:val="left"/>
        <w:rPr/>
      </w:pPr>
      <w:r>
        <w:rPr/>
        <w:t> </w:t>
      </w:r>
    </w:p>
    <w:tbl>
      <w:tblPr>
        <w:tblW w:w="9103" w:type="dxa"/>
        <w:jc w:val="left"/>
        <w:tblInd w:w="0" w:type="dxa"/>
        <w:tblLayout w:type="fixed"/>
        <w:tblCellMar>
          <w:top w:w="0" w:type="dxa"/>
          <w:left w:w="0" w:type="dxa"/>
          <w:bottom w:w="0" w:type="dxa"/>
          <w:right w:w="0" w:type="dxa"/>
        </w:tblCellMar>
      </w:tblPr>
      <w:tblGrid>
        <w:gridCol w:w="6845"/>
        <w:gridCol w:w="60"/>
        <w:gridCol w:w="152"/>
        <w:gridCol w:w="722"/>
        <w:gridCol w:w="60"/>
        <w:gridCol w:w="60"/>
        <w:gridCol w:w="199"/>
        <w:gridCol w:w="945"/>
        <w:gridCol w:w="60"/>
      </w:tblGrid>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51,144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67,428</w:t>
            </w:r>
          </w:p>
        </w:tc>
        <w:tc>
          <w:tcPr>
            <w:tcW w:w="6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w:t>
            </w:r>
          </w:p>
        </w:tc>
        <w:tc>
          <w:tcPr>
            <w:tcW w:w="60" w:type="dxa"/>
            <w:tcBorders/>
            <w:shd w:fill="FFFFFF" w:val="clear"/>
            <w:vAlign w:val="center"/>
          </w:tcPr>
          <w:p>
            <w:pPr>
              <w:pStyle w:val="TableContents"/>
              <w:bidi w:val="0"/>
              <w:spacing w:before="0" w:after="283"/>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11,705</w:t>
            </w:r>
          </w:p>
        </w:tc>
        <w:tc>
          <w:tcPr>
            <w:tcW w:w="6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cash equivalents and restricted cash shown in the statement of cash flows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79,133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rFonts w:ascii="Times New Roman" w:hAnsi="Times New Roman"/>
          <w:sz w:val="20"/>
        </w:rPr>
        <w:t>Restricted cash includes guarantee deposits for customs duties, a China government subsidy fund, and deposits as collateral in order to secure bank acceptance notes issued to vendors. As of </w:t>
      </w:r>
      <w:r>
        <w:rPr>
          <w:rStyle w:val="Emphasis"/>
          <w:rFonts w:ascii="Times New Roman" w:hAnsi="Times New Roman"/>
          <w:sz w:val="20"/>
        </w:rPr>
        <w:t xml:space="preserve"> March 31, 2025</w:t>
      </w:r>
      <w:r>
        <w:rPr>
          <w:rFonts w:ascii="Times New Roman" w:hAnsi="Times New Roman"/>
          <w:sz w:val="20"/>
        </w:rPr>
        <w:t> and </w:t>
      </w:r>
      <w:r>
        <w:rPr>
          <w:rStyle w:val="Emphasis"/>
          <w:rFonts w:ascii="Times New Roman" w:hAnsi="Times New Roman"/>
          <w:sz w:val="20"/>
        </w:rPr>
        <w:t xml:space="preserve"> December 31, 2024</w:t>
      </w:r>
      <w:r>
        <w:rPr>
          <w:rFonts w:ascii="Times New Roman" w:hAnsi="Times New Roman"/>
          <w:sz w:val="20"/>
        </w:rPr>
        <w:t>, there were $12.2 million and $8.5 million of restricted cash required for bank acceptance notes issued to vendors, respectively. In addition, as of </w:t>
      </w:r>
      <w:r>
        <w:rPr>
          <w:rStyle w:val="Emphasis"/>
          <w:rFonts w:ascii="Times New Roman" w:hAnsi="Times New Roman"/>
          <w:sz w:val="20"/>
        </w:rPr>
        <w:t xml:space="preserve"> March 31, 2025</w:t>
      </w:r>
      <w:r>
        <w:rPr>
          <w:rFonts w:ascii="Times New Roman" w:hAnsi="Times New Roman"/>
          <w:sz w:val="20"/>
        </w:rPr>
        <w:t> and </w:t>
      </w:r>
      <w:r>
        <w:rPr>
          <w:rStyle w:val="Emphasis"/>
          <w:rFonts w:ascii="Times New Roman" w:hAnsi="Times New Roman"/>
          <w:sz w:val="20"/>
        </w:rPr>
        <w:t xml:space="preserve"> December 31, 2024</w:t>
      </w:r>
      <w:r>
        <w:rPr>
          <w:rFonts w:ascii="Times New Roman" w:hAnsi="Times New Roman"/>
          <w:sz w:val="20"/>
        </w:rPr>
        <w:t> certificates of deposit associated with credit facilities with a bank in China were both $2.5 million. There were $0.9 million and $0.7 million guarantee deposits for customs duties as of </w:t>
      </w:r>
      <w:r>
        <w:rPr>
          <w:rStyle w:val="Emphasis"/>
          <w:rFonts w:ascii="Times New Roman" w:hAnsi="Times New Roman"/>
          <w:sz w:val="20"/>
        </w:rPr>
        <w:t xml:space="preserve"> March 31, 2025</w:t>
      </w:r>
      <w:r>
        <w:rPr>
          <w:rFonts w:ascii="Times New Roman" w:hAnsi="Times New Roman"/>
          <w:sz w:val="20"/>
        </w:rPr>
        <w:t> and </w:t>
      </w:r>
      <w:r>
        <w:rPr>
          <w:rStyle w:val="Emphasis"/>
          <w:rFonts w:ascii="Times New Roman" w:hAnsi="Times New Roman"/>
          <w:sz w:val="20"/>
        </w:rPr>
        <w:t xml:space="preserve"> December 31, 2024</w:t>
      </w:r>
      <w:r>
        <w:rPr>
          <w:rFonts w:ascii="Times New Roman" w:hAnsi="Times New Roman"/>
          <w:sz w:val="20"/>
        </w:rPr>
        <w:t> respectively.</w:t>
      </w:r>
    </w:p>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6.</w:t>
      </w:r>
      <w:r>
        <w:rPr>
          <w:rFonts w:ascii="Times New Roman;Times;serif" w:hAnsi="Times New Roman;Times;serif"/>
          <w:b/>
          <w:sz w:val="20"/>
        </w:rPr>
        <w:t>  Earnings (Loss) Per Share</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Basic net loss per share has been computed using the weighted-average number of shares of common stock outstanding during the period. Diluted net loss per share has been computed using the weighted-average number of shares of common stock and dilutive potential common shares from stock options, restricted stock units and senior convertible notes outstanding during the period. In periods with net losses, normally dilutive shares become anti-dilutive. Therefore, basic and diluted loss per share are the same. On </w:t>
      </w:r>
      <w:r>
        <w:rPr>
          <w:rStyle w:val="Emphasis"/>
          <w:rFonts w:ascii="Times New Roman;Times;serif" w:hAnsi="Times New Roman;Times;serif"/>
          <w:sz w:val="20"/>
        </w:rPr>
        <w:t xml:space="preserve">March 13, 2025, </w:t>
      </w:r>
      <w:r>
        <w:rPr>
          <w:rFonts w:ascii="Times New Roman;Times;serif" w:hAnsi="Times New Roman;Times;serif"/>
          <w:sz w:val="20"/>
        </w:rPr>
        <w:t xml:space="preserve">the Company issued 7,945,399 stock warrants to a subsidiary of Amazon, and 1,324,233 warrants have been vested upon signing the warrant agreement. Because the Warrants were out of money as of </w:t>
      </w:r>
      <w:r>
        <w:rPr>
          <w:rStyle w:val="Emphasis"/>
          <w:rFonts w:ascii="Times New Roman;Times;serif" w:hAnsi="Times New Roman;Times;serif"/>
          <w:sz w:val="20"/>
        </w:rPr>
        <w:t xml:space="preserve">March 31, 2025, </w:t>
      </w:r>
      <w:r>
        <w:rPr>
          <w:rFonts w:ascii="Times New Roman;Times;serif" w:hAnsi="Times New Roman;Times;serif"/>
          <w:sz w:val="20"/>
        </w:rPr>
        <w:t xml:space="preserve">they are </w:t>
      </w:r>
      <w:r>
        <w:rPr>
          <w:rStyle w:val="Emphasis"/>
          <w:rFonts w:ascii="Times New Roman;Times;serif" w:hAnsi="Times New Roman;Times;serif"/>
          <w:sz w:val="20"/>
        </w:rPr>
        <w:t>not</w:t>
      </w:r>
      <w:r>
        <w:rPr>
          <w:rFonts w:ascii="Times New Roman;Times;serif" w:hAnsi="Times New Roman;Times;serif"/>
          <w:sz w:val="20"/>
        </w:rPr>
        <w:t xml:space="preserve"> considered dilutive instruments.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sets forth the computation of the basic and diluted net loss per share for the periods indicated (in thousands):</w:t>
      </w:r>
    </w:p>
    <w:p>
      <w:pPr>
        <w:pStyle w:val="TextBody"/>
        <w:bidi w:val="0"/>
        <w:spacing w:before="0" w:after="0"/>
        <w:ind w:left="0" w:right="0" w:hanging="0"/>
        <w:jc w:val="left"/>
        <w:rPr/>
      </w:pPr>
      <w:r>
        <w:rPr/>
        <w:t>​</w:t>
      </w:r>
    </w:p>
    <w:tbl>
      <w:tblPr>
        <w:tblW w:w="7557" w:type="dxa"/>
        <w:jc w:val="left"/>
        <w:tblInd w:w="0" w:type="dxa"/>
        <w:tblLayout w:type="fixed"/>
        <w:tblCellMar>
          <w:top w:w="0" w:type="dxa"/>
          <w:left w:w="0" w:type="dxa"/>
          <w:bottom w:w="0" w:type="dxa"/>
          <w:right w:w="0" w:type="dxa"/>
        </w:tblCellMar>
      </w:tblPr>
      <w:tblGrid>
        <w:gridCol w:w="4835"/>
        <w:gridCol w:w="60"/>
        <w:gridCol w:w="198"/>
        <w:gridCol w:w="935"/>
        <w:gridCol w:w="126"/>
        <w:gridCol w:w="95"/>
        <w:gridCol w:w="198"/>
        <w:gridCol w:w="1030"/>
        <w:gridCol w:w="80"/>
      </w:tblGrid>
      <w:tr>
        <w:trPr/>
        <w:tc>
          <w:tcPr>
            <w:tcW w:w="48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2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Numerator:</w:t>
            </w:r>
          </w:p>
        </w:tc>
        <w:tc>
          <w:tcPr>
            <w:tcW w:w="60" w:type="dxa"/>
            <w:tcBorders/>
            <w:shd w:fill="CCEEFF" w:val="clear"/>
            <w:vAlign w:val="center"/>
          </w:tcPr>
          <w:p>
            <w:pPr>
              <w:pStyle w:val="TableContents"/>
              <w:bidi w:val="0"/>
              <w:spacing w:before="0" w:after="283"/>
              <w:ind w:left="0" w:right="0" w:hanging="0"/>
              <w:jc w:val="left"/>
              <w:rPr/>
            </w:pPr>
            <w:r>
              <w:rPr/>
              <w:t> </w:t>
            </w:r>
          </w:p>
        </w:tc>
        <w:tc>
          <w:tcPr>
            <w:tcW w:w="1133"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228"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w:t>
            </w:r>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Denominator:</w:t>
            </w:r>
          </w:p>
        </w:tc>
        <w:tc>
          <w:tcPr>
            <w:tcW w:w="60" w:type="dxa"/>
            <w:tcBorders/>
            <w:shd w:fill="CCEEFF" w:val="clear"/>
            <w:vAlign w:val="center"/>
          </w:tcPr>
          <w:p>
            <w:pPr>
              <w:pStyle w:val="TableContents"/>
              <w:bidi w:val="0"/>
              <w:spacing w:before="0" w:after="283"/>
              <w:ind w:left="0" w:right="0" w:hanging="0"/>
              <w:jc w:val="left"/>
              <w:rPr/>
            </w:pPr>
            <w:r>
              <w:rPr/>
              <w:t> </w:t>
            </w:r>
          </w:p>
        </w:tc>
        <w:tc>
          <w:tcPr>
            <w:tcW w:w="1133"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228"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to compute net loss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228"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50,041</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ind w:left="0" w:right="0" w:hanging="0"/>
              <w:jc w:val="left"/>
              <w:rPr/>
            </w:pPr>
            <w:r>
              <w:rPr/>
              <w:t> </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38,362</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50,041</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ind w:left="0" w:right="0" w:hanging="0"/>
              <w:jc w:val="left"/>
              <w:rPr/>
            </w:pPr>
            <w:r>
              <w:rPr/>
              <w:t> </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38,362</w:t>
            </w:r>
          </w:p>
        </w:tc>
        <w:tc>
          <w:tcPr>
            <w:tcW w:w="80" w:type="dxa"/>
            <w:tcBorders/>
            <w:shd w:fill="FFFFFF" w:val="clear"/>
            <w:vAlign w:val="center"/>
          </w:tcPr>
          <w:p>
            <w:pPr>
              <w:pStyle w:val="TableContents"/>
              <w:bidi w:val="0"/>
              <w:spacing w:before="0" w:after="283"/>
              <w:jc w:val="left"/>
              <w:rPr/>
            </w:pPr>
            <w:r>
              <w:rPr/>
              <w:t> </w:t>
            </w:r>
          </w:p>
        </w:tc>
      </w:tr>
      <w:tr>
        <w:trPr/>
        <w:tc>
          <w:tcPr>
            <w:tcW w:w="48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133"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228"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pPr>
            <w:r>
              <w:rPr/>
              <w:t> </w:t>
            </w:r>
          </w:p>
        </w:tc>
      </w:tr>
      <w:tr>
        <w:trPr/>
        <w:tc>
          <w:tcPr>
            <w:tcW w:w="48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12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ind w:left="0" w:right="0" w:hanging="0"/>
              <w:jc w:val="left"/>
              <w:rPr/>
            </w:pPr>
            <w:r>
              <w:rPr/>
              <w:t> </w:t>
            </w:r>
          </w:p>
        </w:tc>
        <w:tc>
          <w:tcPr>
            <w:tcW w:w="19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8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(0.18</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potentially dilutive securities were excluded from the diluted net loss per share as their effect would have been antidilutive (in thousands):</w:t>
      </w:r>
    </w:p>
    <w:p>
      <w:pPr>
        <w:pStyle w:val="TextBody"/>
        <w:bidi w:val="0"/>
        <w:spacing w:before="0" w:after="0"/>
        <w:ind w:left="0" w:right="0" w:firstLine="720"/>
        <w:jc w:val="left"/>
        <w:rPr/>
      </w:pPr>
      <w:r>
        <w:rPr/>
        <w:t> </w:t>
      </w:r>
    </w:p>
    <w:tbl>
      <w:tblPr>
        <w:tblW w:w="5514" w:type="dxa"/>
        <w:jc w:val="left"/>
        <w:tblInd w:w="0" w:type="dxa"/>
        <w:tblLayout w:type="fixed"/>
        <w:tblCellMar>
          <w:top w:w="0" w:type="dxa"/>
          <w:left w:w="0" w:type="dxa"/>
          <w:bottom w:w="0" w:type="dxa"/>
          <w:right w:w="0" w:type="dxa"/>
        </w:tblCellMar>
      </w:tblPr>
      <w:tblGrid>
        <w:gridCol w:w="2810"/>
        <w:gridCol w:w="60"/>
        <w:gridCol w:w="128"/>
        <w:gridCol w:w="1036"/>
        <w:gridCol w:w="128"/>
        <w:gridCol w:w="128"/>
        <w:gridCol w:w="128"/>
        <w:gridCol w:w="1036"/>
        <w:gridCol w:w="60"/>
      </w:tblGrid>
      <w:tr>
        <w:trPr/>
        <w:tc>
          <w:tcPr>
            <w:tcW w:w="28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16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stock units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2,796</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03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3,128</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for convertible senior notes</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3,116</w:t>
            </w:r>
          </w:p>
        </w:tc>
        <w:tc>
          <w:tcPr>
            <w:tcW w:w="128"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5,264</w:t>
            </w:r>
          </w:p>
        </w:tc>
        <w:tc>
          <w:tcPr>
            <w:tcW w:w="60" w:type="dxa"/>
            <w:tcBorders/>
            <w:shd w:fill="FFFFFF" w:val="clear"/>
            <w:vAlign w:val="center"/>
          </w:tcPr>
          <w:p>
            <w:pPr>
              <w:pStyle w:val="TableContents"/>
              <w:bidi w:val="0"/>
              <w:spacing w:before="0" w:after="283"/>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antidilutive shares</w:t>
            </w:r>
          </w:p>
        </w:tc>
        <w:tc>
          <w:tcPr>
            <w:tcW w:w="60"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5,912</w:t>
            </w:r>
          </w:p>
        </w:tc>
        <w:tc>
          <w:tcPr>
            <w:tcW w:w="128"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1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7.</w:t>
      </w:r>
      <w:r>
        <w:rPr>
          <w:rFonts w:ascii="Times New Roman" w:hAnsi="Times New Roman"/>
          <w:b/>
          <w:sz w:val="20"/>
        </w:rPr>
        <w:t>  Inventories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Inventories, net of inventory write-downs, consist of the following for the periods indicated (in thousands):​</w:t>
      </w:r>
    </w:p>
    <w:p>
      <w:pPr>
        <w:pStyle w:val="TextBody"/>
        <w:bidi w:val="0"/>
        <w:spacing w:before="0" w:after="0"/>
        <w:ind w:left="0" w:right="0" w:firstLine="720"/>
        <w:jc w:val="left"/>
        <w:rPr/>
      </w:pPr>
      <w:r>
        <w:rPr/>
        <w:t> </w:t>
      </w:r>
    </w:p>
    <w:tbl>
      <w:tblPr>
        <w:tblW w:w="6158" w:type="dxa"/>
        <w:jc w:val="left"/>
        <w:tblInd w:w="0" w:type="dxa"/>
        <w:tblLayout w:type="fixed"/>
        <w:tblCellMar>
          <w:top w:w="0" w:type="dxa"/>
          <w:left w:w="0" w:type="dxa"/>
          <w:bottom w:w="0" w:type="dxa"/>
          <w:right w:w="0" w:type="dxa"/>
        </w:tblCellMar>
      </w:tblPr>
      <w:tblGrid>
        <w:gridCol w:w="2930"/>
        <w:gridCol w:w="60"/>
        <w:gridCol w:w="204"/>
        <w:gridCol w:w="1135"/>
        <w:gridCol w:w="80"/>
        <w:gridCol w:w="60"/>
        <w:gridCol w:w="259"/>
        <w:gridCol w:w="1350"/>
        <w:gridCol w:w="80"/>
      </w:tblGrid>
      <w:tr>
        <w:trPr/>
        <w:tc>
          <w:tcPr>
            <w:tcW w:w="293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58,287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50,379</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 and sub-assemblies</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11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45,921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ind w:left="0" w:right="0" w:hanging="0"/>
              <w:jc w:val="left"/>
              <w:rPr/>
            </w:pPr>
            <w:r>
              <w:rPr/>
              <w:t> </w:t>
            </w:r>
          </w:p>
        </w:tc>
        <w:tc>
          <w:tcPr>
            <w:tcW w:w="13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35,716</w:t>
            </w:r>
          </w:p>
        </w:tc>
        <w:tc>
          <w:tcPr>
            <w:tcW w:w="80" w:type="dxa"/>
            <w:tcBorders/>
            <w:shd w:fill="FFFFFF" w:val="clear"/>
            <w:vAlign w:val="center"/>
          </w:tcPr>
          <w:p>
            <w:pPr>
              <w:pStyle w:val="TableContents"/>
              <w:bidi w:val="0"/>
              <w:spacing w:before="0" w:after="283"/>
              <w:jc w:val="left"/>
              <w:rPr/>
            </w:pPr>
            <w:r>
              <w:rPr/>
              <w:t> </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11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ind w:left="0" w:right="0" w:hanging="0"/>
              <w:jc w:val="left"/>
              <w:rPr/>
            </w:pPr>
            <w:r>
              <w:rPr/>
              <w:t> </w:t>
            </w:r>
          </w:p>
        </w:tc>
        <w:tc>
          <w:tcPr>
            <w:tcW w:w="13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17,291</w:t>
            </w:r>
          </w:p>
        </w:tc>
        <w:tc>
          <w:tcPr>
            <w:tcW w:w="80" w:type="dxa"/>
            <w:tcBorders/>
            <w:shd w:fill="CCEEFF" w:val="clear"/>
            <w:vAlign w:val="center"/>
          </w:tcPr>
          <w:p>
            <w:pPr>
              <w:pStyle w:val="TableContents"/>
              <w:bidi w:val="0"/>
              <w:spacing w:before="0" w:after="283"/>
              <w:jc w:val="left"/>
              <w:rPr/>
            </w:pPr>
            <w:r>
              <w:rPr/>
              <w:t> </w:t>
            </w:r>
          </w:p>
        </w:tc>
      </w:tr>
      <w:tr>
        <w:trPr/>
        <w:tc>
          <w:tcPr>
            <w:tcW w:w="29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for inventory</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(16,596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5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102,313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88,135</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the inventory reserve adjustment expensed for inventory was $</w:t>
      </w:r>
      <w:r>
        <w:rPr>
          <w:rFonts w:ascii="Times New Roman" w:hAnsi="Times New Roman"/>
          <w:caps w:val="false"/>
          <w:smallCaps w:val="false"/>
          <w:color w:val="000000"/>
          <w:sz w:val="20"/>
        </w:rPr>
        <w:t>1.9</w:t>
      </w:r>
      <w:r>
        <w:rPr>
          <w:rFonts w:ascii="Times New Roman" w:hAnsi="Times New Roman"/>
          <w:caps w:val="false"/>
          <w:smallCaps w:val="false"/>
          <w:sz w:val="20"/>
        </w:rPr>
        <w:t> million and $1.6 million, respectively.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the direct inventory write-offs related to scrap, discontinued products and damaged inventories were both $0.9 million. </w:t>
      </w:r>
    </w:p>
    <w:p>
      <w:pPr>
        <w:pStyle w:val="TextBody"/>
        <w:bidi w:val="0"/>
        <w:spacing w:before="0" w:after="0"/>
        <w:ind w:left="0" w:right="0" w:hanging="0"/>
        <w:jc w:val="left"/>
        <w:rPr/>
      </w:pPr>
      <w:r>
        <w:rPr/>
        <w:t xml:space="preserve">    </w:t>
      </w:r>
      <w:r>
        <w:rPr>
          <w:shd w:fill="FFFFFF" w:val="clear"/>
        </w:rPr>
        <w:t xml:space="preserve">​ </w:t>
      </w:r>
    </w:p>
    <w:p>
      <w:pPr>
        <w:pStyle w:val="TextBody"/>
        <w:bidi w:val="0"/>
        <w:spacing w:before="0" w:after="0"/>
        <w:jc w:val="center"/>
        <w:rPr/>
      </w:pPr>
      <w:r>
        <w:rPr>
          <w:rStyle w:val="Emphasis"/>
          <w:rFonts w:ascii="Times New Roman" w:hAnsi="Times New Roman"/>
          <w:sz w:val="20"/>
        </w:rPr>
        <w:t>11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8.</w:t>
      </w:r>
      <w:r>
        <w:rPr>
          <w:rFonts w:ascii="Times New Roman;Times;serif" w:hAnsi="Times New Roman;Times;serif"/>
          <w:b/>
          <w:sz w:val="20"/>
        </w:rPr>
        <w:t>  Property, Plant &amp; Equipment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Property, plant and equipment consisted of the following for the periods indicated (in thousands):</w:t>
      </w:r>
    </w:p>
    <w:p>
      <w:pPr>
        <w:pStyle w:val="TextBody"/>
        <w:bidi w:val="0"/>
        <w:spacing w:before="0" w:after="0"/>
        <w:ind w:left="0" w:right="0" w:firstLine="720"/>
        <w:jc w:val="left"/>
        <w:rPr/>
      </w:pPr>
      <w:r>
        <w:rPr/>
        <w:t>​</w:t>
      </w:r>
    </w:p>
    <w:tbl>
      <w:tblPr>
        <w:tblW w:w="6533" w:type="dxa"/>
        <w:jc w:val="left"/>
        <w:tblInd w:w="0" w:type="dxa"/>
        <w:tblLayout w:type="fixed"/>
        <w:tblCellMar>
          <w:top w:w="0" w:type="dxa"/>
          <w:left w:w="0" w:type="dxa"/>
          <w:bottom w:w="0" w:type="dxa"/>
          <w:right w:w="0" w:type="dxa"/>
        </w:tblCellMar>
      </w:tblPr>
      <w:tblGrid>
        <w:gridCol w:w="3305"/>
        <w:gridCol w:w="60"/>
        <w:gridCol w:w="190"/>
        <w:gridCol w:w="1149"/>
        <w:gridCol w:w="80"/>
        <w:gridCol w:w="60"/>
        <w:gridCol w:w="228"/>
        <w:gridCol w:w="1381"/>
        <w:gridCol w:w="80"/>
      </w:tblGrid>
      <w:tr>
        <w:trPr/>
        <w:tc>
          <w:tcPr>
            <w:tcW w:w="33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9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improvements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118,648</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296,966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275,617</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5,150</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Computer equipment and software</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13,369</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Transportation equipment</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437,598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414,237</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9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(209,085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305" w:type="dxa"/>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90" w:type="dxa"/>
            <w:tcBorders/>
            <w:shd w:fill="CCEEFF" w:val="clear"/>
            <w:vAlign w:val="center"/>
          </w:tcPr>
          <w:p>
            <w:pPr>
              <w:pStyle w:val="TableContents"/>
              <w:bidi w:val="0"/>
              <w:spacing w:before="0" w:after="283"/>
              <w:ind w:left="0" w:right="0" w:hanging="0"/>
              <w:jc w:val="left"/>
              <w:rPr/>
            </w:pPr>
            <w:r>
              <w:rPr/>
              <w:t> </w:t>
            </w:r>
          </w:p>
        </w:tc>
        <w:tc>
          <w:tcPr>
            <w:tcW w:w="11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228,513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209,737</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190" w:type="dxa"/>
            <w:tcBorders/>
            <w:shd w:fill="FFFFFF" w:val="clear"/>
            <w:vAlign w:val="center"/>
          </w:tcPr>
          <w:p>
            <w:pPr>
              <w:pStyle w:val="TableContents"/>
              <w:bidi w:val="0"/>
              <w:spacing w:before="0" w:after="283"/>
              <w:ind w:left="0" w:right="0" w:hanging="0"/>
              <w:jc w:val="left"/>
              <w:rPr/>
            </w:pPr>
            <w:r>
              <w:rPr/>
              <w:t> </w:t>
            </w:r>
          </w:p>
        </w:tc>
        <w:tc>
          <w:tcPr>
            <w:tcW w:w="11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8,397</w:t>
            </w:r>
          </w:p>
        </w:tc>
        <w:tc>
          <w:tcPr>
            <w:tcW w:w="80" w:type="dxa"/>
            <w:tcBorders/>
            <w:shd w:fill="FFFFFF" w:val="clear"/>
            <w:vAlign w:val="center"/>
          </w:tcPr>
          <w:p>
            <w:pPr>
              <w:pStyle w:val="TableContents"/>
              <w:bidi w:val="0"/>
              <w:spacing w:before="0" w:after="283"/>
              <w:jc w:val="left"/>
              <w:rPr/>
            </w:pPr>
            <w:r>
              <w:rPr/>
              <w:t> </w:t>
            </w:r>
          </w:p>
        </w:tc>
      </w:tr>
      <w:tr>
        <w:trPr/>
        <w:tc>
          <w:tcPr>
            <w:tcW w:w="33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w:t>
            </w:r>
          </w:p>
        </w:tc>
        <w:tc>
          <w:tcPr>
            <w:tcW w:w="60" w:type="dxa"/>
            <w:tcBorders/>
            <w:shd w:fill="CCEEFF" w:val="clear"/>
            <w:vAlign w:val="center"/>
          </w:tcPr>
          <w:p>
            <w:pPr>
              <w:pStyle w:val="TableContents"/>
              <w:bidi w:val="0"/>
              <w:spacing w:before="0" w:after="283"/>
              <w:jc w:val="left"/>
              <w:rPr/>
            </w:pPr>
            <w:r>
              <w:rPr/>
              <w:t> </w:t>
            </w:r>
          </w:p>
        </w:tc>
        <w:tc>
          <w:tcPr>
            <w:tcW w:w="19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CCEEFF" w:val="clear"/>
            <w:vAlign w:val="center"/>
          </w:tcPr>
          <w:p>
            <w:pPr>
              <w:pStyle w:val="TableContents"/>
              <w:bidi w:val="0"/>
              <w:spacing w:before="0" w:after="283"/>
              <w:jc w:val="left"/>
              <w:rPr/>
            </w:pPr>
            <w:r>
              <w:rPr/>
              <w:t> </w:t>
            </w:r>
          </w:p>
        </w:tc>
      </w:tr>
      <w:tr>
        <w:trPr/>
        <w:tc>
          <w:tcPr>
            <w:tcW w:w="33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property, plant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9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241,453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219,235</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March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the depreciation expense of property, plant and equipment was $5.6 million and $4.9 million, respectively.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As of </w:t>
      </w:r>
      <w:r>
        <w:rPr>
          <w:rStyle w:val="Emphasis"/>
          <w:rFonts w:ascii="Times New Roman;Times;serif" w:hAnsi="Times New Roman;Times;serif"/>
          <w:sz w:val="20"/>
        </w:rPr>
        <w:t>March 31, 2025</w:t>
      </w:r>
      <w:r>
        <w:rPr>
          <w:rFonts w:ascii="Times New Roman;Times;serif" w:hAnsi="Times New Roman;Times;serif"/>
          <w:i/>
          <w:sz w:val="20"/>
        </w:rPr>
        <w:t xml:space="preserve">, </w:t>
      </w:r>
      <w:r>
        <w:rPr>
          <w:rFonts w:ascii="Times New Roman;Times;serif" w:hAnsi="Times New Roman;Times;serif"/>
          <w:sz w:val="20"/>
        </w:rPr>
        <w:t xml:space="preserve">the Company concluded that its continued loss history constitutes a triggering event as described in ASC </w:t>
      </w:r>
      <w:r>
        <w:rPr>
          <w:rStyle w:val="Emphasis"/>
          <w:rFonts w:ascii="Times New Roman;Times;serif" w:hAnsi="Times New Roman;Times;serif"/>
          <w:i/>
          <w:sz w:val="20"/>
        </w:rPr>
        <w:t>360</w:t>
      </w:r>
      <w:r>
        <w:rPr>
          <w:rFonts w:ascii="Times New Roman;Times;serif" w:hAnsi="Times New Roman;Times;serif"/>
          <w:sz w:val="20"/>
        </w:rPr>
        <w:t>-</w:t>
      </w:r>
      <w:r>
        <w:rPr>
          <w:rStyle w:val="Emphasis"/>
          <w:rFonts w:ascii="Times New Roman;Times;serif" w:hAnsi="Times New Roman;Times;serif"/>
          <w:i/>
          <w:sz w:val="20"/>
        </w:rPr>
        <w:t>10</w:t>
      </w:r>
      <w:r>
        <w:rPr>
          <w:rFonts w:ascii="Times New Roman;Times;serif" w:hAnsi="Times New Roman;Times;serif"/>
          <w:sz w:val="20"/>
        </w:rPr>
        <w:t>-</w:t>
      </w:r>
      <w:r>
        <w:rPr>
          <w:rStyle w:val="Emphasis"/>
          <w:rFonts w:ascii="Times New Roman;Times;serif" w:hAnsi="Times New Roman;Times;serif"/>
          <w:i/>
          <w:sz w:val="20"/>
        </w:rPr>
        <w:t>35</w:t>
      </w:r>
      <w:r>
        <w:rPr>
          <w:rFonts w:ascii="Times New Roman;Times;serif" w:hAnsi="Times New Roman;Times;serif"/>
          <w:sz w:val="20"/>
        </w:rPr>
        <w:t>-</w:t>
      </w:r>
      <w:r>
        <w:rPr>
          <w:rStyle w:val="Emphasis"/>
          <w:rFonts w:ascii="Times New Roman;Times;serif" w:hAnsi="Times New Roman;Times;serif"/>
          <w:i/>
          <w:sz w:val="20"/>
        </w:rPr>
        <w:t>21,</w:t>
      </w:r>
      <w:r>
        <w:rPr>
          <w:rFonts w:ascii="Times New Roman;Times;serif" w:hAnsi="Times New Roman;Times;serif"/>
          <w:sz w:val="20"/>
        </w:rPr>
        <w:t xml:space="preserve"> </w:t>
      </w:r>
      <w:r>
        <w:rPr>
          <w:rFonts w:ascii="Times New Roman;Times;serif" w:hAnsi="Times New Roman;Times;serif"/>
          <w:i/>
          <w:sz w:val="20"/>
        </w:rPr>
        <w:t>Property, Plant, and Equipment</w:t>
      </w:r>
      <w:r>
        <w:rPr>
          <w:rFonts w:ascii="Times New Roman;Times;serif" w:hAnsi="Times New Roman;Times;serif"/>
          <w:sz w:val="20"/>
        </w:rPr>
        <w:t xml:space="preserve">.  The Company performed a recoverability test and concluded that future undiscounted cash flows exceed the carrying amount of the Company’s long-lived assets and therefore </w:t>
      </w:r>
      <w:r>
        <w:rPr>
          <w:rStyle w:val="Emphasis"/>
          <w:rFonts w:ascii="Times New Roman;Times;serif" w:hAnsi="Times New Roman;Times;serif"/>
          <w:sz w:val="20"/>
        </w:rPr>
        <w:t>no</w:t>
      </w:r>
      <w:r>
        <w:rPr>
          <w:rFonts w:ascii="Times New Roman;Times;serif" w:hAnsi="Times New Roman;Times;serif"/>
          <w:sz w:val="20"/>
        </w:rPr>
        <w:t xml:space="preserve"> impairment charge was recorded.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9.</w:t>
      </w:r>
      <w:r>
        <w:rPr>
          <w:rFonts w:ascii="Times New Roman;Times;serif" w:hAnsi="Times New Roman;Times;serif"/>
          <w:b/>
          <w:sz w:val="20"/>
        </w:rPr>
        <w:t>  Intangible Assets, net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Intangible assets consisted of the following for the periods indicated (in thousands):</w:t>
      </w:r>
    </w:p>
    <w:p>
      <w:pPr>
        <w:pStyle w:val="TextBody"/>
        <w:bidi w:val="0"/>
        <w:spacing w:before="0" w:after="0"/>
        <w:ind w:left="0" w:right="0" w:firstLine="720"/>
        <w:jc w:val="left"/>
        <w:rPr/>
      </w:pPr>
      <w:r>
        <w:rPr/>
        <w:t>​</w:t>
      </w:r>
    </w:p>
    <w:tbl>
      <w:tblPr>
        <w:tblW w:w="4950" w:type="dxa"/>
        <w:jc w:val="left"/>
        <w:tblInd w:w="0" w:type="dxa"/>
        <w:tblLayout w:type="fixed"/>
        <w:tblCellMar>
          <w:top w:w="0" w:type="dxa"/>
          <w:left w:w="0" w:type="dxa"/>
          <w:bottom w:w="0" w:type="dxa"/>
          <w:right w:w="0" w:type="dxa"/>
        </w:tblCellMar>
      </w:tblPr>
      <w:tblGrid>
        <w:gridCol w:w="1850"/>
        <w:gridCol w:w="60"/>
        <w:gridCol w:w="125"/>
        <w:gridCol w:w="590"/>
        <w:gridCol w:w="60"/>
        <w:gridCol w:w="60"/>
        <w:gridCol w:w="208"/>
        <w:gridCol w:w="907"/>
        <w:gridCol w:w="80"/>
        <w:gridCol w:w="60"/>
        <w:gridCol w:w="182"/>
        <w:gridCol w:w="708"/>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8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2025</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Intangible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assets, net</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3,472</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tbl>
      <w:tblPr>
        <w:tblW w:w="4950" w:type="dxa"/>
        <w:jc w:val="left"/>
        <w:tblInd w:w="0" w:type="dxa"/>
        <w:tblLayout w:type="fixed"/>
        <w:tblCellMar>
          <w:top w:w="0" w:type="dxa"/>
          <w:left w:w="0" w:type="dxa"/>
          <w:bottom w:w="0" w:type="dxa"/>
          <w:right w:w="0" w:type="dxa"/>
        </w:tblCellMar>
      </w:tblPr>
      <w:tblGrid>
        <w:gridCol w:w="1850"/>
        <w:gridCol w:w="60"/>
        <w:gridCol w:w="125"/>
        <w:gridCol w:w="590"/>
        <w:gridCol w:w="60"/>
        <w:gridCol w:w="60"/>
        <w:gridCol w:w="208"/>
        <w:gridCol w:w="907"/>
        <w:gridCol w:w="80"/>
        <w:gridCol w:w="60"/>
        <w:gridCol w:w="182"/>
        <w:gridCol w:w="708"/>
        <w:gridCol w:w="60"/>
      </w:tblGrid>
      <w:tr>
        <w:trPr/>
        <w:tc>
          <w:tcPr>
            <w:tcW w:w="1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8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Gross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Intangible</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amortization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assets, net</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Patents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3,518</w:t>
            </w:r>
          </w:p>
        </w:tc>
        <w:tc>
          <w:tcPr>
            <w:tcW w:w="60" w:type="dxa"/>
            <w:tcBorders/>
            <w:shd w:fill="CCEEFF" w:val="clear"/>
            <w:vAlign w:val="center"/>
          </w:tcPr>
          <w:p>
            <w:pPr>
              <w:pStyle w:val="TableContents"/>
              <w:bidi w:val="0"/>
              <w:spacing w:before="0" w:after="283"/>
              <w:jc w:val="left"/>
              <w:rPr/>
            </w:pPr>
            <w:r>
              <w:rPr/>
              <w:t> </w:t>
            </w:r>
          </w:p>
        </w:tc>
      </w:tr>
      <w:tr>
        <w:trPr/>
        <w:tc>
          <w:tcPr>
            <w:tcW w:w="18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60" w:type="dxa"/>
            <w:tcBorders/>
            <w:shd w:fill="FFFFFF" w:val="clear"/>
            <w:vAlign w:val="center"/>
          </w:tcPr>
          <w:p>
            <w:pPr>
              <w:pStyle w:val="TableContents"/>
              <w:bidi w:val="0"/>
              <w:spacing w:before="0" w:after="283"/>
              <w:jc w:val="left"/>
              <w:rPr/>
            </w:pPr>
            <w:r>
              <w:rPr/>
              <w:t> </w:t>
            </w:r>
          </w:p>
        </w:tc>
      </w:tr>
      <w:tr>
        <w:trPr/>
        <w:tc>
          <w:tcPr>
            <w:tcW w:w="18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March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rPr>
        <w:t>, amortization expense for intangible assets, included in general and administrative expenses on the sta</w:t>
      </w:r>
      <w:r>
        <w:rPr>
          <w:rFonts w:ascii="Times New Roman;Times;serif" w:hAnsi="Times New Roman;Times;serif"/>
          <w:color w:val="000000"/>
          <w:sz w:val="20"/>
        </w:rPr>
        <w:t>tement of</w:t>
      </w:r>
      <w:r>
        <w:rPr>
          <w:rFonts w:ascii="Times New Roman;Times;serif" w:hAnsi="Times New Roman;Times;serif"/>
          <w:color w:val="000000"/>
          <w:sz w:val="20"/>
          <w:shd w:fill="FFFFFF" w:val="clear"/>
        </w:rPr>
        <w:t xml:space="preserve"> operations, was $0.2 million and $0.1 million, respectively. The remaining weighted average amortization period for intangible assets is approximately 9 years.</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March 31, 2025</w:t>
      </w:r>
      <w:r>
        <w:rPr>
          <w:rFonts w:ascii="Times New Roman;Times;serif" w:hAnsi="Times New Roman;Times;serif"/>
          <w:sz w:val="20"/>
        </w:rPr>
        <w:t>, future amortization expenses for intangible assets for future periods are estimated to be (in thousands):</w:t>
      </w:r>
    </w:p>
    <w:p>
      <w:pPr>
        <w:pStyle w:val="TextBody"/>
        <w:bidi w:val="0"/>
        <w:spacing w:before="0" w:after="0"/>
        <w:ind w:left="0" w:right="0" w:firstLine="720"/>
        <w:jc w:val="left"/>
        <w:rPr/>
      </w:pPr>
      <w:r>
        <w:rPr/>
        <w:t> </w:t>
      </w:r>
    </w:p>
    <w:tbl>
      <w:tblPr>
        <w:tblW w:w="2955" w:type="dxa"/>
        <w:jc w:val="left"/>
        <w:tblInd w:w="0" w:type="dxa"/>
        <w:tblLayout w:type="fixed"/>
        <w:tblCellMar>
          <w:top w:w="0" w:type="dxa"/>
          <w:left w:w="0" w:type="dxa"/>
          <w:bottom w:w="0" w:type="dxa"/>
          <w:right w:w="0" w:type="dxa"/>
        </w:tblCellMar>
      </w:tblPr>
      <w:tblGrid>
        <w:gridCol w:w="2225"/>
        <w:gridCol w:w="60"/>
        <w:gridCol w:w="125"/>
        <w:gridCol w:w="485"/>
        <w:gridCol w:w="60"/>
      </w:tblGrid>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 (remaining 9 months)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w:t>
            </w:r>
          </w:p>
        </w:tc>
        <w:tc>
          <w:tcPr>
            <w:tcW w:w="60" w:type="dxa"/>
            <w:tcBorders/>
            <w:shd w:fill="CCEEFF" w:val="clear"/>
            <w:vAlign w:val="center"/>
          </w:tcPr>
          <w:p>
            <w:pPr>
              <w:pStyle w:val="TableContents"/>
              <w:bidi w:val="0"/>
              <w:spacing w:before="0" w:after="283"/>
              <w:jc w:val="left"/>
              <w:rPr/>
            </w:pPr>
            <w:r>
              <w:rPr/>
              <w:t> </w:t>
            </w:r>
          </w:p>
        </w:tc>
      </w:tr>
      <w:tr>
        <w:trPr/>
        <w:tc>
          <w:tcPr>
            <w:tcW w:w="22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 and 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1,591</w:t>
            </w:r>
          </w:p>
        </w:tc>
        <w:tc>
          <w:tcPr>
            <w:tcW w:w="60" w:type="dxa"/>
            <w:tcBorders/>
            <w:shd w:fill="FFFFFF" w:val="clear"/>
            <w:vAlign w:val="center"/>
          </w:tcPr>
          <w:p>
            <w:pPr>
              <w:pStyle w:val="TableContents"/>
              <w:bidi w:val="0"/>
              <w:spacing w:before="0" w:after="283"/>
              <w:jc w:val="left"/>
              <w:rPr/>
            </w:pPr>
            <w:r>
              <w:rPr/>
              <w:t> </w:t>
            </w:r>
          </w:p>
        </w:tc>
      </w:tr>
      <w:tr>
        <w:trPr/>
        <w:tc>
          <w:tcPr>
            <w:tcW w:w="22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Times;serif" w:hAnsi="Times New Roman;Times;serif"/>
          <w:b/>
          <w:sz w:val="20"/>
        </w:rPr>
        <w:t xml:space="preserve">Note </w:t>
      </w:r>
      <w:r>
        <w:rPr>
          <w:rStyle w:val="Emphasis"/>
          <w:rFonts w:ascii="Times New Roman;Times;serif" w:hAnsi="Times New Roman;Times;serif"/>
          <w:b/>
          <w:sz w:val="20"/>
        </w:rPr>
        <w:t>10.</w:t>
      </w:r>
      <w:r>
        <w:rPr>
          <w:rFonts w:ascii="Times New Roman;Times;serif" w:hAnsi="Times New Roman;Times;serif"/>
          <w:b/>
          <w:sz w:val="20"/>
        </w:rPr>
        <w:t>  Fair Value of Financial Instruments​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carrying value amounts of cash and cash equivalents, restricted cash, accounts receivable, prepaid expenses, notes receivable and other current assets, accounts payable, accrued expenses, bank acceptance payable and other current liabilities approximate fair value because of the short-term maturity of these instruments. The Company believes that the interest rates in effect at each period end represent the current market rates for similar borrowings.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Company's accounts receivable was $171.1 million as of </w:t>
      </w:r>
      <w:r>
        <w:rPr>
          <w:rStyle w:val="Emphasis"/>
          <w:rFonts w:ascii="Times New Roman;Times;serif" w:hAnsi="Times New Roman;Times;serif"/>
          <w:sz w:val="20"/>
        </w:rPr>
        <w:t xml:space="preserve">March 31, 2025. </w:t>
      </w:r>
      <w:r>
        <w:rPr>
          <w:rFonts w:ascii="Times New Roman;Times;serif" w:hAnsi="Times New Roman;Times;serif"/>
          <w:sz w:val="20"/>
        </w:rPr>
        <w:t xml:space="preserve">Of this amount, $136.2 million was due from DigiComm International Inc. </w:t>
      </w:r>
      <w:r>
        <w:rPr>
          <w:rFonts w:ascii="Times New Roman;Times;serif" w:hAnsi="Times New Roman;Times;serif"/>
          <w:sz w:val="20"/>
          <w:shd w:fill="FFFFFF" w:val="clear"/>
        </w:rPr>
        <w:t xml:space="preserve">For the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months ended </w:t>
      </w:r>
      <w:r>
        <w:rPr>
          <w:rStyle w:val="Emphasis"/>
          <w:rFonts w:ascii="Times New Roman;Times;serif" w:hAnsi="Times New Roman;Times;serif"/>
          <w:sz w:val="20"/>
        </w:rPr>
        <w:t xml:space="preserve">March 31, 2025 </w:t>
      </w:r>
      <w:r>
        <w:rPr>
          <w:rFonts w:ascii="Times New Roman;Times;serif" w:hAnsi="Times New Roman;Times;serif"/>
          <w:sz w:val="20"/>
        </w:rPr>
        <w:t xml:space="preserve">and </w:t>
      </w:r>
      <w:r>
        <w:rPr>
          <w:rStyle w:val="Emphasis"/>
          <w:rFonts w:ascii="Times New Roman;Times;serif" w:hAnsi="Times New Roman;Times;serif"/>
          <w:sz w:val="20"/>
        </w:rPr>
        <w:t>2024</w:t>
      </w:r>
      <w:r>
        <w:rPr>
          <w:rFonts w:ascii="Times New Roman;Times;serif" w:hAnsi="Times New Roman;Times;serif"/>
          <w:sz w:val="20"/>
          <w:shd w:fill="FFFFFF" w:val="clear"/>
        </w:rPr>
        <w:t>, our top ten customers represented 97% and 92% of our revenue, respectively.</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The fair value of convertible senior notes is measured for disclosure purposes only. The fair value and carrying amount of our convertible senior notes as of </w:t>
      </w:r>
      <w:r>
        <w:rPr>
          <w:rStyle w:val="Emphasis"/>
          <w:rFonts w:ascii="Times New Roman;Times;serif" w:hAnsi="Times New Roman;Times;serif"/>
          <w:sz w:val="20"/>
        </w:rPr>
        <w:t xml:space="preserve"> March 31, 2025</w:t>
      </w:r>
      <w:r>
        <w:rPr>
          <w:rFonts w:ascii="Times New Roman;Times;serif" w:hAnsi="Times New Roman;Times;serif"/>
          <w:sz w:val="20"/>
        </w:rPr>
        <w:t xml:space="preserve"> was $</w:t>
      </w:r>
      <w:r>
        <w:rPr>
          <w:rFonts w:ascii="Times New Roman;Times;serif" w:hAnsi="Times New Roman;Times;serif"/>
          <w:sz w:val="20"/>
          <w:shd w:fill="FFFFFF" w:val="clear"/>
        </w:rPr>
        <w:t>102.9 </w:t>
      </w:r>
      <w:r>
        <w:rPr>
          <w:rFonts w:ascii="Times New Roman;Times;serif" w:hAnsi="Times New Roman;Times;serif"/>
          <w:sz w:val="20"/>
        </w:rPr>
        <w:t xml:space="preserve">million and $134.2 million, respectively. As of </w:t>
      </w:r>
      <w:r>
        <w:rPr>
          <w:rStyle w:val="Emphasis"/>
          <w:rFonts w:ascii="Times New Roman;Times;serif" w:hAnsi="Times New Roman;Times;serif"/>
          <w:sz w:val="20"/>
        </w:rPr>
        <w:t>December 31, 2024</w:t>
      </w:r>
      <w:r>
        <w:rPr>
          <w:rFonts w:ascii="Times New Roman;Times;serif" w:hAnsi="Times New Roman;Times;serif"/>
          <w:sz w:val="20"/>
        </w:rPr>
        <w:t xml:space="preserve">, the fair value and carrying amount of our convertible senior notes were $148.6 million and $134.5 million, respectively. The fair value is based on observable market prices for this debt, which is traded in less active markets and are therefore classified as a Level </w:t>
      </w:r>
      <w:r>
        <w:rPr>
          <w:rStyle w:val="Emphasis"/>
          <w:rFonts w:ascii="Times New Roman;Times;serif" w:hAnsi="Times New Roman;Times;serif"/>
          <w:sz w:val="20"/>
        </w:rPr>
        <w:t>2</w:t>
      </w:r>
      <w:r>
        <w:rPr>
          <w:rFonts w:ascii="Times New Roman;Times;serif" w:hAnsi="Times New Roman;Times;serif"/>
          <w:sz w:val="20"/>
        </w:rPr>
        <w:t xml:space="preserve"> fair value measurement.</w:t>
      </w:r>
    </w:p>
    <w:p>
      <w:pPr>
        <w:pStyle w:val="TextBody"/>
        <w:bidi w:val="0"/>
        <w:spacing w:before="0" w:after="0"/>
        <w:ind w:left="0" w:right="144" w:firstLine="720"/>
        <w:jc w:val="left"/>
        <w:rPr/>
      </w:pPr>
      <w:r>
        <w:rPr/>
        <w:t>  </w:t>
      </w:r>
    </w:p>
    <w:p>
      <w:pPr>
        <w:pStyle w:val="TextBody"/>
        <w:bidi w:val="0"/>
        <w:spacing w:before="0" w:after="0"/>
        <w:jc w:val="center"/>
        <w:rPr/>
      </w:pPr>
      <w:r>
        <w:rPr>
          <w:rStyle w:val="Emphasis"/>
          <w:rFonts w:ascii="Times New Roman" w:hAnsi="Times New Roman"/>
          <w:sz w:val="20"/>
        </w:rPr>
        <w:t>12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11.</w:t>
      </w:r>
      <w:r>
        <w:rPr>
          <w:rFonts w:ascii="Times New Roman;Times;serif" w:hAnsi="Times New Roman;Times;serif"/>
          <w:b/>
          <w:sz w:val="20"/>
        </w:rPr>
        <w:t>  Notes Payable and Long-Term Debt</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Notes payable and long-term debt consisted of the following for the periods indicated (in thousands):</w:t>
      </w:r>
    </w:p>
    <w:p>
      <w:pPr>
        <w:pStyle w:val="TextBody"/>
        <w:bidi w:val="0"/>
        <w:spacing w:before="0" w:after="0"/>
        <w:ind w:left="0" w:right="0" w:firstLine="720"/>
        <w:jc w:val="left"/>
        <w:rPr/>
      </w:pPr>
      <w:r>
        <w:rPr/>
        <w:t>​</w:t>
      </w:r>
    </w:p>
    <w:tbl>
      <w:tblPr>
        <w:tblW w:w="10205" w:type="dxa"/>
        <w:jc w:val="left"/>
        <w:tblInd w:w="0" w:type="dxa"/>
        <w:tblLayout w:type="fixed"/>
        <w:tblCellMar>
          <w:top w:w="0" w:type="dxa"/>
          <w:left w:w="0" w:type="dxa"/>
          <w:bottom w:w="0" w:type="dxa"/>
          <w:right w:w="0" w:type="dxa"/>
        </w:tblCellMar>
      </w:tblPr>
      <w:tblGrid>
        <w:gridCol w:w="7387"/>
        <w:gridCol w:w="60"/>
        <w:gridCol w:w="187"/>
        <w:gridCol w:w="976"/>
        <w:gridCol w:w="80"/>
        <w:gridCol w:w="60"/>
        <w:gridCol w:w="220"/>
        <w:gridCol w:w="1151"/>
        <w:gridCol w:w="84"/>
      </w:tblGrid>
      <w:tr>
        <w:trPr/>
        <w:tc>
          <w:tcPr>
            <w:tcW w:w="73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84" w:type="dxa"/>
            <w:tcBorders/>
            <w:shd w:fill="FFFFFF" w:val="clear"/>
            <w:vAlign w:val="center"/>
          </w:tcPr>
          <w:p>
            <w:pPr>
              <w:pStyle w:val="TableContents"/>
              <w:bidi w:val="0"/>
              <w:spacing w:before="0" w:after="283"/>
              <w:jc w:val="left"/>
              <w:rPr/>
            </w:pPr>
            <w:r>
              <w:rPr/>
              <w:t> </w:t>
            </w:r>
          </w:p>
        </w:tc>
      </w:tr>
      <w:tr>
        <w:trPr/>
        <w:tc>
          <w:tcPr>
            <w:tcW w:w="73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Revolving line of credit with a China bank up to $24.3 million with interest between 4.00% to 4.35%, maturing May 24, 2029</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13,466</w:t>
            </w:r>
          </w:p>
        </w:tc>
        <w:tc>
          <w:tcPr>
            <w:tcW w:w="84" w:type="dxa"/>
            <w:tcBorders/>
            <w:shd w:fill="CCEEFF" w:val="clear"/>
            <w:vAlign w:val="center"/>
          </w:tcPr>
          <w:p>
            <w:pPr>
              <w:pStyle w:val="TableContents"/>
              <w:bidi w:val="0"/>
              <w:spacing w:before="0" w:after="283"/>
              <w:jc w:val="left"/>
              <w:rPr/>
            </w:pPr>
            <w:r>
              <w:rPr/>
              <w:t> </w:t>
            </w:r>
          </w:p>
        </w:tc>
      </w:tr>
      <w:tr>
        <w:trPr/>
        <w:tc>
          <w:tcPr>
            <w:tcW w:w="73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Credit facility with a China bank up to $28.5 million with interest between 3.10% and 4.35%, maturing June 6, 2027</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13,216</w:t>
            </w:r>
          </w:p>
        </w:tc>
        <w:tc>
          <w:tcPr>
            <w:tcW w:w="84" w:type="dxa"/>
            <w:tcBorders/>
            <w:shd w:fill="FFFFFF" w:val="clear"/>
            <w:vAlign w:val="center"/>
          </w:tcPr>
          <w:p>
            <w:pPr>
              <w:pStyle w:val="TableContents"/>
              <w:bidi w:val="0"/>
              <w:spacing w:before="0" w:after="283"/>
              <w:jc w:val="left"/>
              <w:rPr/>
            </w:pPr>
            <w:r>
              <w:rPr/>
              <w:t> </w:t>
            </w:r>
          </w:p>
        </w:tc>
      </w:tr>
      <w:tr>
        <w:trPr/>
        <w:tc>
          <w:tcPr>
            <w:tcW w:w="73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jc w:val="left"/>
              <w:rPr/>
            </w:pPr>
            <w:r>
              <w:rPr/>
              <w:t> </w:t>
            </w:r>
          </w:p>
        </w:tc>
        <w:tc>
          <w:tcPr>
            <w:tcW w:w="187" w:type="dxa"/>
            <w:tcBorders/>
            <w:shd w:fill="CCEEFF" w:val="clear"/>
            <w:vAlign w:val="center"/>
          </w:tcPr>
          <w:p>
            <w:pPr>
              <w:pStyle w:val="TableContents"/>
              <w:bidi w:val="0"/>
              <w:spacing w:before="0" w:after="283"/>
              <w:ind w:left="0" w:right="0" w:hanging="0"/>
              <w:jc w:val="left"/>
              <w:rPr/>
            </w:pPr>
            <w:r>
              <w:rPr/>
              <w:t> </w:t>
            </w:r>
          </w:p>
        </w:tc>
        <w:tc>
          <w:tcPr>
            <w:tcW w:w="9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1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26,682</w:t>
            </w:r>
          </w:p>
        </w:tc>
        <w:tc>
          <w:tcPr>
            <w:tcW w:w="84" w:type="dxa"/>
            <w:tcBorders/>
            <w:shd w:fill="CCEEFF" w:val="clear"/>
            <w:vAlign w:val="center"/>
          </w:tcPr>
          <w:p>
            <w:pPr>
              <w:pStyle w:val="TableContents"/>
              <w:bidi w:val="0"/>
              <w:spacing w:before="0" w:after="283"/>
              <w:jc w:val="left"/>
              <w:rPr/>
            </w:pPr>
            <w:r>
              <w:rPr/>
              <w:t> </w:t>
            </w:r>
          </w:p>
        </w:tc>
      </w:tr>
      <w:tr>
        <w:trPr/>
        <w:tc>
          <w:tcPr>
            <w:tcW w:w="73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w:t>
            </w:r>
          </w:p>
        </w:tc>
        <w:tc>
          <w:tcPr>
            <w:tcW w:w="60" w:type="dxa"/>
            <w:tcBorders/>
            <w:shd w:fill="FFFFFF" w:val="clear"/>
            <w:vAlign w:val="center"/>
          </w:tcPr>
          <w:p>
            <w:pPr>
              <w:pStyle w:val="TableContents"/>
              <w:bidi w:val="0"/>
              <w:spacing w:before="0" w:after="283"/>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2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(22,369</w:t>
            </w:r>
          </w:p>
        </w:tc>
        <w:tc>
          <w:tcPr>
            <w:tcW w:w="8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portion</w:t>
            </w:r>
          </w:p>
        </w:tc>
        <w:tc>
          <w:tcPr>
            <w:tcW w:w="60" w:type="dxa"/>
            <w:tcBorders/>
            <w:shd w:fill="CCEEFF" w:val="clear"/>
            <w:vAlign w:val="center"/>
          </w:tcPr>
          <w:p>
            <w:pPr>
              <w:pStyle w:val="TableContents"/>
              <w:bidi w:val="0"/>
              <w:spacing w:before="0" w:after="283"/>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4,313</w:t>
            </w:r>
          </w:p>
        </w:tc>
        <w:tc>
          <w:tcPr>
            <w:tcW w:w="84"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593" w:type="dxa"/>
        <w:jc w:val="left"/>
        <w:tblInd w:w="0" w:type="dxa"/>
        <w:tblLayout w:type="fixed"/>
        <w:tblCellMar>
          <w:top w:w="0" w:type="dxa"/>
          <w:left w:w="0" w:type="dxa"/>
          <w:bottom w:w="0" w:type="dxa"/>
          <w:right w:w="0" w:type="dxa"/>
        </w:tblCellMar>
      </w:tblPr>
      <w:tblGrid>
        <w:gridCol w:w="5405"/>
        <w:gridCol w:w="60"/>
        <w:gridCol w:w="234"/>
        <w:gridCol w:w="1105"/>
        <w:gridCol w:w="60"/>
        <w:gridCol w:w="60"/>
        <w:gridCol w:w="280"/>
        <w:gridCol w:w="1329"/>
        <w:gridCol w:w="60"/>
      </w:tblGrid>
      <w:tr>
        <w:trPr/>
        <w:tc>
          <w:tcPr>
            <w:tcW w:w="54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Bank Acceptance Notes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5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acceptance notes issued to vendors with a zero handling fees</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19,260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The current portion of long-term debt is the amount payable within </w:t>
      </w:r>
      <w:r>
        <w:rPr>
          <w:rStyle w:val="Emphasis"/>
          <w:rFonts w:ascii="Times New Roman;Times;serif" w:hAnsi="Times New Roman;Times;serif"/>
          <w:sz w:val="20"/>
        </w:rPr>
        <w:t>one</w:t>
      </w:r>
      <w:r>
        <w:rPr>
          <w:rFonts w:ascii="Times New Roman;Times;serif" w:hAnsi="Times New Roman;Times;serif"/>
          <w:sz w:val="20"/>
        </w:rPr>
        <w:t xml:space="preserve"> year of the balance sheet date of </w:t>
      </w:r>
      <w:r>
        <w:rPr>
          <w:rStyle w:val="Emphasis"/>
          <w:rFonts w:ascii="Times New Roman;Times;serif" w:hAnsi="Times New Roman;Times;serif"/>
          <w:sz w:val="20"/>
        </w:rPr>
        <w:t>March 31, 2025</w:t>
      </w:r>
      <w:r>
        <w:rPr>
          <w:rFonts w:ascii="Times New Roman;Times;serif" w:hAnsi="Times New Roman;Times;serif"/>
          <w:sz w:val="20"/>
        </w:rPr>
        <w:t>.</w:t>
      </w:r>
    </w:p>
    <w:p>
      <w:pPr>
        <w:pStyle w:val="TextBody"/>
        <w:bidi w:val="0"/>
        <w:spacing w:before="0" w:after="0"/>
        <w:ind w:left="0" w:right="0" w:firstLine="72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Maturities of long-term debt are as follows for the future </w:t>
      </w:r>
      <w:r>
        <w:rPr>
          <w:rStyle w:val="Emphasis"/>
          <w:rFonts w:ascii="Times New Roman;Times;serif" w:hAnsi="Times New Roman;Times;serif"/>
          <w:sz w:val="20"/>
        </w:rPr>
        <w:t>one</w:t>
      </w:r>
      <w:r>
        <w:rPr>
          <w:rFonts w:ascii="Times New Roman;Times;serif" w:hAnsi="Times New Roman;Times;serif"/>
          <w:sz w:val="20"/>
        </w:rPr>
        <w:t>-year periods ending </w:t>
      </w:r>
      <w:r>
        <w:rPr>
          <w:rStyle w:val="Emphasis"/>
          <w:rFonts w:ascii="Times New Roman;Times;serif" w:hAnsi="Times New Roman;Times;serif"/>
          <w:sz w:val="20"/>
        </w:rPr>
        <w:t xml:space="preserve"> March 31, 2025</w:t>
      </w:r>
      <w:r>
        <w:rPr>
          <w:rFonts w:ascii="Times New Roman;Times;serif" w:hAnsi="Times New Roman;Times;serif"/>
          <w:sz w:val="20"/>
        </w:rPr>
        <w:t xml:space="preserve"> (in thousands):</w:t>
      </w:r>
    </w:p>
    <w:p>
      <w:pPr>
        <w:pStyle w:val="TextBody"/>
        <w:bidi w:val="0"/>
        <w:spacing w:before="0" w:after="0"/>
        <w:ind w:left="0" w:right="0" w:firstLine="720"/>
        <w:jc w:val="left"/>
        <w:rPr/>
      </w:pPr>
      <w:r>
        <w:rPr/>
        <w:t>​</w:t>
      </w:r>
    </w:p>
    <w:tbl>
      <w:tblPr>
        <w:tblW w:w="2310" w:type="dxa"/>
        <w:jc w:val="left"/>
        <w:tblInd w:w="0" w:type="dxa"/>
        <w:tblLayout w:type="fixed"/>
        <w:tblCellMar>
          <w:top w:w="0" w:type="dxa"/>
          <w:left w:w="0" w:type="dxa"/>
          <w:bottom w:w="0" w:type="dxa"/>
          <w:right w:w="0" w:type="dxa"/>
        </w:tblCellMar>
      </w:tblPr>
      <w:tblGrid>
        <w:gridCol w:w="1475"/>
        <w:gridCol w:w="60"/>
        <w:gridCol w:w="125"/>
        <w:gridCol w:w="590"/>
        <w:gridCol w:w="60"/>
      </w:tblGrid>
      <w:tr>
        <w:trPr/>
        <w:tc>
          <w:tcPr>
            <w:tcW w:w="1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Within one year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20,312</w:t>
            </w:r>
          </w:p>
        </w:tc>
        <w:tc>
          <w:tcPr>
            <w:tcW w:w="60" w:type="dxa"/>
            <w:tcBorders/>
            <w:shd w:fill="CCEEFF" w:val="clear"/>
            <w:vAlign w:val="center"/>
          </w:tcPr>
          <w:p>
            <w:pPr>
              <w:pStyle w:val="TableContents"/>
              <w:bidi w:val="0"/>
              <w:spacing w:before="0" w:after="283"/>
              <w:jc w:val="left"/>
              <w:rPr/>
            </w:pPr>
            <w:r>
              <w:rPr/>
              <w:t> </w:t>
            </w:r>
          </w:p>
        </w:tc>
      </w:tr>
      <w:tr>
        <w:trPr/>
        <w:tc>
          <w:tcPr>
            <w:tcW w:w="1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Beyond one year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1,811</w:t>
            </w:r>
          </w:p>
        </w:tc>
        <w:tc>
          <w:tcPr>
            <w:tcW w:w="60" w:type="dxa"/>
            <w:tcBorders/>
            <w:shd w:fill="FFFF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outstanding</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22,123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24, 2019, </w:t>
      </w:r>
      <w:r>
        <w:rPr>
          <w:rFonts w:ascii="Times New Roman" w:hAnsi="Times New Roman"/>
          <w:caps w:val="false"/>
          <w:smallCaps w:val="false"/>
          <w:sz w:val="20"/>
        </w:rPr>
        <w:t xml:space="preserve">the Company’s China subsidiary, Global, entered into a five-year revolving credit line agreement, totaling 180,000,000 RMB (the "SPD Credit Line"), or approximately $25.4 million at that time, and a mortgage security agreement (the "Security Agreement"), with Shanghai Pudong Development Bank Co., Ltd ("SPD"). Borrowing under the SPD Credit Line will be used for general corporate and capital investment purposes, including the issuance of bank acceptance notes to Global’s vendors. Global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draw upon the SPD Credit Line on an as-needed basis at any time during the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-year term; however, draws under the SPD Credit Line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become due and repayable to SPD at SPD’s discretion due to changes in Chinese government regulations and/or changes in Global’s financial and operational condition. Each draw will bear interest equal to SPD’s commercial banking interest rate effective on the day of the applicable draw. Global’s obligations under the SPD Credit Line will be secured by real property owned by Global and mortgaged to the Bank under the terms of the Security Agreement.</w:t>
      </w:r>
    </w:p>
    <w:p>
      <w:pPr>
        <w:pStyle w:val="TextBody"/>
        <w:bidi w:val="0"/>
        <w:ind w:left="0" w:right="0" w:firstLine="720"/>
        <w:jc w:val="left"/>
        <w:rPr/>
      </w:pPr>
      <w:r>
        <w:rPr/>
        <w:t xml:space="preserve">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May 24, 2024, </w:t>
      </w:r>
      <w:r>
        <w:rPr>
          <w:rFonts w:ascii="Times New Roman;Times;serif" w:hAnsi="Times New Roman;Times;serif"/>
          <w:sz w:val="20"/>
        </w:rPr>
        <w:t xml:space="preserve">Global renewed the SPD Credit Line for a five-year revolving credit line, totaling 170,000,000 RMB (the “Renewed SPD Credit Line”) or approximately $23.9 million at that time, and Global also entered into a mortgage contract security agreement, with SPD. Global </w:t>
      </w:r>
      <w:r>
        <w:rPr>
          <w:rStyle w:val="Emphasis"/>
          <w:rFonts w:ascii="Times New Roman;Times;serif" w:hAnsi="Times New Roman;Times;serif"/>
          <w:sz w:val="20"/>
        </w:rPr>
        <w:t xml:space="preserve">may </w:t>
      </w:r>
      <w:r>
        <w:rPr>
          <w:rFonts w:ascii="Times New Roman;Times;serif" w:hAnsi="Times New Roman;Times;serif"/>
          <w:sz w:val="20"/>
        </w:rPr>
        <w:t xml:space="preserve">draw upon the Renewed SPD Credit Line on an as-needed basis between </w:t>
      </w:r>
      <w:r>
        <w:rPr>
          <w:rStyle w:val="Emphasis"/>
          <w:rFonts w:ascii="Times New Roman;Times;serif" w:hAnsi="Times New Roman;Times;serif"/>
          <w:sz w:val="20"/>
        </w:rPr>
        <w:t xml:space="preserve">May 24, 2024 </w:t>
      </w:r>
      <w:r>
        <w:rPr>
          <w:rFonts w:ascii="Times New Roman;Times;serif" w:hAnsi="Times New Roman;Times;serif"/>
          <w:sz w:val="20"/>
        </w:rPr>
        <w:t xml:space="preserve">and </w:t>
      </w:r>
      <w:r>
        <w:rPr>
          <w:rStyle w:val="Emphasis"/>
          <w:rFonts w:ascii="Times New Roman;Times;serif" w:hAnsi="Times New Roman;Times;serif"/>
          <w:sz w:val="20"/>
        </w:rPr>
        <w:t>May 24, 2029. </w:t>
      </w:r>
      <w:r>
        <w:rPr>
          <w:rFonts w:ascii="Times New Roman;Times;serif" w:hAnsi="Times New Roman;Times;serif"/>
          <w:sz w:val="20"/>
        </w:rPr>
        <w:t xml:space="preserve">As of </w:t>
      </w:r>
      <w:r>
        <w:rPr>
          <w:rStyle w:val="Emphasis"/>
          <w:rFonts w:ascii="Times New Roman;Times;serif" w:hAnsi="Times New Roman;Times;serif"/>
          <w:sz w:val="20"/>
        </w:rPr>
        <w:t>March 31, 2025, $</w:t>
      </w:r>
      <w:r>
        <w:rPr>
          <w:rFonts w:ascii="Times New Roman;Times;serif" w:hAnsi="Times New Roman;Times;serif"/>
          <w:color w:val="000000"/>
          <w:sz w:val="20"/>
        </w:rPr>
        <w:t>13.5 million</w:t>
      </w:r>
      <w:r>
        <w:rPr>
          <w:rFonts w:ascii="Times New Roman;Times;serif" w:hAnsi="Times New Roman;Times;serif"/>
          <w:sz w:val="20"/>
        </w:rPr>
        <w:t xml:space="preserve"> was outstanding under the Renewed SPD Credit Line and the outstanding balance of bank acceptance notes issued to vendors was </w:t>
      </w:r>
      <w:r>
        <w:rPr>
          <w:rFonts w:ascii="Times New Roman;Times;serif" w:hAnsi="Times New Roman;Times;serif"/>
          <w:color w:val="000000"/>
          <w:sz w:val="20"/>
        </w:rPr>
        <w:t>zero</w:t>
      </w:r>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Times;serif" w:hAnsi="Times New Roman;Times;serif"/>
          <w:sz w:val="20"/>
        </w:rPr>
        <w:t xml:space="preserve">On </w:t>
      </w:r>
      <w:r>
        <w:rPr>
          <w:rStyle w:val="Emphasis"/>
          <w:rFonts w:ascii="Times New Roman;Times;serif" w:hAnsi="Times New Roman;Times;serif"/>
          <w:sz w:val="20"/>
        </w:rPr>
        <w:t xml:space="preserve">June 7, 2022, </w:t>
      </w:r>
      <w:r>
        <w:rPr>
          <w:rFonts w:ascii="Times New Roman;Times;serif" w:hAnsi="Times New Roman;Times;serif"/>
          <w:sz w:val="20"/>
        </w:rPr>
        <w:t xml:space="preserve">the Company's China Subsidiary, Global, entered a security agreement with China Zheshang Bank in Ningbo City, China ("CZB") for a five-year credit line agreement, totaling 200,000,000 RMB (the </w:t>
      </w:r>
      <w:r>
        <w:rPr>
          <w:rStyle w:val="Emphasis"/>
          <w:rFonts w:ascii="Times New Roman;Times;serif" w:hAnsi="Times New Roman;Times;serif"/>
          <w:sz w:val="20"/>
        </w:rPr>
        <w:t>"¥200M</w:t>
      </w:r>
      <w:r>
        <w:rPr>
          <w:rFonts w:ascii="Times New Roman;Times;serif" w:hAnsi="Times New Roman;Times;serif"/>
          <w:sz w:val="20"/>
        </w:rPr>
        <w:t xml:space="preserve"> Credit Facility"), or approximately $29.9 million at that time. Global </w:t>
      </w:r>
      <w:r>
        <w:rPr>
          <w:rStyle w:val="Emphasis"/>
          <w:rFonts w:ascii="Times New Roman;Times;serif" w:hAnsi="Times New Roman;Times;serif"/>
          <w:sz w:val="20"/>
        </w:rPr>
        <w:t xml:space="preserve">may </w:t>
      </w:r>
      <w:r>
        <w:rPr>
          <w:rFonts w:ascii="Times New Roman;Times;serif" w:hAnsi="Times New Roman;Times;serif"/>
          <w:sz w:val="20"/>
        </w:rPr>
        <w:t xml:space="preserve">draw upon the </w:t>
      </w:r>
      <w:r>
        <w:rPr>
          <w:rStyle w:val="Emphasis"/>
          <w:rFonts w:ascii="Times New Roman;Times;serif" w:hAnsi="Times New Roman;Times;serif"/>
          <w:sz w:val="20"/>
        </w:rPr>
        <w:t>¥200M</w:t>
      </w:r>
      <w:r>
        <w:rPr>
          <w:rFonts w:ascii="Times New Roman;Times;serif" w:hAnsi="Times New Roman;Times;serif"/>
          <w:sz w:val="20"/>
        </w:rPr>
        <w:t xml:space="preserve"> Credit Facility between </w:t>
      </w:r>
      <w:r>
        <w:rPr>
          <w:rStyle w:val="Emphasis"/>
          <w:rFonts w:ascii="Times New Roman;Times;serif" w:hAnsi="Times New Roman;Times;serif"/>
          <w:sz w:val="20"/>
        </w:rPr>
        <w:t xml:space="preserve">June 7, 2022 </w:t>
      </w:r>
      <w:r>
        <w:rPr>
          <w:rFonts w:ascii="Times New Roman;Times;serif" w:hAnsi="Times New Roman;Times;serif"/>
          <w:sz w:val="20"/>
        </w:rPr>
        <w:t xml:space="preserve">and </w:t>
      </w:r>
      <w:r>
        <w:rPr>
          <w:rStyle w:val="Emphasis"/>
          <w:rFonts w:ascii="Times New Roman;Times;serif" w:hAnsi="Times New Roman;Times;serif"/>
          <w:sz w:val="20"/>
        </w:rPr>
        <w:t>June 6, 2027 (</w:t>
      </w:r>
      <w:r>
        <w:rPr>
          <w:rFonts w:ascii="Times New Roman;Times;serif" w:hAnsi="Times New Roman;Times;serif"/>
          <w:sz w:val="20"/>
        </w:rPr>
        <w:t xml:space="preserve">the </w:t>
      </w:r>
      <w:r>
        <w:rPr>
          <w:rStyle w:val="Emphasis"/>
          <w:rFonts w:ascii="Times New Roman;Times;serif" w:hAnsi="Times New Roman;Times;serif"/>
          <w:sz w:val="20"/>
        </w:rPr>
        <w:t>"¥200M</w:t>
      </w:r>
      <w:r>
        <w:rPr>
          <w:rFonts w:ascii="Times New Roman;Times;serif" w:hAnsi="Times New Roman;Times;serif"/>
          <w:sz w:val="20"/>
        </w:rPr>
        <w:t xml:space="preserve"> Credit Period"). During the </w:t>
      </w:r>
      <w:r>
        <w:rPr>
          <w:rStyle w:val="Emphasis"/>
          <w:rFonts w:ascii="Times New Roman;Times;serif" w:hAnsi="Times New Roman;Times;serif"/>
          <w:sz w:val="20"/>
        </w:rPr>
        <w:t>¥200M</w:t>
      </w:r>
      <w:r>
        <w:rPr>
          <w:rFonts w:ascii="Times New Roman;Times;serif" w:hAnsi="Times New Roman;Times;serif"/>
          <w:sz w:val="20"/>
        </w:rPr>
        <w:t xml:space="preserve"> Credit Period, Global </w:t>
      </w:r>
      <w:r>
        <w:rPr>
          <w:rStyle w:val="Emphasis"/>
          <w:rFonts w:ascii="Times New Roman;Times;serif" w:hAnsi="Times New Roman;Times;serif"/>
          <w:sz w:val="20"/>
        </w:rPr>
        <w:t xml:space="preserve">may </w:t>
      </w:r>
      <w:r>
        <w:rPr>
          <w:rFonts w:ascii="Times New Roman;Times;serif" w:hAnsi="Times New Roman;Times;serif"/>
          <w:sz w:val="20"/>
        </w:rPr>
        <w:t xml:space="preserve">request to draw upon the </w:t>
      </w:r>
      <w:r>
        <w:rPr>
          <w:rStyle w:val="Emphasis"/>
          <w:rFonts w:ascii="Times New Roman;Times;serif" w:hAnsi="Times New Roman;Times;serif"/>
          <w:sz w:val="20"/>
        </w:rPr>
        <w:t>¥200M</w:t>
      </w:r>
      <w:r>
        <w:rPr>
          <w:rFonts w:ascii="Times New Roman;Times;serif" w:hAnsi="Times New Roman;Times;serif"/>
          <w:sz w:val="20"/>
        </w:rPr>
        <w:t xml:space="preserve"> Credit Facility on an as-needed basis; however, draws under the </w:t>
      </w:r>
      <w:r>
        <w:rPr>
          <w:rStyle w:val="Emphasis"/>
          <w:rFonts w:ascii="Times New Roman;Times;serif" w:hAnsi="Times New Roman;Times;serif"/>
          <w:sz w:val="20"/>
        </w:rPr>
        <w:t>¥200M</w:t>
      </w:r>
      <w:r>
        <w:rPr>
          <w:rFonts w:ascii="Times New Roman;Times;serif" w:hAnsi="Times New Roman;Times;serif"/>
          <w:sz w:val="20"/>
        </w:rPr>
        <w:t xml:space="preserve"> Credit Facility </w:t>
      </w:r>
      <w:r>
        <w:rPr>
          <w:rStyle w:val="Emphasis"/>
          <w:rFonts w:ascii="Times New Roman;Times;serif" w:hAnsi="Times New Roman;Times;serif"/>
          <w:sz w:val="20"/>
        </w:rPr>
        <w:t xml:space="preserve">may </w:t>
      </w:r>
      <w:r>
        <w:rPr>
          <w:rFonts w:ascii="Times New Roman;Times;serif" w:hAnsi="Times New Roman;Times;serif"/>
          <w:sz w:val="20"/>
        </w:rPr>
        <w:t xml:space="preserve">become due and repayable to CZB at CZB’s discretion due to changes in Chinese government regulations and/or changes in Global’s financial and operational condition. Each draw will be facilitated by a separate credit agreement specifying the terms of each draw and will bear interest equal to CZB's commercial banking interest rate effective on the day of the applicable draw. Global’s obligations under the </w:t>
      </w:r>
      <w:r>
        <w:rPr>
          <w:rStyle w:val="Emphasis"/>
          <w:rFonts w:ascii="Times New Roman;Times;serif" w:hAnsi="Times New Roman;Times;serif"/>
          <w:sz w:val="20"/>
        </w:rPr>
        <w:t>¥200M</w:t>
      </w:r>
      <w:r>
        <w:rPr>
          <w:rFonts w:ascii="Times New Roman;Times;serif" w:hAnsi="Times New Roman;Times;serif"/>
          <w:sz w:val="20"/>
        </w:rPr>
        <w:t xml:space="preserve"> Credit Facility will be secured by real property owned by Global and mortgaged to CZB under the terms of the Real Estate Security Agreement. On </w:t>
      </w:r>
      <w:r>
        <w:rPr>
          <w:rStyle w:val="Emphasis"/>
          <w:rFonts w:ascii="Times New Roman;Times;serif" w:hAnsi="Times New Roman;Times;serif"/>
          <w:sz w:val="20"/>
        </w:rPr>
        <w:t xml:space="preserve">December 21, 2023, </w:t>
      </w:r>
      <w:r>
        <w:rPr>
          <w:rFonts w:ascii="Times New Roman;Times;serif" w:hAnsi="Times New Roman;Times;serif"/>
          <w:sz w:val="20"/>
        </w:rPr>
        <w:t xml:space="preserve">Global entered into an asset pool business cooperation agreement ("Asset Pool Agreement") and an asset pool pledge contract (the "Pledge Contract") (referred to collectively as the Pledge Asset Line"), with CZB, which supplements the existing </w:t>
      </w:r>
      <w:r>
        <w:rPr>
          <w:rStyle w:val="Emphasis"/>
          <w:rFonts w:ascii="Times New Roman;Times;serif" w:hAnsi="Times New Roman;Times;serif"/>
          <w:sz w:val="20"/>
        </w:rPr>
        <w:t>¥200M</w:t>
      </w:r>
      <w:r>
        <w:rPr>
          <w:rFonts w:ascii="Times New Roman;Times;serif" w:hAnsi="Times New Roman;Times;serif"/>
          <w:sz w:val="20"/>
        </w:rPr>
        <w:t xml:space="preserve"> Credit Facility. The Pledge Asset Line does </w:t>
      </w:r>
      <w:r>
        <w:rPr>
          <w:rStyle w:val="Emphasis"/>
          <w:rFonts w:ascii="Times New Roman;Times;serif" w:hAnsi="Times New Roman;Times;serif"/>
          <w:sz w:val="20"/>
        </w:rPr>
        <w:t>not</w:t>
      </w:r>
      <w:r>
        <w:rPr>
          <w:rFonts w:ascii="Times New Roman;Times;serif" w:hAnsi="Times New Roman;Times;serif"/>
          <w:sz w:val="20"/>
        </w:rPr>
        <w:t xml:space="preserve"> constitute a new credit line or an increase to the existing credit limits. Global </w:t>
      </w:r>
      <w:r>
        <w:rPr>
          <w:rStyle w:val="Emphasis"/>
          <w:rFonts w:ascii="Times New Roman;Times;serif" w:hAnsi="Times New Roman;Times;serif"/>
          <w:sz w:val="20"/>
        </w:rPr>
        <w:t xml:space="preserve">may </w:t>
      </w:r>
      <w:r>
        <w:rPr>
          <w:rFonts w:ascii="Times New Roman;Times;serif" w:hAnsi="Times New Roman;Times;serif"/>
          <w:sz w:val="20"/>
        </w:rPr>
        <w:t xml:space="preserve">draw upon the Pledge Asset Line between </w:t>
      </w:r>
      <w:r>
        <w:rPr>
          <w:rStyle w:val="Emphasis"/>
          <w:rFonts w:ascii="Times New Roman;Times;serif" w:hAnsi="Times New Roman;Times;serif"/>
          <w:sz w:val="20"/>
        </w:rPr>
        <w:t xml:space="preserve">December 21, 2023 </w:t>
      </w:r>
      <w:r>
        <w:rPr>
          <w:rFonts w:ascii="Times New Roman;Times;serif" w:hAnsi="Times New Roman;Times;serif"/>
          <w:sz w:val="20"/>
        </w:rPr>
        <w:t xml:space="preserve">and </w:t>
      </w:r>
      <w:r>
        <w:rPr>
          <w:rStyle w:val="Emphasis"/>
          <w:rFonts w:ascii="Times New Roman;Times;serif" w:hAnsi="Times New Roman;Times;serif"/>
          <w:sz w:val="20"/>
        </w:rPr>
        <w:t>December 21, 2025 (</w:t>
      </w:r>
      <w:r>
        <w:rPr>
          <w:rFonts w:ascii="Times New Roman;Times;serif" w:hAnsi="Times New Roman;Times;serif"/>
          <w:sz w:val="20"/>
        </w:rPr>
        <w:t xml:space="preserve">the "Asset Pool Period"). During the Asset Pool Period, Global </w:t>
      </w:r>
      <w:r>
        <w:rPr>
          <w:rStyle w:val="Emphasis"/>
          <w:rFonts w:ascii="Times New Roman;Times;serif" w:hAnsi="Times New Roman;Times;serif"/>
          <w:sz w:val="20"/>
        </w:rPr>
        <w:t xml:space="preserve">may </w:t>
      </w:r>
      <w:r>
        <w:rPr>
          <w:rFonts w:ascii="Times New Roman;Times;serif" w:hAnsi="Times New Roman;Times;serif"/>
          <w:sz w:val="20"/>
        </w:rPr>
        <w:t xml:space="preserve">request to draw upon the Pledge Asset Line on an as-needed bases; however, amount of available credit under the Pledge Asset Line and approval of each draw </w:t>
      </w:r>
      <w:r>
        <w:rPr>
          <w:rStyle w:val="Emphasis"/>
          <w:rFonts w:ascii="Times New Roman;Times;serif" w:hAnsi="Times New Roman;Times;serif"/>
          <w:sz w:val="20"/>
        </w:rPr>
        <w:t xml:space="preserve">may </w:t>
      </w:r>
      <w:r>
        <w:rPr>
          <w:rFonts w:ascii="Times New Roman;Times;serif" w:hAnsi="Times New Roman;Times;serif"/>
          <w:sz w:val="20"/>
        </w:rPr>
        <w:t xml:space="preserve">be reduced or declined by CZB due to changes in Chinese government regulations and/or changes in Global's financial and operational condition. Each draw will be facilitated by a separate credit agreement specifying the terms of each draw and will bear interest equal to CZB's commercial banking interest rate effective on the day of the applicable draw. Global's obligations under the Pledge Asset Line will be secured by certain financial assets, including but </w:t>
      </w:r>
      <w:r>
        <w:rPr>
          <w:rStyle w:val="Emphasis"/>
          <w:rFonts w:ascii="Times New Roman;Times;serif" w:hAnsi="Times New Roman;Times;serif"/>
          <w:sz w:val="20"/>
        </w:rPr>
        <w:t>not</w:t>
      </w:r>
      <w:r>
        <w:rPr>
          <w:rFonts w:ascii="Times New Roman;Times;serif" w:hAnsi="Times New Roman;Times;serif"/>
          <w:sz w:val="20"/>
        </w:rPr>
        <w:t xml:space="preserve"> limited to, deposit receipts, domestic accounts receivable and electronic commercial paper. As of </w:t>
      </w:r>
      <w:r>
        <w:rPr>
          <w:rStyle w:val="Emphasis"/>
          <w:rFonts w:ascii="Times New Roman;Times;serif" w:hAnsi="Times New Roman;Times;serif"/>
          <w:sz w:val="20"/>
        </w:rPr>
        <w:t xml:space="preserve">March 31, 2025, </w:t>
      </w:r>
      <w:r>
        <w:rPr>
          <w:rFonts w:ascii="Times New Roman;Times;serif" w:hAnsi="Times New Roman;Times;serif"/>
          <w:sz w:val="20"/>
        </w:rPr>
        <w:t xml:space="preserve">$8.6 million was outstanding under the </w:t>
      </w:r>
      <w:r>
        <w:rPr>
          <w:rStyle w:val="Emphasis"/>
          <w:rFonts w:ascii="Times New Roman;Times;serif" w:hAnsi="Times New Roman;Times;serif"/>
          <w:sz w:val="20"/>
        </w:rPr>
        <w:t>¥200M</w:t>
      </w:r>
      <w:r>
        <w:rPr>
          <w:rFonts w:ascii="Times New Roman;Times;serif" w:hAnsi="Times New Roman;Times;serif"/>
          <w:sz w:val="20"/>
        </w:rPr>
        <w:t xml:space="preserve"> Credit Facility, and the outstanding balance of bank acceptance notes issued to vendors was $24.0 million.</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shd w:fill="FFFFFF" w:val="clear"/>
        </w:rPr>
        <w:t>As of </w:t>
      </w:r>
      <w:r>
        <w:rPr>
          <w:rStyle w:val="Emphasis"/>
          <w:rFonts w:ascii="Times New Roman;Times;serif" w:hAnsi="Times New Roman;Times;serif"/>
          <w:sz w:val="20"/>
        </w:rPr>
        <w:t xml:space="preserve"> March 31, 2025</w:t>
      </w:r>
      <w:r>
        <w:rPr>
          <w:rFonts w:ascii="Times New Roman;Times;serif" w:hAnsi="Times New Roman;Times;serif"/>
          <w:sz w:val="20"/>
          <w:shd w:fill="FFFFFF" w:val="clear"/>
        </w:rPr>
        <w:t xml:space="preserve"> and </w:t>
      </w:r>
      <w:r>
        <w:rPr>
          <w:rStyle w:val="Emphasis"/>
          <w:rFonts w:ascii="Times New Roman;Times;serif" w:hAnsi="Times New Roman;Times;serif"/>
          <w:sz w:val="20"/>
        </w:rPr>
        <w:t>December 31, 2024</w:t>
      </w:r>
      <w:r>
        <w:rPr>
          <w:rFonts w:ascii="Times New Roman;Times;serif" w:hAnsi="Times New Roman;Times;serif"/>
          <w:sz w:val="20"/>
          <w:shd w:fill="FFFFFF" w:val="clear"/>
        </w:rPr>
        <w:t>, the Company had $29.4 million and $24.8</w:t>
      </w:r>
      <w:r>
        <w:rPr>
          <w:rFonts w:ascii="Times New Roman;Times;serif" w:hAnsi="Times New Roman;Times;serif"/>
          <w:sz w:val="20"/>
        </w:rPr>
        <w:t> million</w:t>
      </w:r>
      <w:r>
        <w:rPr>
          <w:rFonts w:ascii="Times New Roman;Times;serif" w:hAnsi="Times New Roman;Times;serif"/>
          <w:sz w:val="20"/>
          <w:shd w:fill="FFFFFF" w:val="clear"/>
        </w:rPr>
        <w:t> of unused borrowing capacity, respectively.</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Times;serif" w:hAnsi="Times New Roman;Times;serif"/>
          <w:sz w:val="20"/>
        </w:rPr>
        <w:t>As of </w:t>
      </w:r>
      <w:r>
        <w:rPr>
          <w:rStyle w:val="Emphasis"/>
          <w:rFonts w:ascii="Times New Roman;Times;serif" w:hAnsi="Times New Roman;Times;serif"/>
          <w:sz w:val="20"/>
        </w:rPr>
        <w:t xml:space="preserve"> March 31, 2025</w:t>
      </w:r>
      <w:r>
        <w:rPr>
          <w:rFonts w:ascii="Times New Roman;Times;serif" w:hAnsi="Times New Roman;Times;serif"/>
          <w:sz w:val="20"/>
        </w:rPr>
        <w:t xml:space="preserve"> and </w:t>
      </w:r>
      <w:r>
        <w:rPr>
          <w:rStyle w:val="Emphasis"/>
          <w:rFonts w:ascii="Times New Roman;Times;serif" w:hAnsi="Times New Roman;Times;serif"/>
          <w:sz w:val="20"/>
        </w:rPr>
        <w:t>December 31, 2024</w:t>
      </w:r>
      <w:r>
        <w:rPr>
          <w:rFonts w:ascii="Times New Roman;Times;serif" w:hAnsi="Times New Roman;Times;serif"/>
          <w:sz w:val="20"/>
        </w:rPr>
        <w:t xml:space="preserve">, there </w:t>
      </w:r>
      <w:r>
        <w:rPr>
          <w:rFonts w:ascii="Times New Roman;Times;serif" w:hAnsi="Times New Roman;Times;serif"/>
          <w:sz w:val="20"/>
          <w:shd w:fill="FFFFFF" w:val="clear"/>
        </w:rPr>
        <w:t>was $12.2 million and $8.5 million of restricted cash, investme</w:t>
      </w:r>
      <w:r>
        <w:rPr>
          <w:rFonts w:ascii="Times New Roman;Times;serif" w:hAnsi="Times New Roman;Times;serif"/>
          <w:sz w:val="20"/>
        </w:rPr>
        <w:t>nts or security deposits associated with the loan facilities, respectively.</w:t>
      </w:r>
    </w:p>
    <w:p>
      <w:pPr>
        <w:pStyle w:val="TextBody"/>
        <w:bidi w:val="0"/>
        <w:spacing w:before="0" w:after="0"/>
        <w:ind w:left="0" w:right="0" w:firstLine="720"/>
        <w:jc w:val="left"/>
        <w:rPr/>
      </w:pPr>
      <w:r>
        <w:rPr/>
        <w:t>​</w:t>
      </w:r>
    </w:p>
    <w:p>
      <w:pPr>
        <w:pStyle w:val="TextBody"/>
        <w:bidi w:val="0"/>
        <w:spacing w:before="0" w:after="0"/>
        <w:jc w:val="center"/>
        <w:rPr/>
      </w:pPr>
      <w:r>
        <w:rPr>
          <w:rStyle w:val="Emphasis"/>
          <w:rFonts w:ascii="Times New Roman" w:hAnsi="Times New Roman"/>
          <w:sz w:val="20"/>
        </w:rPr>
        <w:t>13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12.</w:t>
      </w:r>
      <w:r>
        <w:rPr>
          <w:rFonts w:ascii="Times New Roman" w:hAnsi="Times New Roman"/>
          <w:b/>
          <w:sz w:val="20"/>
        </w:rPr>
        <w:t>  Convertible Senior Notes</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March 5, 2019, </w:t>
      </w:r>
      <w:r>
        <w:rPr>
          <w:rFonts w:ascii="Times New Roman" w:hAnsi="Times New Roman"/>
          <w:caps w:val="false"/>
          <w:smallCaps w:val="false"/>
          <w:sz w:val="20"/>
        </w:rPr>
        <w:t>the Company issued $80.5 million of 5% convertible senior notes due </w:t>
      </w:r>
      <w:r>
        <w:rPr>
          <w:rStyle w:val="Emphasis"/>
          <w:rFonts w:ascii="Times New Roman" w:hAnsi="Times New Roman"/>
          <w:caps w:val="false"/>
          <w:smallCaps w:val="false"/>
          <w:sz w:val="20"/>
        </w:rPr>
        <w:t>2024</w:t>
      </w:r>
      <w:r>
        <w:rPr>
          <w:rFonts w:ascii="Times New Roman" w:hAnsi="Times New Roman"/>
          <w:caps w:val="false"/>
          <w:smallCaps w:val="false"/>
          <w:sz w:val="20"/>
        </w:rPr>
        <w:t> (the </w:t>
      </w:r>
      <w:r>
        <w:rPr>
          <w:rStyle w:val="Emphasis"/>
          <w:rFonts w:ascii="Times New Roman" w:hAnsi="Times New Roman"/>
          <w:caps w:val="false"/>
          <w:smallCaps w:val="false"/>
          <w:sz w:val="20"/>
        </w:rPr>
        <w:t>“2024</w:t>
      </w:r>
      <w:r>
        <w:rPr>
          <w:rFonts w:ascii="Times New Roman" w:hAnsi="Times New Roman"/>
          <w:caps w:val="false"/>
          <w:smallCaps w:val="false"/>
          <w:sz w:val="20"/>
        </w:rPr>
        <w:t> Notes”). On </w:t>
      </w:r>
      <w:r>
        <w:rPr>
          <w:rStyle w:val="Emphasis"/>
          <w:rFonts w:ascii="Times New Roman" w:hAnsi="Times New Roman"/>
          <w:caps w:val="false"/>
          <w:smallCaps w:val="false"/>
          <w:sz w:val="20"/>
        </w:rPr>
        <w:t xml:space="preserve"> December 5, 2023, </w:t>
      </w:r>
      <w:r>
        <w:rPr>
          <w:rFonts w:ascii="Times New Roman" w:hAnsi="Times New Roman"/>
          <w:caps w:val="false"/>
          <w:smallCaps w:val="false"/>
          <w:sz w:val="20"/>
        </w:rPr>
        <w:t>the Company issued approximately $80.2 million aggregate principal amount of 5.250% convertible senior notes due </w:t>
      </w:r>
      <w:r>
        <w:rPr>
          <w:rStyle w:val="Emphasis"/>
          <w:rFonts w:ascii="Times New Roman" w:hAnsi="Times New Roman"/>
          <w:caps w:val="false"/>
          <w:smallCaps w:val="false"/>
          <w:sz w:val="20"/>
        </w:rPr>
        <w:t>2026</w:t>
      </w:r>
      <w:r>
        <w:rPr>
          <w:rFonts w:ascii="Times New Roman" w:hAnsi="Times New Roman"/>
          <w:caps w:val="false"/>
          <w:smallCaps w:val="false"/>
          <w:sz w:val="20"/>
        </w:rPr>
        <w:t> (the </w:t>
      </w:r>
      <w:r>
        <w:rPr>
          <w:rStyle w:val="Emphasis"/>
          <w:rFonts w:ascii="Times New Roman" w:hAnsi="Times New Roman"/>
          <w:caps w:val="false"/>
          <w:smallCaps w:val="false"/>
          <w:sz w:val="20"/>
        </w:rPr>
        <w:t>"2026</w:t>
      </w:r>
      <w:r>
        <w:rPr>
          <w:rFonts w:ascii="Times New Roman" w:hAnsi="Times New Roman"/>
          <w:caps w:val="false"/>
          <w:smallCaps w:val="false"/>
          <w:sz w:val="20"/>
        </w:rPr>
        <w:t> Notes"), and on the same day consummated various separate, privately negotiated exchange agreements with certain holders of its </w:t>
      </w:r>
      <w:r>
        <w:rPr>
          <w:rStyle w:val="Emphasis"/>
          <w:rFonts w:ascii="Times New Roman" w:hAnsi="Times New Roman"/>
          <w:caps w:val="false"/>
          <w:smallCaps w:val="false"/>
          <w:sz w:val="20"/>
        </w:rPr>
        <w:t>2024</w:t>
      </w:r>
      <w:r>
        <w:rPr>
          <w:rFonts w:ascii="Times New Roman" w:hAnsi="Times New Roman"/>
          <w:caps w:val="false"/>
          <w:smallCaps w:val="false"/>
          <w:sz w:val="20"/>
        </w:rPr>
        <w:t> Notes to exchange or repurchase approximately $80.2 million principal amount of the </w:t>
      </w:r>
      <w:r>
        <w:rPr>
          <w:rStyle w:val="Emphasis"/>
          <w:rFonts w:ascii="Times New Roman" w:hAnsi="Times New Roman"/>
          <w:caps w:val="false"/>
          <w:smallCaps w:val="false"/>
          <w:sz w:val="20"/>
        </w:rPr>
        <w:t>2024</w:t>
      </w:r>
      <w:r>
        <w:rPr>
          <w:rFonts w:ascii="Times New Roman" w:hAnsi="Times New Roman"/>
          <w:caps w:val="false"/>
          <w:smallCaps w:val="false"/>
          <w:sz w:val="20"/>
        </w:rPr>
        <w:t> Notes for aggregate consideration consisting of approximately $81.1 million in cash, which included accrued interest on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Notes, and approximately 466,368 shares of the Company's common stock, par value $0.001 per share. The Company paid off the remaining $0.29 million of the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Notes on </w:t>
      </w:r>
      <w:r>
        <w:rPr>
          <w:rStyle w:val="Emphasis"/>
          <w:rFonts w:ascii="Times New Roman" w:hAnsi="Times New Roman"/>
          <w:caps w:val="false"/>
          <w:smallCaps w:val="false"/>
          <w:sz w:val="20"/>
        </w:rPr>
        <w:t>March 15, 2024.</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The </w:t>
      </w:r>
      <w:r>
        <w:rPr>
          <w:rStyle w:val="Emphasis"/>
          <w:rFonts w:ascii="Times New Roman" w:hAnsi="Times New Roman"/>
          <w:caps w:val="false"/>
          <w:smallCaps w:val="false"/>
          <w:sz w:val="20"/>
        </w:rPr>
        <w:t>2026</w:t>
      </w:r>
      <w:r>
        <w:rPr>
          <w:rFonts w:ascii="Times New Roman" w:hAnsi="Times New Roman"/>
          <w:caps w:val="false"/>
          <w:smallCaps w:val="false"/>
          <w:sz w:val="20"/>
        </w:rPr>
        <w:t> Notes bear interest at a rate of </w:t>
      </w:r>
      <w:r>
        <w:rPr>
          <w:rStyle w:val="Emphasis"/>
          <w:rFonts w:ascii="Times New Roman" w:hAnsi="Times New Roman"/>
          <w:caps w:val="false"/>
          <w:smallCaps w:val="false"/>
          <w:sz w:val="20"/>
        </w:rPr>
        <w:t>5.250%</w:t>
      </w:r>
      <w:r>
        <w:rPr>
          <w:rFonts w:ascii="Times New Roman" w:hAnsi="Times New Roman"/>
          <w:caps w:val="false"/>
          <w:smallCaps w:val="false"/>
          <w:sz w:val="20"/>
        </w:rPr>
        <w:t> per year and pay interest semi-annually in arrears on </w:t>
      </w:r>
      <w:r>
        <w:rPr>
          <w:rStyle w:val="Emphasis"/>
          <w:rFonts w:ascii="Times New Roman" w:hAnsi="Times New Roman"/>
          <w:caps w:val="false"/>
          <w:smallCaps w:val="false"/>
          <w:sz w:val="20"/>
        </w:rPr>
        <w:t xml:space="preserve"> June 15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December 15 </w:t>
      </w:r>
      <w:r>
        <w:rPr>
          <w:rFonts w:ascii="Times New Roman" w:hAnsi="Times New Roman"/>
          <w:caps w:val="false"/>
          <w:smallCaps w:val="false"/>
          <w:sz w:val="20"/>
        </w:rPr>
        <w:t>of each year, beginning on </w:t>
      </w:r>
      <w:r>
        <w:rPr>
          <w:rStyle w:val="Emphasis"/>
          <w:rFonts w:ascii="Times New Roman" w:hAnsi="Times New Roman"/>
          <w:caps w:val="false"/>
          <w:smallCaps w:val="false"/>
          <w:sz w:val="20"/>
        </w:rPr>
        <w:t xml:space="preserve"> June 15, 2024. </w:t>
      </w:r>
      <w:r>
        <w:rPr>
          <w:rFonts w:ascii="Times New Roman" w:hAnsi="Times New Roman"/>
          <w:caps w:val="false"/>
          <w:smallCaps w:val="false"/>
          <w:sz w:val="20"/>
        </w:rPr>
        <w:t>The </w:t>
      </w:r>
      <w:r>
        <w:rPr>
          <w:rStyle w:val="Emphasis"/>
          <w:rFonts w:ascii="Times New Roman" w:hAnsi="Times New Roman"/>
          <w:caps w:val="false"/>
          <w:smallCaps w:val="false"/>
          <w:sz w:val="20"/>
        </w:rPr>
        <w:t>2026</w:t>
      </w:r>
      <w:r>
        <w:rPr>
          <w:rFonts w:ascii="Times New Roman" w:hAnsi="Times New Roman"/>
          <w:caps w:val="false"/>
          <w:smallCaps w:val="false"/>
          <w:sz w:val="20"/>
        </w:rPr>
        <w:t> Notes mature on </w:t>
      </w:r>
      <w:r>
        <w:rPr>
          <w:rStyle w:val="Emphasis"/>
          <w:rFonts w:ascii="Times New Roman" w:hAnsi="Times New Roman"/>
          <w:caps w:val="false"/>
          <w:smallCaps w:val="false"/>
          <w:sz w:val="20"/>
        </w:rPr>
        <w:t xml:space="preserve"> December 15, 2026, </w:t>
      </w:r>
      <w:r>
        <w:rPr>
          <w:rFonts w:ascii="Times New Roman" w:hAnsi="Times New Roman"/>
          <w:caps w:val="false"/>
          <w:smallCaps w:val="false"/>
          <w:sz w:val="20"/>
        </w:rPr>
        <w:t>unless earlier converted, redeemed or repurchased in accordance with their terms.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December 18, 2024, </w:t>
      </w:r>
      <w:r>
        <w:rPr>
          <w:rFonts w:ascii="Times New Roman" w:hAnsi="Times New Roman"/>
          <w:caps w:val="false"/>
          <w:smallCaps w:val="false"/>
          <w:sz w:val="20"/>
        </w:rPr>
        <w:t>the Company entered into exchange agreements with certain holders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to exchange approximately $76.7 million principal amount of the </w:t>
      </w:r>
      <w:r>
        <w:rPr>
          <w:rStyle w:val="Emphasis"/>
          <w:rFonts w:ascii="Times New Roman" w:hAnsi="Times New Roman"/>
          <w:caps w:val="false"/>
          <w:smallCaps w:val="false"/>
          <w:sz w:val="20"/>
        </w:rPr>
        <w:t>2026</w:t>
      </w:r>
      <w:r>
        <w:rPr>
          <w:rFonts w:ascii="Times New Roman" w:hAnsi="Times New Roman"/>
          <w:caps w:val="false"/>
          <w:smallCaps w:val="false"/>
          <w:sz w:val="20"/>
        </w:rPr>
        <w:t> Notes for aggregate consideration consisting of (i) $125.0 million aggregate principal amount of 2.75% Convertible Senior Notes due </w:t>
      </w:r>
      <w:r>
        <w:rPr>
          <w:rStyle w:val="Emphasis"/>
          <w:rFonts w:ascii="Times New Roman" w:hAnsi="Times New Roman"/>
          <w:caps w:val="false"/>
          <w:smallCaps w:val="false"/>
          <w:sz w:val="20"/>
        </w:rPr>
        <w:t>2030</w:t>
      </w:r>
      <w:r>
        <w:rPr>
          <w:rFonts w:ascii="Times New Roman" w:hAnsi="Times New Roman"/>
          <w:caps w:val="false"/>
          <w:smallCaps w:val="false"/>
          <w:sz w:val="20"/>
        </w:rPr>
        <w:t> (the </w:t>
      </w:r>
      <w:r>
        <w:rPr>
          <w:rStyle w:val="Emphasis"/>
          <w:rFonts w:ascii="Times New Roman" w:hAnsi="Times New Roman"/>
          <w:caps w:val="false"/>
          <w:smallCaps w:val="false"/>
          <w:sz w:val="20"/>
        </w:rPr>
        <w:t>“2030</w:t>
      </w:r>
      <w:r>
        <w:rPr>
          <w:rFonts w:ascii="Times New Roman" w:hAnsi="Times New Roman"/>
          <w:caps w:val="false"/>
          <w:smallCaps w:val="false"/>
          <w:sz w:val="20"/>
        </w:rPr>
        <w:t> Notes”), (ii) 1,487,874 shares of the Company’s common stock, par value $0.001 per share (the "Common Stock") and (iii) approximately $89.6 thousands of cash in aggregate, representing accrued and unpaid interest on the </w:t>
      </w:r>
      <w:r>
        <w:rPr>
          <w:rStyle w:val="Emphasis"/>
          <w:rFonts w:ascii="Times New Roman" w:hAnsi="Times New Roman"/>
          <w:caps w:val="false"/>
          <w:smallCaps w:val="false"/>
          <w:sz w:val="20"/>
        </w:rPr>
        <w:t>2026</w:t>
      </w:r>
      <w:r>
        <w:rPr>
          <w:rFonts w:ascii="Times New Roman" w:hAnsi="Times New Roman"/>
          <w:caps w:val="false"/>
          <w:smallCaps w:val="false"/>
          <w:sz w:val="20"/>
        </w:rPr>
        <w:t> Notes and the value of fractional shares of Common Stock (such transactions, collectively, the "Exchanges"). There was $3.5 million principal amount for the </w:t>
      </w:r>
      <w:r>
        <w:rPr>
          <w:rStyle w:val="Emphasis"/>
          <w:rFonts w:ascii="Times New Roman" w:hAnsi="Times New Roman"/>
          <w:caps w:val="false"/>
          <w:smallCaps w:val="false"/>
          <w:sz w:val="20"/>
        </w:rPr>
        <w:t>2026</w:t>
      </w:r>
      <w:r>
        <w:rPr>
          <w:rFonts w:ascii="Times New Roman" w:hAnsi="Times New Roman"/>
          <w:caps w:val="false"/>
          <w:smallCaps w:val="false"/>
          <w:sz w:val="20"/>
        </w:rPr>
        <w:t> Notes remaining. The Exchanges closed on </w:t>
      </w:r>
      <w:r>
        <w:rPr>
          <w:rStyle w:val="Emphasis"/>
          <w:rFonts w:ascii="Times New Roman" w:hAnsi="Times New Roman"/>
          <w:caps w:val="false"/>
          <w:smallCaps w:val="false"/>
          <w:sz w:val="20"/>
        </w:rPr>
        <w:t xml:space="preserve"> December 23, 2024.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w:t>
      </w:r>
      <w:r>
        <w:rPr>
          <w:rStyle w:val="Emphasis"/>
          <w:rFonts w:ascii="Times New Roman" w:hAnsi="Times New Roman"/>
          <w:caps w:val="false"/>
          <w:smallCaps w:val="false"/>
          <w:sz w:val="20"/>
        </w:rPr>
        <w:t>2030</w:t>
      </w:r>
      <w:r>
        <w:rPr>
          <w:rFonts w:ascii="Times New Roman" w:hAnsi="Times New Roman"/>
          <w:caps w:val="false"/>
          <w:smallCaps w:val="false"/>
          <w:sz w:val="20"/>
        </w:rPr>
        <w:t> Notes were issued pursuant to an Indenture, dated as of </w:t>
      </w:r>
      <w:r>
        <w:rPr>
          <w:rStyle w:val="Emphasis"/>
          <w:rFonts w:ascii="Times New Roman" w:hAnsi="Times New Roman"/>
          <w:caps w:val="false"/>
          <w:smallCaps w:val="false"/>
          <w:sz w:val="20"/>
        </w:rPr>
        <w:t xml:space="preserve"> December 23, 2024 (</w:t>
      </w:r>
      <w:r>
        <w:rPr>
          <w:rFonts w:ascii="Times New Roman" w:hAnsi="Times New Roman"/>
          <w:caps w:val="false"/>
          <w:smallCaps w:val="false"/>
          <w:sz w:val="20"/>
        </w:rPr>
        <w:t>the "Indenture"), between the Company, as issuer, and Computershare Trust Company, N.A., as trustee.  The </w:t>
      </w:r>
      <w:r>
        <w:rPr>
          <w:rStyle w:val="Emphasis"/>
          <w:rFonts w:ascii="Times New Roman" w:hAnsi="Times New Roman"/>
          <w:caps w:val="false"/>
          <w:smallCaps w:val="false"/>
          <w:sz w:val="20"/>
        </w:rPr>
        <w:t>2030</w:t>
      </w:r>
      <w:r>
        <w:rPr>
          <w:rFonts w:ascii="Times New Roman" w:hAnsi="Times New Roman"/>
          <w:caps w:val="false"/>
          <w:smallCaps w:val="false"/>
          <w:sz w:val="20"/>
        </w:rPr>
        <w:t> Notes bear interest at a rate of 2.750% per year and will pay interest semiannually in arrears on </w:t>
      </w:r>
      <w:r>
        <w:rPr>
          <w:rStyle w:val="Emphasis"/>
          <w:rFonts w:ascii="Times New Roman" w:hAnsi="Times New Roman"/>
          <w:caps w:val="false"/>
          <w:smallCaps w:val="false"/>
          <w:sz w:val="20"/>
        </w:rPr>
        <w:t xml:space="preserve"> January 15 </w:t>
      </w:r>
      <w:r>
        <w:rPr>
          <w:rFonts w:ascii="Times New Roman" w:hAnsi="Times New Roman"/>
          <w:caps w:val="false"/>
          <w:smallCaps w:val="false"/>
          <w:sz w:val="20"/>
        </w:rPr>
        <w:t>and </w:t>
      </w:r>
      <w:r>
        <w:rPr>
          <w:rStyle w:val="Emphasis"/>
          <w:rFonts w:ascii="Times New Roman" w:hAnsi="Times New Roman"/>
          <w:caps w:val="false"/>
          <w:smallCaps w:val="false"/>
          <w:sz w:val="20"/>
        </w:rPr>
        <w:t xml:space="preserve"> July 15 </w:t>
      </w:r>
      <w:r>
        <w:rPr>
          <w:rFonts w:ascii="Times New Roman" w:hAnsi="Times New Roman"/>
          <w:caps w:val="false"/>
          <w:smallCaps w:val="false"/>
          <w:sz w:val="20"/>
        </w:rPr>
        <w:t>of each year, beginning on </w:t>
      </w:r>
      <w:r>
        <w:rPr>
          <w:rStyle w:val="Emphasis"/>
          <w:rFonts w:ascii="Times New Roman" w:hAnsi="Times New Roman"/>
          <w:caps w:val="false"/>
          <w:smallCaps w:val="false"/>
          <w:sz w:val="20"/>
        </w:rPr>
        <w:t xml:space="preserve"> July 15, 2025. </w:t>
      </w:r>
      <w:r>
        <w:rPr>
          <w:rFonts w:ascii="Times New Roman" w:hAnsi="Times New Roman"/>
          <w:caps w:val="false"/>
          <w:smallCaps w:val="false"/>
          <w:sz w:val="20"/>
        </w:rPr>
        <w:t>The </w:t>
      </w:r>
      <w:r>
        <w:rPr>
          <w:rStyle w:val="Emphasis"/>
          <w:rFonts w:ascii="Times New Roman" w:hAnsi="Times New Roman"/>
          <w:caps w:val="false"/>
          <w:smallCaps w:val="false"/>
          <w:sz w:val="20"/>
        </w:rPr>
        <w:t>2030</w:t>
      </w:r>
      <w:r>
        <w:rPr>
          <w:rFonts w:ascii="Times New Roman" w:hAnsi="Times New Roman"/>
          <w:caps w:val="false"/>
          <w:smallCaps w:val="false"/>
          <w:sz w:val="20"/>
        </w:rPr>
        <w:t> Notes will mature on </w:t>
      </w:r>
      <w:r>
        <w:rPr>
          <w:rStyle w:val="Emphasis"/>
          <w:rFonts w:ascii="Times New Roman" w:hAnsi="Times New Roman"/>
          <w:caps w:val="false"/>
          <w:smallCaps w:val="false"/>
          <w:sz w:val="20"/>
        </w:rPr>
        <w:t xml:space="preserve"> January 15, 2030, </w:t>
      </w:r>
      <w:r>
        <w:rPr>
          <w:rFonts w:ascii="Times New Roman" w:hAnsi="Times New Roman"/>
          <w:caps w:val="false"/>
          <w:smallCaps w:val="false"/>
          <w:sz w:val="20"/>
        </w:rPr>
        <w:t>unless earlier converted, redeemed or repurchased in accordance with their terms.</w:t>
      </w:r>
    </w:p>
    <w:p>
      <w:pPr>
        <w:pStyle w:val="TextBody"/>
        <w:bidi w:val="0"/>
        <w:spacing w:before="0" w:after="283"/>
        <w:jc w:val="left"/>
        <w:rPr/>
      </w:pPr>
      <w:r>
        <w:rPr/>
        <w:t xml:space="preserve">  </w:t>
      </w:r>
    </w:p>
    <w:p>
      <w:pPr>
        <w:pStyle w:val="TextBody"/>
        <w:bidi w:val="0"/>
        <w:spacing w:before="0" w:after="0"/>
        <w:ind w:left="0" w:right="0" w:firstLine="720"/>
        <w:jc w:val="left"/>
        <w:rPr/>
      </w:pPr>
      <w:r>
        <w:rPr>
          <w:rFonts w:ascii="Times New Roman" w:hAnsi="Times New Roman"/>
          <w:caps w:val="false"/>
          <w:smallCaps w:val="false"/>
          <w:sz w:val="20"/>
        </w:rPr>
        <w:t>The following table presents the carrying value of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Notes and the </w:t>
      </w:r>
      <w:r>
        <w:rPr>
          <w:rStyle w:val="Emphasis"/>
          <w:rFonts w:ascii="Times New Roman" w:hAnsi="Times New Roman"/>
          <w:caps w:val="false"/>
          <w:smallCaps w:val="false"/>
          <w:sz w:val="20"/>
        </w:rPr>
        <w:t>2030</w:t>
      </w:r>
      <w:r>
        <w:rPr>
          <w:rFonts w:ascii="Times New Roman" w:hAnsi="Times New Roman"/>
          <w:caps w:val="false"/>
          <w:smallCaps w:val="false"/>
          <w:sz w:val="20"/>
        </w:rPr>
        <w:t xml:space="preserve"> Notes for the periods indicated (in thousands):</w:t>
      </w:r>
    </w:p>
    <w:p>
      <w:pPr>
        <w:pStyle w:val="TextBody"/>
        <w:bidi w:val="0"/>
        <w:spacing w:before="0" w:after="0"/>
        <w:ind w:left="0" w:right="0" w:firstLine="941"/>
        <w:jc w:val="left"/>
        <w:rPr/>
      </w:pPr>
      <w:r>
        <w:rPr/>
        <w:t>​</w:t>
      </w:r>
    </w:p>
    <w:tbl>
      <w:tblPr>
        <w:tblW w:w="4958" w:type="dxa"/>
        <w:jc w:val="left"/>
        <w:tblInd w:w="0" w:type="dxa"/>
        <w:tblLayout w:type="fixed"/>
        <w:tblCellMar>
          <w:top w:w="0" w:type="dxa"/>
          <w:left w:w="0" w:type="dxa"/>
          <w:bottom w:w="0" w:type="dxa"/>
          <w:right w:w="0" w:type="dxa"/>
        </w:tblCellMar>
      </w:tblPr>
      <w:tblGrid>
        <w:gridCol w:w="2660"/>
        <w:gridCol w:w="60"/>
        <w:gridCol w:w="133"/>
        <w:gridCol w:w="741"/>
        <w:gridCol w:w="80"/>
        <w:gridCol w:w="60"/>
        <w:gridCol w:w="173"/>
        <w:gridCol w:w="971"/>
        <w:gridCol w:w="80"/>
      </w:tblGrid>
      <w:tr>
        <w:trPr/>
        <w:tc>
          <w:tcPr>
            <w:tcW w:w="2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 Notes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3,500</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Unamortized debt issuance costs</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6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Net carrying amount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3,417</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 Notes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Principal</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125,000</w:t>
            </w:r>
          </w:p>
        </w:tc>
        <w:tc>
          <w:tcPr>
            <w:tcW w:w="80" w:type="dxa"/>
            <w:tcBorders/>
            <w:shd w:fill="FFFFFF" w:val="clear"/>
            <w:vAlign w:val="center"/>
          </w:tcPr>
          <w:p>
            <w:pPr>
              <w:pStyle w:val="TableContents"/>
              <w:bidi w:val="0"/>
              <w:spacing w:before="0" w:after="283"/>
              <w:jc w:val="left"/>
              <w:rPr/>
            </w:pPr>
            <w:r>
              <w:rPr/>
              <w:t> </w:t>
            </w:r>
          </w:p>
        </w:tc>
      </w:tr>
      <w:tr>
        <w:trPr/>
        <w:tc>
          <w:tcPr>
            <w:tcW w:w="266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Premium upon issuance</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74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9,908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7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10,416</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Unamortized debt issuance costs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7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carrying amount</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74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130,729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pPr>
            <w:r>
              <w:rPr/>
              <w:t> </w:t>
            </w:r>
          </w:p>
        </w:tc>
        <w:tc>
          <w:tcPr>
            <w:tcW w:w="97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131,080</w:t>
            </w:r>
          </w:p>
        </w:tc>
        <w:tc>
          <w:tcPr>
            <w:tcW w:w="80" w:type="dxa"/>
            <w:tcBorders/>
            <w:shd w:fill="CCEEFF" w:val="clear"/>
            <w:vAlign w:val="center"/>
          </w:tcPr>
          <w:p>
            <w:pPr>
              <w:pStyle w:val="TableContents"/>
              <w:bidi w:val="0"/>
              <w:spacing w:before="0" w:after="283"/>
              <w:jc w:val="left"/>
              <w:rPr/>
            </w:pPr>
            <w:r>
              <w:rPr/>
              <w:t> </w:t>
            </w:r>
          </w:p>
        </w:tc>
      </w:tr>
      <w:tr>
        <w:trPr/>
        <w:tc>
          <w:tcPr>
            <w:tcW w:w="26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net carrying amount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134,229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7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134,497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pPr>
      <w:r>
        <w:rPr>
          <w:rFonts w:ascii="Times New Roman" w:hAnsi="Times New Roman"/>
          <w:caps w:val="false"/>
          <w:smallCaps w:val="false"/>
          <w:sz w:val="20"/>
        </w:rPr>
        <w:t>The conversion rate for the </w:t>
      </w:r>
      <w:r>
        <w:rPr>
          <w:rStyle w:val="Emphasis"/>
          <w:rFonts w:ascii="Times New Roman" w:hAnsi="Times New Roman"/>
          <w:caps w:val="false"/>
          <w:smallCaps w:val="false"/>
          <w:sz w:val="20"/>
        </w:rPr>
        <w:t>2030</w:t>
      </w:r>
      <w:r>
        <w:rPr>
          <w:rFonts w:ascii="Times New Roman" w:hAnsi="Times New Roman"/>
          <w:caps w:val="false"/>
          <w:smallCaps w:val="false"/>
          <w:sz w:val="20"/>
        </w:rPr>
        <w:t> Notes is 23.0884 shares of Common Stock per </w:t>
      </w:r>
      <w:r>
        <w:rPr>
          <w:rStyle w:val="Emphasis"/>
          <w:rFonts w:ascii="Times New Roman" w:hAnsi="Times New Roman"/>
          <w:caps w:val="false"/>
          <w:smallCaps w:val="false"/>
          <w:sz w:val="20"/>
        </w:rPr>
        <w:t>$1,000</w:t>
      </w:r>
      <w:r>
        <w:rPr>
          <w:rFonts w:ascii="Times New Roman" w:hAnsi="Times New Roman"/>
          <w:caps w:val="false"/>
          <w:smallCaps w:val="false"/>
          <w:sz w:val="20"/>
        </w:rPr>
        <w:t>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(which is equivalent to a conversion price of approximately $43.31 per share of Common Stock, representing a premium of approximately 27.50% over the last reported sale price of the Common Stock on </w:t>
      </w:r>
      <w:r>
        <w:rPr>
          <w:rStyle w:val="Emphasis"/>
          <w:rFonts w:ascii="Times New Roman" w:hAnsi="Times New Roman"/>
          <w:caps w:val="false"/>
          <w:smallCaps w:val="false"/>
          <w:sz w:val="20"/>
        </w:rPr>
        <w:t xml:space="preserve"> December 18, 2024 </w:t>
      </w:r>
      <w:r>
        <w:rPr>
          <w:rFonts w:ascii="Times New Roman" w:hAnsi="Times New Roman"/>
          <w:caps w:val="false"/>
          <w:smallCaps w:val="false"/>
          <w:sz w:val="20"/>
        </w:rPr>
        <w:t>of $33.97 per share), subject to adjustment. Before </w:t>
      </w:r>
      <w:r>
        <w:rPr>
          <w:rStyle w:val="Emphasis"/>
          <w:rFonts w:ascii="Times New Roman" w:hAnsi="Times New Roman"/>
          <w:caps w:val="false"/>
          <w:smallCaps w:val="false"/>
          <w:sz w:val="20"/>
        </w:rPr>
        <w:t xml:space="preserve"> October 15, 2029, </w:t>
      </w:r>
      <w:r>
        <w:rPr>
          <w:rFonts w:ascii="Times New Roman" w:hAnsi="Times New Roman"/>
          <w:caps w:val="false"/>
          <w:smallCaps w:val="false"/>
          <w:sz w:val="20"/>
        </w:rPr>
        <w:t>holders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will have the right to convert their </w:t>
      </w:r>
      <w:r>
        <w:rPr>
          <w:rStyle w:val="Emphasis"/>
          <w:rFonts w:ascii="Times New Roman" w:hAnsi="Times New Roman"/>
          <w:caps w:val="false"/>
          <w:smallCaps w:val="false"/>
          <w:sz w:val="20"/>
        </w:rPr>
        <w:t>2030</w:t>
      </w:r>
      <w:r>
        <w:rPr>
          <w:rFonts w:ascii="Times New Roman" w:hAnsi="Times New Roman"/>
          <w:caps w:val="false"/>
          <w:smallCaps w:val="false"/>
          <w:sz w:val="20"/>
        </w:rPr>
        <w:t> Notes only upon the satisfaction of a common stock sale price condition or a note trading price condition (each, as described in the Indenture) or upon the occurrence of certain events (including the occurrence of a Fundamental Change, Make-Whole Fundamental Change or Common Stock Change Event (each as defined in the Indenture). From and after </w:t>
      </w:r>
      <w:r>
        <w:rPr>
          <w:rStyle w:val="Emphasis"/>
          <w:rFonts w:ascii="Times New Roman" w:hAnsi="Times New Roman"/>
          <w:caps w:val="false"/>
          <w:smallCaps w:val="false"/>
          <w:sz w:val="20"/>
        </w:rPr>
        <w:t xml:space="preserve"> October 15, 2029, </w:t>
      </w:r>
      <w:r>
        <w:rPr>
          <w:rFonts w:ascii="Times New Roman" w:hAnsi="Times New Roman"/>
          <w:caps w:val="false"/>
          <w:smallCaps w:val="false"/>
          <w:sz w:val="20"/>
        </w:rPr>
        <w:t>holders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convert their </w:t>
      </w:r>
      <w:r>
        <w:rPr>
          <w:rStyle w:val="Emphasis"/>
          <w:rFonts w:ascii="Times New Roman" w:hAnsi="Times New Roman"/>
          <w:caps w:val="false"/>
          <w:smallCaps w:val="false"/>
          <w:sz w:val="20"/>
        </w:rPr>
        <w:t>2030</w:t>
      </w:r>
      <w:r>
        <w:rPr>
          <w:rFonts w:ascii="Times New Roman" w:hAnsi="Times New Roman"/>
          <w:caps w:val="false"/>
          <w:smallCaps w:val="false"/>
          <w:sz w:val="20"/>
        </w:rPr>
        <w:t> Notes at any time at their election until the close of business on the </w:t>
      </w:r>
      <w:r>
        <w:rPr>
          <w:rStyle w:val="Emphasis"/>
          <w:rFonts w:ascii="Times New Roman" w:hAnsi="Times New Roman"/>
          <w:caps w:val="false"/>
          <w:smallCaps w:val="false"/>
          <w:sz w:val="20"/>
        </w:rPr>
        <w:t>second</w:t>
      </w:r>
      <w:r>
        <w:rPr>
          <w:rFonts w:ascii="Times New Roman" w:hAnsi="Times New Roman"/>
          <w:caps w:val="false"/>
          <w:smallCaps w:val="false"/>
          <w:sz w:val="20"/>
        </w:rPr>
        <w:t> scheduled trading day immediately before the maturity date. The Company will settle conversions by paying or delivering, as applicable, cash, shares of its Common Stock or a combination of cash and shares of its Common Stock, at the Company’s election, based on the applicable conversion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The </w:t>
      </w:r>
      <w:r>
        <w:rPr>
          <w:rStyle w:val="Emphasis"/>
          <w:rFonts w:ascii="Times New Roman" w:hAnsi="Times New Roman"/>
          <w:caps w:val="false"/>
          <w:smallCaps w:val="false"/>
          <w:sz w:val="20"/>
        </w:rPr>
        <w:t>2030</w:t>
      </w:r>
      <w:r>
        <w:rPr>
          <w:rFonts w:ascii="Times New Roman" w:hAnsi="Times New Roman"/>
          <w:caps w:val="false"/>
          <w:smallCaps w:val="false"/>
          <w:sz w:val="20"/>
        </w:rPr>
        <w:t> Notes will be redeemable, in whole or in part (subject to certain limitations described in the Indenture), at the Company’s option at any time, and from time to time, on or after </w:t>
      </w:r>
      <w:r>
        <w:rPr>
          <w:rStyle w:val="Emphasis"/>
          <w:rFonts w:ascii="Times New Roman" w:hAnsi="Times New Roman"/>
          <w:caps w:val="false"/>
          <w:smallCaps w:val="false"/>
          <w:sz w:val="20"/>
        </w:rPr>
        <w:t xml:space="preserve"> January 15, 2027 </w:t>
      </w:r>
      <w:r>
        <w:rPr>
          <w:rFonts w:ascii="Times New Roman" w:hAnsi="Times New Roman"/>
          <w:caps w:val="false"/>
          <w:smallCaps w:val="false"/>
          <w:sz w:val="20"/>
        </w:rPr>
        <w:t>and on or before the </w:t>
      </w:r>
      <w:r>
        <w:rPr>
          <w:rStyle w:val="Emphasis"/>
          <w:rFonts w:ascii="Times New Roman" w:hAnsi="Times New Roman"/>
          <w:caps w:val="false"/>
          <w:smallCaps w:val="false"/>
          <w:sz w:val="20"/>
        </w:rPr>
        <w:t>40th</w:t>
      </w:r>
      <w:r>
        <w:rPr>
          <w:rFonts w:ascii="Times New Roman" w:hAnsi="Times New Roman"/>
          <w:caps w:val="false"/>
          <w:smallCaps w:val="false"/>
          <w:sz w:val="20"/>
        </w:rPr>
        <w:t> scheduled trading day immediately before the maturity date, at a cash redemption price equal to the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to be redeemed, plus accrued and unpaid interest, if any, to, but excluding, the redemption date, but only if the last reported sale price per share of the Common Stock exceeds 130% of the conversion price on (</w:t>
      </w:r>
      <w:r>
        <w:rPr>
          <w:rStyle w:val="Emphasis"/>
          <w:rFonts w:ascii="Times New Roman" w:hAnsi="Times New Roman"/>
          <w:caps w:val="false"/>
          <w:smallCaps w:val="false"/>
          <w:sz w:val="20"/>
        </w:rPr>
        <w:t>1</w:t>
      </w:r>
      <w:r>
        <w:rPr>
          <w:rFonts w:ascii="Times New Roman" w:hAnsi="Times New Roman"/>
          <w:caps w:val="false"/>
          <w:smallCaps w:val="false"/>
          <w:sz w:val="20"/>
        </w:rPr>
        <w:t>) each of at least 20 trading days, whether or </w:t>
      </w:r>
      <w:r>
        <w:rPr>
          <w:rStyle w:val="Emphasis"/>
          <w:rFonts w:ascii="Times New Roman" w:hAnsi="Times New Roman"/>
          <w:caps w:val="false"/>
          <w:smallCaps w:val="false"/>
          <w:sz w:val="20"/>
        </w:rPr>
        <w:t>not</w:t>
      </w:r>
      <w:r>
        <w:rPr>
          <w:rFonts w:ascii="Times New Roman" w:hAnsi="Times New Roman"/>
          <w:caps w:val="false"/>
          <w:smallCaps w:val="false"/>
          <w:sz w:val="20"/>
        </w:rPr>
        <w:t> consecutive, during the 30 consecutive trading days ending on, and including, the trading day immediately before the date the Company sends the related redemption notice; and (</w:t>
      </w:r>
      <w:r>
        <w:rPr>
          <w:rStyle w:val="Emphasis"/>
          <w:rFonts w:ascii="Times New Roman" w:hAnsi="Times New Roman"/>
          <w:caps w:val="false"/>
          <w:smallCaps w:val="false"/>
          <w:sz w:val="20"/>
        </w:rPr>
        <w:t>2</w:t>
      </w:r>
      <w:r>
        <w:rPr>
          <w:rFonts w:ascii="Times New Roman" w:hAnsi="Times New Roman"/>
          <w:caps w:val="false"/>
          <w:smallCaps w:val="false"/>
          <w:sz w:val="20"/>
        </w:rPr>
        <w:t>) the trading day immediately before the date it sends such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addition, the </w:t>
      </w:r>
      <w:r>
        <w:rPr>
          <w:rStyle w:val="Emphasis"/>
          <w:rFonts w:ascii="Times New Roman" w:hAnsi="Times New Roman"/>
          <w:caps w:val="false"/>
          <w:smallCaps w:val="false"/>
          <w:sz w:val="20"/>
        </w:rPr>
        <w:t>2030</w:t>
      </w:r>
      <w:r>
        <w:rPr>
          <w:rFonts w:ascii="Times New Roman" w:hAnsi="Times New Roman"/>
          <w:caps w:val="false"/>
          <w:smallCaps w:val="false"/>
          <w:sz w:val="20"/>
        </w:rPr>
        <w:t> Notes will be redeemable, in whole or in part, at the Company’s option at any time, and from time to time, on or before the </w:t>
      </w:r>
      <w:r>
        <w:rPr>
          <w:rStyle w:val="Emphasis"/>
          <w:rFonts w:ascii="Times New Roman" w:hAnsi="Times New Roman"/>
          <w:caps w:val="false"/>
          <w:smallCaps w:val="false"/>
          <w:sz w:val="20"/>
        </w:rPr>
        <w:t>40th</w:t>
      </w:r>
      <w:r>
        <w:rPr>
          <w:rFonts w:ascii="Times New Roman" w:hAnsi="Times New Roman"/>
          <w:caps w:val="false"/>
          <w:smallCaps w:val="false"/>
          <w:sz w:val="20"/>
        </w:rPr>
        <w:t> scheduled trading day immediately before the maturity date, at a cash redemption price equal to the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to be redeemed, plus accrued and unpaid interest, if any, to, but excluding, the redemption date (subject to the right of a holder of </w:t>
      </w:r>
      <w:r>
        <w:rPr>
          <w:rStyle w:val="Emphasis"/>
          <w:rFonts w:ascii="Times New Roman" w:hAnsi="Times New Roman"/>
          <w:caps w:val="false"/>
          <w:smallCaps w:val="false"/>
          <w:sz w:val="20"/>
        </w:rPr>
        <w:t>2030</w:t>
      </w:r>
      <w:r>
        <w:rPr>
          <w:rFonts w:ascii="Times New Roman" w:hAnsi="Times New Roman"/>
          <w:caps w:val="false"/>
          <w:smallCaps w:val="false"/>
          <w:sz w:val="20"/>
        </w:rPr>
        <w:t> Notes as of the close of business on a record date to receive the related interest payment on the corresponding interest payment date), if the “Specified Divestiture” (as defined in the Indenture) is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Calling any </w:t>
      </w:r>
      <w:r>
        <w:rPr>
          <w:rStyle w:val="Emphasis"/>
          <w:rFonts w:ascii="Times New Roman" w:hAnsi="Times New Roman"/>
          <w:caps w:val="false"/>
          <w:smallCaps w:val="false"/>
          <w:sz w:val="20"/>
        </w:rPr>
        <w:t>2030</w:t>
      </w:r>
      <w:r>
        <w:rPr>
          <w:rFonts w:ascii="Times New Roman" w:hAnsi="Times New Roman"/>
          <w:caps w:val="false"/>
          <w:smallCaps w:val="false"/>
          <w:sz w:val="20"/>
        </w:rPr>
        <w:t> Note for redemption will constitute a “Make-Whole Fundamental Change” (as defined in the Indenture) with respect to that </w:t>
      </w:r>
      <w:r>
        <w:rPr>
          <w:rStyle w:val="Emphasis"/>
          <w:rFonts w:ascii="Times New Roman" w:hAnsi="Times New Roman"/>
          <w:caps w:val="false"/>
          <w:smallCaps w:val="false"/>
          <w:sz w:val="20"/>
        </w:rPr>
        <w:t>2030</w:t>
      </w:r>
      <w:r>
        <w:rPr>
          <w:rFonts w:ascii="Times New Roman" w:hAnsi="Times New Roman"/>
          <w:caps w:val="false"/>
          <w:smallCaps w:val="false"/>
          <w:sz w:val="20"/>
        </w:rPr>
        <w:t> Note, in which case the conversion rate applicable to the conversion of that </w:t>
      </w:r>
      <w:r>
        <w:rPr>
          <w:rStyle w:val="Emphasis"/>
          <w:rFonts w:ascii="Times New Roman" w:hAnsi="Times New Roman"/>
          <w:caps w:val="false"/>
          <w:smallCaps w:val="false"/>
          <w:sz w:val="20"/>
        </w:rPr>
        <w:t>2030</w:t>
      </w:r>
      <w:r>
        <w:rPr>
          <w:rFonts w:ascii="Times New Roman" w:hAnsi="Times New Roman"/>
          <w:caps w:val="false"/>
          <w:smallCaps w:val="false"/>
          <w:sz w:val="20"/>
        </w:rPr>
        <w:t> Note will be increased in certain circumstances if it is converted after it is called for redemption.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In addition, if the Specified Divestiture is completed, then unless the Company has previously elected to redeem all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each holder of </w:t>
      </w:r>
      <w:r>
        <w:rPr>
          <w:rStyle w:val="Emphasis"/>
          <w:rFonts w:ascii="Times New Roman" w:hAnsi="Times New Roman"/>
          <w:caps w:val="false"/>
          <w:smallCaps w:val="false"/>
          <w:sz w:val="20"/>
        </w:rPr>
        <w:t>2030</w:t>
      </w:r>
      <w:r>
        <w:rPr>
          <w:rFonts w:ascii="Times New Roman" w:hAnsi="Times New Roman"/>
          <w:caps w:val="false"/>
          <w:smallCaps w:val="false"/>
          <w:sz w:val="20"/>
        </w:rPr>
        <w:t> Notes will have the right to require the Company to repurchase its </w:t>
      </w:r>
      <w:r>
        <w:rPr>
          <w:rStyle w:val="Emphasis"/>
          <w:rFonts w:ascii="Times New Roman" w:hAnsi="Times New Roman"/>
          <w:caps w:val="false"/>
          <w:smallCaps w:val="false"/>
          <w:sz w:val="20"/>
        </w:rPr>
        <w:t>2030</w:t>
      </w:r>
      <w:r>
        <w:rPr>
          <w:rFonts w:ascii="Times New Roman" w:hAnsi="Times New Roman"/>
          <w:caps w:val="false"/>
          <w:smallCaps w:val="false"/>
          <w:sz w:val="20"/>
        </w:rPr>
        <w:t> Notes for cash on a date of the Company’s choosing, which must be a business day that is </w:t>
      </w:r>
      <w:r>
        <w:rPr>
          <w:rStyle w:val="Emphasis"/>
          <w:rFonts w:ascii="Times New Roman" w:hAnsi="Times New Roman"/>
          <w:caps w:val="false"/>
          <w:smallCaps w:val="false"/>
          <w:sz w:val="20"/>
        </w:rPr>
        <w:t>no</w:t>
      </w:r>
      <w:r>
        <w:rPr>
          <w:rFonts w:ascii="Times New Roman" w:hAnsi="Times New Roman"/>
          <w:caps w:val="false"/>
          <w:smallCaps w:val="false"/>
          <w:sz w:val="20"/>
        </w:rPr>
        <w:t> more than </w:t>
      </w:r>
      <w:r>
        <w:rPr>
          <w:rStyle w:val="Emphasis"/>
          <w:rFonts w:ascii="Times New Roman" w:hAnsi="Times New Roman"/>
          <w:caps w:val="false"/>
          <w:smallCaps w:val="false"/>
          <w:sz w:val="20"/>
        </w:rPr>
        <w:t>35,</w:t>
      </w:r>
      <w:r>
        <w:rPr>
          <w:rFonts w:ascii="Times New Roman" w:hAnsi="Times New Roman"/>
          <w:caps w:val="false"/>
          <w:smallCaps w:val="false"/>
          <w:sz w:val="20"/>
        </w:rPr>
        <w:t> nor less than </w:t>
      </w:r>
      <w:r>
        <w:rPr>
          <w:rStyle w:val="Emphasis"/>
          <w:rFonts w:ascii="Times New Roman" w:hAnsi="Times New Roman"/>
          <w:caps w:val="false"/>
          <w:smallCaps w:val="false"/>
          <w:sz w:val="20"/>
        </w:rPr>
        <w:t>20,</w:t>
      </w:r>
      <w:r>
        <w:rPr>
          <w:rFonts w:ascii="Times New Roman" w:hAnsi="Times New Roman"/>
          <w:caps w:val="false"/>
          <w:smallCaps w:val="false"/>
          <w:sz w:val="20"/>
        </w:rPr>
        <w:t> business days after the date the Company’s sends the related notice of Specified Divestiture. The repurchase price for a note tendered for such repurchase will be equal to the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to be repurchased, plus accrued and unpaid interest, if any, to, but excluding, the repurchase date (subject to the right of a holder of </w:t>
      </w:r>
      <w:r>
        <w:rPr>
          <w:rStyle w:val="Emphasis"/>
          <w:rFonts w:ascii="Times New Roman" w:hAnsi="Times New Roman"/>
          <w:caps w:val="false"/>
          <w:smallCaps w:val="false"/>
          <w:sz w:val="20"/>
        </w:rPr>
        <w:t>2030</w:t>
      </w:r>
      <w:r>
        <w:rPr>
          <w:rFonts w:ascii="Times New Roman" w:hAnsi="Times New Roman"/>
          <w:caps w:val="false"/>
          <w:smallCaps w:val="false"/>
          <w:sz w:val="20"/>
        </w:rPr>
        <w:t> Notes as of the close of business on a record date to receive the related interest payment on the corresponding interest payment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Moreover, if the Company undergoes a fundamental change, as described in the Indenture, holders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require the Company to repurchase for cash all or part of their </w:t>
      </w:r>
      <w:r>
        <w:rPr>
          <w:rStyle w:val="Emphasis"/>
          <w:rFonts w:ascii="Times New Roman" w:hAnsi="Times New Roman"/>
          <w:caps w:val="false"/>
          <w:smallCaps w:val="false"/>
          <w:sz w:val="20"/>
        </w:rPr>
        <w:t>2030</w:t>
      </w:r>
      <w:r>
        <w:rPr>
          <w:rFonts w:ascii="Times New Roman" w:hAnsi="Times New Roman"/>
          <w:caps w:val="false"/>
          <w:smallCaps w:val="false"/>
          <w:sz w:val="20"/>
        </w:rPr>
        <w:t> Notes at a repurchase price equal to 100% of the principal amount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 to be repurchased, plus accrued and unpaid interest to, but excluding, the required repurchase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Additionally, the </w:t>
      </w:r>
      <w:r>
        <w:rPr>
          <w:rStyle w:val="Emphasis"/>
          <w:rFonts w:ascii="Times New Roman" w:hAnsi="Times New Roman"/>
          <w:caps w:val="false"/>
          <w:smallCaps w:val="false"/>
          <w:sz w:val="20"/>
        </w:rPr>
        <w:t>2030</w:t>
      </w:r>
      <w:r>
        <w:rPr>
          <w:rFonts w:ascii="Times New Roman" w:hAnsi="Times New Roman"/>
          <w:caps w:val="false"/>
          <w:smallCaps w:val="false"/>
          <w:sz w:val="20"/>
        </w:rPr>
        <w:t> Notes are subject to customary events of default. The </w:t>
      </w:r>
      <w:r>
        <w:rPr>
          <w:rStyle w:val="Emphasis"/>
          <w:rFonts w:ascii="Times New Roman" w:hAnsi="Times New Roman"/>
          <w:caps w:val="false"/>
          <w:smallCaps w:val="false"/>
          <w:sz w:val="20"/>
        </w:rPr>
        <w:t>2030</w:t>
      </w:r>
      <w:r>
        <w:rPr>
          <w:rFonts w:ascii="Times New Roman" w:hAnsi="Times New Roman"/>
          <w:caps w:val="false"/>
          <w:smallCaps w:val="false"/>
          <w:sz w:val="20"/>
        </w:rPr>
        <w:t> Notes do </w:t>
      </w:r>
      <w:r>
        <w:rPr>
          <w:rStyle w:val="Emphasis"/>
          <w:rFonts w:ascii="Times New Roman" w:hAnsi="Times New Roman"/>
          <w:caps w:val="false"/>
          <w:smallCaps w:val="false"/>
          <w:sz w:val="20"/>
        </w:rPr>
        <w:t>not</w:t>
      </w:r>
      <w:r>
        <w:rPr>
          <w:rFonts w:ascii="Times New Roman" w:hAnsi="Times New Roman"/>
          <w:caps w:val="false"/>
          <w:smallCaps w:val="false"/>
          <w:sz w:val="20"/>
        </w:rPr>
        <w:t> restrict the Company’s ability to incur debt or liens. </w:t>
      </w:r>
      <w:r>
        <w:rPr>
          <w:rStyle w:val="Emphasis"/>
          <w:rFonts w:ascii="Times New Roman" w:hAnsi="Times New Roman"/>
          <w:caps w:val="false"/>
          <w:smallCaps w:val="false"/>
          <w:sz w:val="20"/>
        </w:rPr>
        <w:t>No</w:t>
      </w:r>
      <w:r>
        <w:rPr>
          <w:rFonts w:ascii="Times New Roman" w:hAnsi="Times New Roman"/>
          <w:caps w:val="false"/>
          <w:smallCaps w:val="false"/>
          <w:sz w:val="20"/>
        </w:rPr>
        <w:t> sinking fund is provided for the </w:t>
      </w:r>
      <w:r>
        <w:rPr>
          <w:rStyle w:val="Emphasis"/>
          <w:rFonts w:ascii="Times New Roman" w:hAnsi="Times New Roman"/>
          <w:caps w:val="false"/>
          <w:smallCaps w:val="false"/>
          <w:sz w:val="20"/>
        </w:rPr>
        <w:t>2030</w:t>
      </w:r>
      <w:r>
        <w:rPr>
          <w:rFonts w:ascii="Times New Roman" w:hAnsi="Times New Roman"/>
          <w:caps w:val="false"/>
          <w:smallCaps w:val="false"/>
          <w:sz w:val="20"/>
        </w:rPr>
        <w:t> Notes. There are </w:t>
      </w:r>
      <w:r>
        <w:rPr>
          <w:rStyle w:val="Emphasis"/>
          <w:rFonts w:ascii="Times New Roman" w:hAnsi="Times New Roman"/>
          <w:caps w:val="false"/>
          <w:smallCaps w:val="false"/>
          <w:sz w:val="20"/>
        </w:rPr>
        <w:t>no</w:t>
      </w:r>
      <w:r>
        <w:rPr>
          <w:rFonts w:ascii="Times New Roman" w:hAnsi="Times New Roman"/>
          <w:caps w:val="false"/>
          <w:smallCaps w:val="false"/>
          <w:sz w:val="20"/>
        </w:rPr>
        <w:t> guarantors of the </w:t>
      </w:r>
      <w:r>
        <w:rPr>
          <w:rStyle w:val="Emphasis"/>
          <w:rFonts w:ascii="Times New Roman" w:hAnsi="Times New Roman"/>
          <w:caps w:val="false"/>
          <w:smallCaps w:val="false"/>
          <w:sz w:val="20"/>
        </w:rPr>
        <w:t>2030</w:t>
      </w:r>
      <w:r>
        <w:rPr>
          <w:rFonts w:ascii="Times New Roman" w:hAnsi="Times New Roman"/>
          <w:caps w:val="false"/>
          <w:smallCaps w:val="false"/>
          <w:sz w:val="20"/>
        </w:rPr>
        <w:t>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Pursuant to the guidance in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Contracts in Entity’s Own Equity, the Company evaluated whether the conversion feature of the note needed to be bifurcated from the host instrument as a freestanding financial instrument. Under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to qualify for equity classification (or non-bifurcation, if embedded) the instrument (or embedded feature) must be both (</w:t>
      </w:r>
      <w:r>
        <w:rPr>
          <w:rStyle w:val="Emphasis"/>
          <w:rFonts w:ascii="Times New Roman" w:hAnsi="Times New Roman"/>
          <w:caps w:val="false"/>
          <w:smallCaps w:val="false"/>
          <w:sz w:val="20"/>
        </w:rPr>
        <w:t>1</w:t>
      </w:r>
      <w:r>
        <w:rPr>
          <w:rFonts w:ascii="Times New Roman" w:hAnsi="Times New Roman"/>
          <w:caps w:val="false"/>
          <w:smallCaps w:val="false"/>
          <w:sz w:val="20"/>
        </w:rPr>
        <w:t>) indexed to the issuer’s own stock and (</w:t>
      </w:r>
      <w:r>
        <w:rPr>
          <w:rStyle w:val="Emphasis"/>
          <w:rFonts w:ascii="Times New Roman" w:hAnsi="Times New Roman"/>
          <w:caps w:val="false"/>
          <w:smallCaps w:val="false"/>
          <w:sz w:val="20"/>
        </w:rPr>
        <w:t>2</w:t>
      </w:r>
      <w:r>
        <w:rPr>
          <w:rFonts w:ascii="Times New Roman" w:hAnsi="Times New Roman"/>
          <w:caps w:val="false"/>
          <w:smallCaps w:val="false"/>
          <w:sz w:val="20"/>
        </w:rPr>
        <w:t>) meet the requirements of the equity classification guidance. Based upon the Company’s analysis, it was determined the conversion option is indexed to its own stock and also met all the criteria for equity classification. Accordingly, the conversion option is </w:t>
      </w:r>
      <w:r>
        <w:rPr>
          <w:rStyle w:val="Emphasis"/>
          <w:rFonts w:ascii="Times New Roman" w:hAnsi="Times New Roman"/>
          <w:caps w:val="false"/>
          <w:smallCaps w:val="false"/>
          <w:sz w:val="20"/>
        </w:rPr>
        <w:t>not</w:t>
      </w:r>
      <w:r>
        <w:rPr>
          <w:rFonts w:ascii="Times New Roman" w:hAnsi="Times New Roman"/>
          <w:caps w:val="false"/>
          <w:smallCaps w:val="false"/>
          <w:sz w:val="20"/>
        </w:rPr>
        <w:t> required to be bifurcated from the host instrument as a derivative.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Pursuant to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15,</w:t>
      </w:r>
      <w:r>
        <w:rPr>
          <w:rFonts w:ascii="Times New Roman" w:hAnsi="Times New Roman"/>
          <w:caps w:val="false"/>
          <w:smallCaps w:val="false"/>
          <w:sz w:val="20"/>
        </w:rPr>
        <w:t> the Company further determined that the contingent redemption features in the </w:t>
      </w:r>
      <w:r>
        <w:rPr>
          <w:rStyle w:val="Emphasis"/>
          <w:rFonts w:ascii="Times New Roman" w:hAnsi="Times New Roman"/>
          <w:caps w:val="false"/>
          <w:smallCaps w:val="false"/>
          <w:sz w:val="20"/>
        </w:rPr>
        <w:t>2030</w:t>
      </w:r>
      <w:r>
        <w:rPr>
          <w:rFonts w:ascii="Times New Roman" w:hAnsi="Times New Roman"/>
          <w:caps w:val="false"/>
          <w:smallCaps w:val="false"/>
          <w:sz w:val="20"/>
        </w:rPr>
        <w:t> Notes are </w:t>
      </w:r>
      <w:r>
        <w:rPr>
          <w:rStyle w:val="Emphasis"/>
          <w:rFonts w:ascii="Times New Roman" w:hAnsi="Times New Roman"/>
          <w:caps w:val="false"/>
          <w:smallCaps w:val="false"/>
          <w:sz w:val="20"/>
        </w:rPr>
        <w:t>not</w:t>
      </w:r>
      <w:r>
        <w:rPr>
          <w:rFonts w:ascii="Times New Roman" w:hAnsi="Times New Roman"/>
          <w:caps w:val="false"/>
          <w:smallCaps w:val="false"/>
          <w:sz w:val="20"/>
        </w:rPr>
        <w:t> required to be bifurcated from the host contract and accounted for separately. Additionally, the Company then evaluated whether the conversion feature needed to be separately accounted for as an equity component under ASC </w:t>
      </w:r>
      <w:r>
        <w:rPr>
          <w:rStyle w:val="Emphasis"/>
          <w:rFonts w:ascii="Times New Roman" w:hAnsi="Times New Roman"/>
          <w:caps w:val="false"/>
          <w:smallCaps w:val="false"/>
          <w:sz w:val="20"/>
        </w:rPr>
        <w:t>470</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Debt with Conversion and Other Options, and determined that the additional premium was </w:t>
      </w:r>
      <w:r>
        <w:rPr>
          <w:rStyle w:val="Emphasis"/>
          <w:rFonts w:ascii="Times New Roman" w:hAnsi="Times New Roman"/>
          <w:caps w:val="false"/>
          <w:smallCaps w:val="false"/>
          <w:sz w:val="20"/>
        </w:rPr>
        <w:t>not</w:t>
      </w:r>
      <w:r>
        <w:rPr>
          <w:rFonts w:ascii="Times New Roman" w:hAnsi="Times New Roman"/>
          <w:caps w:val="false"/>
          <w:smallCaps w:val="false"/>
          <w:sz w:val="20"/>
        </w:rPr>
        <w:t> substantial. Accordingly, that amount was recognized as a premium on the </w:t>
      </w:r>
      <w:r>
        <w:rPr>
          <w:rStyle w:val="Emphasis"/>
          <w:rFonts w:ascii="Times New Roman" w:hAnsi="Times New Roman"/>
          <w:caps w:val="false"/>
          <w:smallCaps w:val="false"/>
          <w:sz w:val="20"/>
        </w:rPr>
        <w:t>2030</w:t>
      </w:r>
      <w:r>
        <w:rPr>
          <w:rFonts w:ascii="Times New Roman" w:hAnsi="Times New Roman"/>
          <w:caps w:val="false"/>
          <w:smallCaps w:val="false"/>
          <w:sz w:val="20"/>
        </w:rPr>
        <w:t> Notes.</w:t>
      </w:r>
    </w:p>
    <w:p>
      <w:pPr>
        <w:pStyle w:val="TextBody"/>
        <w:bidi w:val="0"/>
        <w:spacing w:before="0" w:after="0"/>
        <w:jc w:val="left"/>
        <w:rPr/>
      </w:pPr>
      <w:r>
        <w:rPr/>
        <w:t xml:space="preserve">   </w:t>
      </w:r>
    </w:p>
    <w:p>
      <w:pPr>
        <w:pStyle w:val="TextBody"/>
        <w:bidi w:val="0"/>
        <w:spacing w:before="0" w:after="0"/>
        <w:jc w:val="center"/>
        <w:rPr/>
      </w:pPr>
      <w:r>
        <w:rPr>
          <w:rStyle w:val="Emphasis"/>
          <w:rFonts w:ascii="Times New Roman" w:hAnsi="Times New Roman"/>
          <w:sz w:val="20"/>
        </w:rPr>
        <w:t>14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360" w:right="0" w:firstLine="540"/>
        <w:jc w:val="left"/>
        <w:rPr/>
      </w:pPr>
      <w:r>
        <w:rPr>
          <w:rFonts w:ascii="Times New Roman" w:hAnsi="Times New Roman"/>
          <w:sz w:val="20"/>
        </w:rPr>
        <w:t xml:space="preserve">The following table sets forth interest expense information related to the </w:t>
      </w:r>
      <w:r>
        <w:rPr>
          <w:rStyle w:val="Emphasis"/>
          <w:rFonts w:ascii="Times New Roman" w:hAnsi="Times New Roman"/>
          <w:color w:val="000000"/>
          <w:sz w:val="20"/>
        </w:rPr>
        <w:t>2026</w:t>
      </w:r>
      <w:r>
        <w:rPr>
          <w:rFonts w:ascii="Times New Roman" w:hAnsi="Times New Roman"/>
          <w:color w:val="000000"/>
          <w:sz w:val="20"/>
        </w:rPr>
        <w:t xml:space="preserve"> Notes and </w:t>
      </w:r>
      <w:r>
        <w:rPr>
          <w:rStyle w:val="Emphasis"/>
          <w:rFonts w:ascii="Times New Roman" w:hAnsi="Times New Roman"/>
          <w:color w:val="000000"/>
          <w:sz w:val="20"/>
        </w:rPr>
        <w:t>2030</w:t>
      </w:r>
      <w:r>
        <w:rPr>
          <w:rFonts w:ascii="Times New Roman" w:hAnsi="Times New Roman"/>
          <w:color w:val="000000"/>
          <w:sz w:val="20"/>
        </w:rPr>
        <w:t> Notes (in thousands):</w:t>
      </w:r>
    </w:p>
    <w:p>
      <w:pPr>
        <w:pStyle w:val="TextBody"/>
        <w:bidi w:val="0"/>
        <w:spacing w:before="0" w:after="0"/>
        <w:ind w:left="0" w:right="0" w:hanging="0"/>
        <w:jc w:val="left"/>
        <w:rPr/>
      </w:pPr>
      <w:r>
        <w:rPr/>
        <w:t>​</w:t>
      </w:r>
    </w:p>
    <w:tbl>
      <w:tblPr>
        <w:tblW w:w="5726" w:type="dxa"/>
        <w:jc w:val="left"/>
        <w:tblInd w:w="0" w:type="dxa"/>
        <w:tblLayout w:type="fixed"/>
        <w:tblCellMar>
          <w:top w:w="0" w:type="dxa"/>
          <w:left w:w="0" w:type="dxa"/>
          <w:bottom w:w="0" w:type="dxa"/>
          <w:right w:w="0" w:type="dxa"/>
        </w:tblCellMar>
      </w:tblPr>
      <w:tblGrid>
        <w:gridCol w:w="2900"/>
        <w:gridCol w:w="60"/>
        <w:gridCol w:w="245"/>
        <w:gridCol w:w="658"/>
        <w:gridCol w:w="363"/>
        <w:gridCol w:w="117"/>
        <w:gridCol w:w="245"/>
        <w:gridCol w:w="953"/>
        <w:gridCol w:w="185"/>
      </w:tblGrid>
      <w:tr>
        <w:trPr/>
        <w:tc>
          <w:tcPr>
            <w:tcW w:w="29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9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363"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ind w:left="0" w:right="0" w:hanging="0"/>
              <w:jc w:val="left"/>
              <w:rPr/>
            </w:pPr>
            <w:r>
              <w:rPr/>
              <w:t> </w:t>
            </w:r>
          </w:p>
        </w:tc>
        <w:tc>
          <w:tcPr>
            <w:tcW w:w="119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Contractual interest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w:t>
            </w:r>
          </w:p>
        </w:tc>
        <w:tc>
          <w:tcPr>
            <w:tcW w:w="363"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24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1,059</w:t>
            </w:r>
          </w:p>
        </w:tc>
        <w:tc>
          <w:tcPr>
            <w:tcW w:w="18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issuance costs</w:t>
            </w:r>
          </w:p>
        </w:tc>
        <w:tc>
          <w:tcPr>
            <w:tcW w:w="60" w:type="dxa"/>
            <w:tcBorders/>
            <w:shd w:fill="FFFFFF" w:val="clear"/>
            <w:vAlign w:val="center"/>
          </w:tcPr>
          <w:p>
            <w:pPr>
              <w:pStyle w:val="TableContents"/>
              <w:bidi w:val="0"/>
              <w:spacing w:before="0" w:after="283"/>
              <w:jc w:val="left"/>
              <w:rPr/>
            </w:pPr>
            <w:r>
              <w:rPr/>
              <w:t> </w:t>
            </w:r>
          </w:p>
        </w:tc>
        <w:tc>
          <w:tcPr>
            <w:tcW w:w="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w:t>
            </w:r>
          </w:p>
        </w:tc>
        <w:tc>
          <w:tcPr>
            <w:tcW w:w="363" w:type="dxa"/>
            <w:tcBorders/>
            <w:shd w:fill="FFFFFF" w:val="clear"/>
            <w:vAlign w:val="center"/>
          </w:tcPr>
          <w:p>
            <w:pPr>
              <w:pStyle w:val="TableContents"/>
              <w:bidi w:val="0"/>
              <w:spacing w:before="0" w:after="283"/>
              <w:jc w:val="left"/>
              <w:rPr/>
            </w:pPr>
            <w:r>
              <w:rPr/>
              <w:t> </w:t>
            </w:r>
          </w:p>
        </w:tc>
        <w:tc>
          <w:tcPr>
            <w:tcW w:w="117" w:type="dxa"/>
            <w:tcBorders/>
            <w:shd w:fill="FFFFFF" w:val="clear"/>
            <w:vAlign w:val="center"/>
          </w:tcPr>
          <w:p>
            <w:pPr>
              <w:pStyle w:val="TableContents"/>
              <w:bidi w:val="0"/>
              <w:spacing w:before="0" w:after="283"/>
              <w:jc w:val="left"/>
              <w:rPr/>
            </w:pPr>
            <w:r>
              <w:rPr/>
              <w:t> </w:t>
            </w:r>
          </w:p>
        </w:tc>
        <w:tc>
          <w:tcPr>
            <w:tcW w:w="24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185" w:type="dxa"/>
            <w:tcBorders/>
            <w:shd w:fill="FFFFFF" w:val="clear"/>
            <w:vAlign w:val="center"/>
          </w:tcPr>
          <w:p>
            <w:pPr>
              <w:pStyle w:val="TableContents"/>
              <w:bidi w:val="0"/>
              <w:spacing w:before="0" w:after="283"/>
              <w:jc w:val="left"/>
              <w:rPr/>
            </w:pPr>
            <w:r>
              <w:rPr/>
              <w:t> </w:t>
            </w:r>
          </w:p>
        </w:tc>
      </w:tr>
      <w:tr>
        <w:trPr/>
        <w:tc>
          <w:tcPr>
            <w:tcW w:w="29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interest cost</w:t>
            </w:r>
          </w:p>
        </w:tc>
        <w:tc>
          <w:tcPr>
            <w:tcW w:w="60" w:type="dxa"/>
            <w:tcBorders/>
            <w:shd w:fill="CCEEFF" w:val="clear"/>
            <w:vAlign w:val="center"/>
          </w:tcPr>
          <w:p>
            <w:pPr>
              <w:pStyle w:val="TableContents"/>
              <w:bidi w:val="0"/>
              <w:spacing w:before="0" w:after="283"/>
              <w:ind w:left="0" w:right="0" w:hanging="0"/>
              <w:jc w:val="left"/>
              <w:rPr/>
            </w:pPr>
            <w:r>
              <w:rPr/>
              <w:t> </w:t>
            </w:r>
          </w:p>
        </w:tc>
        <w:tc>
          <w:tcPr>
            <w:tcW w:w="2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w:t>
            </w:r>
          </w:p>
        </w:tc>
        <w:tc>
          <w:tcPr>
            <w:tcW w:w="363" w:type="dxa"/>
            <w:tcBorders/>
            <w:shd w:fill="CCEEFF" w:val="clear"/>
            <w:vAlign w:val="center"/>
          </w:tcPr>
          <w:p>
            <w:pPr>
              <w:pStyle w:val="TableContents"/>
              <w:bidi w:val="0"/>
              <w:spacing w:before="0" w:after="283"/>
              <w:jc w:val="left"/>
              <w:rPr/>
            </w:pPr>
            <w:r>
              <w:rPr/>
              <w:t> </w:t>
            </w:r>
          </w:p>
        </w:tc>
        <w:tc>
          <w:tcPr>
            <w:tcW w:w="117" w:type="dxa"/>
            <w:tcBorders/>
            <w:shd w:fill="CCEEFF" w:val="clear"/>
            <w:vAlign w:val="center"/>
          </w:tcPr>
          <w:p>
            <w:pPr>
              <w:pStyle w:val="TableContents"/>
              <w:bidi w:val="0"/>
              <w:spacing w:before="0" w:after="283"/>
              <w:ind w:left="0" w:right="0" w:hanging="0"/>
              <w:jc w:val="left"/>
              <w:rPr/>
            </w:pPr>
            <w:r>
              <w:rPr/>
              <w:t> </w:t>
            </w:r>
          </w:p>
        </w:tc>
        <w:tc>
          <w:tcPr>
            <w:tcW w:w="24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w:t>
            </w:r>
          </w:p>
        </w:tc>
        <w:tc>
          <w:tcPr>
            <w:tcW w:w="185" w:type="dxa"/>
            <w:tcBorders/>
            <w:shd w:fill="CCEEFF"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interest rate</w:t>
            </w:r>
          </w:p>
        </w:tc>
        <w:tc>
          <w:tcPr>
            <w:tcW w:w="6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6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36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7"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360"/>
        <w:jc w:val="left"/>
        <w:rPr/>
      </w:pPr>
      <w:r>
        <w:rPr/>
        <w:t>​</w:t>
      </w:r>
    </w:p>
    <w:p>
      <w:pPr>
        <w:pStyle w:val="TextBody"/>
        <w:bidi w:val="0"/>
        <w:spacing w:before="0" w:after="283"/>
        <w:jc w:val="left"/>
        <w:rPr/>
      </w:pPr>
      <w:r>
        <w:rPr/>
        <w:t xml:space="preserve">  </w:t>
      </w:r>
    </w:p>
    <w:p>
      <w:pPr>
        <w:pStyle w:val="TextBody"/>
        <w:bidi w:val="0"/>
        <w:spacing w:before="0" w:after="0"/>
        <w:ind w:left="0" w:right="0" w:firstLine="360"/>
        <w:jc w:val="left"/>
        <w:rPr/>
      </w:pPr>
      <w:r>
        <w:rPr>
          <w:rFonts w:ascii="Times New Roman;Times;serif" w:hAnsi="Times New Roman;Times;serif"/>
          <w:b/>
          <w:sz w:val="20"/>
        </w:rPr>
        <w:t xml:space="preserve">Note </w:t>
      </w:r>
      <w:r>
        <w:rPr>
          <w:rStyle w:val="Emphasis"/>
          <w:rFonts w:ascii="Times New Roman;Times;serif" w:hAnsi="Times New Roman;Times;serif"/>
          <w:b/>
          <w:sz w:val="20"/>
        </w:rPr>
        <w:t>13.</w:t>
      </w:r>
      <w:r>
        <w:rPr>
          <w:rFonts w:ascii="Times New Roman;Times;serif" w:hAnsi="Times New Roman;Times;serif"/>
          <w:b/>
          <w:sz w:val="20"/>
        </w:rPr>
        <w:t>  Accrued Liabilities​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Accrued liabilities consisted of the following for the periods indicated (in thousands):</w:t>
      </w:r>
    </w:p>
    <w:p>
      <w:pPr>
        <w:pStyle w:val="TextBody"/>
        <w:bidi w:val="0"/>
        <w:spacing w:before="0" w:after="0"/>
        <w:ind w:left="0" w:right="0" w:firstLine="720"/>
        <w:jc w:val="left"/>
        <w:rPr/>
      </w:pPr>
      <w:r>
        <w:rPr/>
        <w:t>​</w:t>
      </w:r>
    </w:p>
    <w:tbl>
      <w:tblPr>
        <w:tblW w:w="6208" w:type="dxa"/>
        <w:jc w:val="left"/>
        <w:tblInd w:w="0" w:type="dxa"/>
        <w:tblLayout w:type="fixed"/>
        <w:tblCellMar>
          <w:top w:w="0" w:type="dxa"/>
          <w:left w:w="0" w:type="dxa"/>
          <w:bottom w:w="0" w:type="dxa"/>
          <w:right w:w="0" w:type="dxa"/>
        </w:tblCellMar>
      </w:tblPr>
      <w:tblGrid>
        <w:gridCol w:w="3020"/>
        <w:gridCol w:w="60"/>
        <w:gridCol w:w="234"/>
        <w:gridCol w:w="1105"/>
        <w:gridCol w:w="60"/>
        <w:gridCol w:w="60"/>
        <w:gridCol w:w="280"/>
        <w:gridCol w:w="1329"/>
        <w:gridCol w:w="60"/>
      </w:tblGrid>
      <w:tr>
        <w:trPr/>
        <w:tc>
          <w:tcPr>
            <w:tcW w:w="30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March 31, 2025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December 31, 2024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payroll</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13,136</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employee benefits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4,014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state and local taxes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824</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shipping and tariff expenses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Advanced payments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commission expenses</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professional fees</w:t>
            </w:r>
          </w:p>
        </w:tc>
        <w:tc>
          <w:tcPr>
            <w:tcW w:w="60" w:type="dxa"/>
            <w:tcBorders/>
            <w:shd w:fill="FFFFFF" w:val="clear"/>
            <w:vAlign w:val="center"/>
          </w:tcPr>
          <w:p>
            <w:pPr>
              <w:pStyle w:val="TableContents"/>
              <w:bidi w:val="0"/>
              <w:spacing w:before="0" w:after="283"/>
              <w:jc w:val="left"/>
              <w:rPr/>
            </w:pPr>
            <w:r>
              <w:rPr/>
              <w:t> </w:t>
            </w:r>
          </w:p>
        </w:tc>
        <w:tc>
          <w:tcPr>
            <w:tcW w:w="234" w:type="dxa"/>
            <w:tcBorders/>
            <w:shd w:fill="FFFFFF" w:val="clear"/>
            <w:vAlign w:val="center"/>
          </w:tcPr>
          <w:p>
            <w:pPr>
              <w:pStyle w:val="TableContents"/>
              <w:bidi w:val="0"/>
              <w:spacing w:before="0" w:after="283"/>
              <w:ind w:left="0" w:right="0" w:hanging="0"/>
              <w:jc w:val="left"/>
              <w:rPr/>
            </w:pPr>
            <w:r>
              <w:rPr/>
              <w:t> </w:t>
            </w:r>
          </w:p>
        </w:tc>
        <w:tc>
          <w:tcPr>
            <w:tcW w:w="11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ind w:left="0" w:right="0" w:hanging="0"/>
              <w:jc w:val="left"/>
              <w:rPr/>
            </w:pPr>
            <w:r>
              <w:rPr/>
              <w:t> </w:t>
            </w:r>
          </w:p>
        </w:tc>
        <w:tc>
          <w:tcPr>
            <w:tcW w:w="13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product warranty</w:t>
            </w:r>
          </w:p>
        </w:tc>
        <w:tc>
          <w:tcPr>
            <w:tcW w:w="60" w:type="dxa"/>
            <w:tcBorders/>
            <w:shd w:fill="CCEEFF" w:val="clear"/>
            <w:vAlign w:val="center"/>
          </w:tcPr>
          <w:p>
            <w:pPr>
              <w:pStyle w:val="TableContents"/>
              <w:bidi w:val="0"/>
              <w:spacing w:before="0" w:after="283"/>
              <w:jc w:val="left"/>
              <w:rPr/>
            </w:pPr>
            <w:r>
              <w:rPr/>
              <w:t> </w:t>
            </w:r>
          </w:p>
        </w:tc>
        <w:tc>
          <w:tcPr>
            <w:tcW w:w="234" w:type="dxa"/>
            <w:tcBorders/>
            <w:shd w:fill="CCEEFF" w:val="clear"/>
            <w:vAlign w:val="center"/>
          </w:tcPr>
          <w:p>
            <w:pPr>
              <w:pStyle w:val="TableContents"/>
              <w:bidi w:val="0"/>
              <w:spacing w:before="0" w:after="283"/>
              <w:ind w:left="0" w:right="0" w:hanging="0"/>
              <w:jc w:val="left"/>
              <w:rPr/>
            </w:pPr>
            <w:r>
              <w:rPr/>
              <w:t> </w:t>
            </w:r>
          </w:p>
        </w:tc>
        <w:tc>
          <w:tcPr>
            <w:tcW w:w="11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ind w:left="0" w:right="0" w:hanging="0"/>
              <w:jc w:val="left"/>
              <w:rPr/>
            </w:pPr>
            <w:r>
              <w:rPr/>
              <w:t> </w:t>
            </w:r>
          </w:p>
        </w:tc>
        <w:tc>
          <w:tcPr>
            <w:tcW w:w="13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60"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other</w:t>
            </w:r>
          </w:p>
        </w:tc>
        <w:tc>
          <w:tcPr>
            <w:tcW w:w="60" w:type="dxa"/>
            <w:tcBorders/>
            <w:shd w:fill="FFFFFF" w:val="clear"/>
            <w:vAlign w:val="center"/>
          </w:tcPr>
          <w:p>
            <w:pPr>
              <w:pStyle w:val="TableContents"/>
              <w:bidi w:val="0"/>
              <w:spacing w:before="0" w:after="283"/>
              <w:jc w:val="left"/>
              <w:rPr/>
            </w:pPr>
            <w:r>
              <w:rPr/>
              <w:t> </w:t>
            </w:r>
          </w:p>
        </w:tc>
        <w:tc>
          <w:tcPr>
            <w:tcW w:w="2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1,561</w:t>
            </w:r>
          </w:p>
        </w:tc>
        <w:tc>
          <w:tcPr>
            <w:tcW w:w="60"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accrued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22,091</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14.</w:t>
      </w:r>
      <w:r>
        <w:rPr>
          <w:rFonts w:ascii="Times New Roman" w:hAnsi="Times New Roman"/>
          <w:b/>
          <w:sz w:val="20"/>
        </w:rPr>
        <w:t>  Other Income and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Other income and expense consisted of the following for the periods indicated (in thousands):</w:t>
      </w:r>
    </w:p>
    <w:p>
      <w:pPr>
        <w:pStyle w:val="TextBody"/>
        <w:bidi w:val="0"/>
        <w:spacing w:before="0" w:after="0"/>
        <w:ind w:left="0" w:right="0" w:hanging="0"/>
        <w:jc w:val="left"/>
        <w:rPr/>
      </w:pPr>
      <w:r>
        <w:rPr/>
        <w:t> </w:t>
      </w:r>
    </w:p>
    <w:tbl>
      <w:tblPr>
        <w:tblW w:w="5577" w:type="dxa"/>
        <w:jc w:val="left"/>
        <w:tblInd w:w="0" w:type="dxa"/>
        <w:tblLayout w:type="fixed"/>
        <w:tblCellMar>
          <w:top w:w="0" w:type="dxa"/>
          <w:left w:w="0" w:type="dxa"/>
          <w:bottom w:w="0" w:type="dxa"/>
          <w:right w:w="0" w:type="dxa"/>
        </w:tblCellMar>
      </w:tblPr>
      <w:tblGrid>
        <w:gridCol w:w="2855"/>
        <w:gridCol w:w="60"/>
        <w:gridCol w:w="288"/>
        <w:gridCol w:w="773"/>
        <w:gridCol w:w="184"/>
        <w:gridCol w:w="138"/>
        <w:gridCol w:w="288"/>
        <w:gridCol w:w="911"/>
        <w:gridCol w:w="80"/>
      </w:tblGrid>
      <w:tr>
        <w:trPr/>
        <w:tc>
          <w:tcPr>
            <w:tcW w:w="28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06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84"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ind w:left="0" w:right="0" w:hanging="0"/>
              <w:jc w:val="left"/>
              <w:rPr/>
            </w:pPr>
            <w:r>
              <w:rPr/>
              <w:t> </w:t>
            </w:r>
          </w:p>
        </w:tc>
        <w:tc>
          <w:tcPr>
            <w:tcW w:w="11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disposal of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38" w:type="dxa"/>
            <w:tcBorders/>
            <w:shd w:fill="CCEEFF" w:val="clear"/>
            <w:vAlign w:val="center"/>
          </w:tcPr>
          <w:p>
            <w:pPr>
              <w:pStyle w:val="TableContents"/>
              <w:bidi w:val="0"/>
              <w:spacing w:before="0" w:after="283"/>
              <w:ind w:left="0" w:right="0" w:hanging="0"/>
              <w:jc w:val="left"/>
              <w:rPr/>
            </w:pPr>
            <w:r>
              <w:rPr/>
              <w:t> </w:t>
            </w:r>
          </w:p>
        </w:tc>
        <w:tc>
          <w:tcPr>
            <w:tcW w:w="2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 subsidy income</w:t>
            </w:r>
          </w:p>
        </w:tc>
        <w:tc>
          <w:tcPr>
            <w:tcW w:w="60"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7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184"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88" w:type="dxa"/>
            <w:tcBorders/>
            <w:shd w:fill="FFFFFF" w:val="clear"/>
            <w:vAlign w:val="center"/>
          </w:tcPr>
          <w:p>
            <w:pPr>
              <w:pStyle w:val="TableContents"/>
              <w:bidi w:val="0"/>
              <w:spacing w:before="0" w:after="283"/>
              <w:ind w:left="0" w:right="0" w:hanging="0"/>
              <w:jc w:val="left"/>
              <w:rPr/>
            </w:pPr>
            <w:r>
              <w:rPr/>
              <w:t> </w:t>
            </w:r>
          </w:p>
        </w:tc>
        <w:tc>
          <w:tcPr>
            <w:tcW w:w="91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Gain (Loss)</w:t>
            </w:r>
          </w:p>
        </w:tc>
        <w:tc>
          <w:tcPr>
            <w:tcW w:w="60"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7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w:t>
            </w:r>
          </w:p>
        </w:tc>
        <w:tc>
          <w:tcPr>
            <w:tcW w:w="184"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288" w:type="dxa"/>
            <w:tcBorders/>
            <w:shd w:fill="CCEEFF" w:val="clear"/>
            <w:vAlign w:val="center"/>
          </w:tcPr>
          <w:p>
            <w:pPr>
              <w:pStyle w:val="TableContents"/>
              <w:bidi w:val="0"/>
              <w:spacing w:before="0" w:after="283"/>
              <w:ind w:left="0" w:right="0" w:hanging="0"/>
              <w:jc w:val="left"/>
              <w:rPr/>
            </w:pPr>
            <w:r>
              <w:rPr/>
              <w:t> </w:t>
            </w:r>
          </w:p>
        </w:tc>
        <w:tc>
          <w:tcPr>
            <w:tcW w:w="91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non-operating gain</w:t>
            </w:r>
          </w:p>
        </w:tc>
        <w:tc>
          <w:tcPr>
            <w:tcW w:w="60"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4"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2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80" w:type="dxa"/>
            <w:tcBorders/>
            <w:shd w:fill="FFFFFF" w:val="clear"/>
            <w:vAlign w:val="center"/>
          </w:tcPr>
          <w:p>
            <w:pPr>
              <w:pStyle w:val="TableContents"/>
              <w:bidi w:val="0"/>
              <w:spacing w:before="0" w:after="283"/>
              <w:jc w:val="left"/>
              <w:rPr/>
            </w:pPr>
            <w:r>
              <w:rPr/>
              <w:t> </w:t>
            </w:r>
          </w:p>
        </w:tc>
      </w:tr>
      <w:tr>
        <w:trPr/>
        <w:tc>
          <w:tcPr>
            <w:tcW w:w="28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(expenses) , net</w:t>
            </w:r>
          </w:p>
        </w:tc>
        <w:tc>
          <w:tcPr>
            <w:tcW w:w="60"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p>
        </w:tc>
        <w:tc>
          <w:tcPr>
            <w:tcW w:w="184"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ind w:left="0" w:right="0" w:hanging="0"/>
              <w:jc w:val="left"/>
              <w:rPr/>
            </w:pPr>
            <w:r>
              <w:rPr/>
              <w:t> </w:t>
            </w:r>
          </w:p>
        </w:tc>
        <w:tc>
          <w:tcPr>
            <w:tcW w:w="2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15.</w:t>
      </w:r>
      <w:r>
        <w:rPr>
          <w:rFonts w:ascii="Times New Roman" w:hAnsi="Times New Roman"/>
          <w:b/>
          <w:sz w:val="20"/>
        </w:rPr>
        <w:t>  Share-Based Compensation</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Equity Plans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Company’s board of directors and stockholders approved the following equity plans:</w:t>
      </w:r>
    </w:p>
    <w:p>
      <w:pPr>
        <w:pStyle w:val="TextBody"/>
        <w:bidi w:val="0"/>
        <w:spacing w:before="0" w:after="0"/>
        <w:ind w:left="720" w:right="0" w:hanging="720"/>
        <w:jc w:val="left"/>
        <w:rPr/>
      </w:pPr>
      <w:r>
        <w:rPr/>
        <w:t>​</w:t>
      </w:r>
    </w:p>
    <w:tbl>
      <w:tblPr>
        <w:tblW w:w="3925" w:type="dxa"/>
        <w:jc w:val="left"/>
        <w:tblInd w:w="0" w:type="dxa"/>
        <w:tblLayout w:type="fixed"/>
        <w:tblCellMar>
          <w:top w:w="0" w:type="dxa"/>
          <w:left w:w="0" w:type="dxa"/>
          <w:bottom w:w="0" w:type="dxa"/>
          <w:right w:w="0" w:type="dxa"/>
        </w:tblCellMar>
      </w:tblPr>
      <w:tblGrid>
        <w:gridCol w:w="60"/>
        <w:gridCol w:w="170"/>
        <w:gridCol w:w="36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3695" w:type="dxa"/>
            <w:tcBorders/>
            <w:vAlign w:val="center"/>
          </w:tcPr>
          <w:p>
            <w:pPr>
              <w:pStyle w:val="TableContents"/>
              <w:bidi w:val="0"/>
              <w:spacing w:before="0" w:after="0"/>
              <w:ind w:left="0" w:right="0" w:hanging="0"/>
              <w:jc w:val="left"/>
              <w:rPr/>
            </w:pPr>
            <w:r>
              <w:rPr>
                <w:rFonts w:ascii="Times New Roman" w:hAnsi="Times New Roman"/>
                <w:sz w:val="20"/>
              </w:rPr>
              <w:t xml:space="preserve">the </w:t>
            </w:r>
            <w:r>
              <w:rPr>
                <w:rStyle w:val="Emphasis"/>
                <w:rFonts w:ascii="Times New Roman" w:hAnsi="Times New Roman"/>
                <w:sz w:val="20"/>
              </w:rPr>
              <w:t>2013</w:t>
            </w:r>
            <w:r>
              <w:rPr>
                <w:rFonts w:ascii="Times New Roman" w:hAnsi="Times New Roman"/>
                <w:sz w:val="20"/>
              </w:rPr>
              <w:t xml:space="preserve"> Equity Incentive Plan (</w:t>
            </w:r>
            <w:r>
              <w:rPr>
                <w:rStyle w:val="Emphasis"/>
                <w:rFonts w:ascii="Times New Roman" w:hAnsi="Times New Roman"/>
                <w:sz w:val="20"/>
              </w:rPr>
              <w:t>"2013</w:t>
            </w:r>
            <w:r>
              <w:rPr>
                <w:rFonts w:ascii="Times New Roman" w:hAnsi="Times New Roman"/>
                <w:sz w:val="20"/>
              </w:rPr>
              <w:t xml:space="preserve"> Plan")</w:t>
            </w:r>
          </w:p>
        </w:tc>
      </w:tr>
    </w:tbl>
    <w:tbl>
      <w:tblPr>
        <w:tblW w:w="4660" w:type="dxa"/>
        <w:jc w:val="left"/>
        <w:tblInd w:w="0" w:type="dxa"/>
        <w:tblLayout w:type="fixed"/>
        <w:tblCellMar>
          <w:top w:w="0" w:type="dxa"/>
          <w:left w:w="0" w:type="dxa"/>
          <w:bottom w:w="0" w:type="dxa"/>
          <w:right w:w="0" w:type="dxa"/>
        </w:tblCellMar>
      </w:tblPr>
      <w:tblGrid>
        <w:gridCol w:w="60"/>
        <w:gridCol w:w="170"/>
        <w:gridCol w:w="44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pPr>
            <w:r>
              <w:rPr/>
              <w:t>●</w:t>
            </w:r>
          </w:p>
        </w:tc>
        <w:tc>
          <w:tcPr>
            <w:tcW w:w="4430" w:type="dxa"/>
            <w:tcBorders/>
            <w:vAlign w:val="center"/>
          </w:tcPr>
          <w:p>
            <w:pPr>
              <w:pStyle w:val="TableContents"/>
              <w:bidi w:val="0"/>
              <w:spacing w:before="0" w:after="0"/>
              <w:ind w:left="0" w:right="0" w:hanging="0"/>
              <w:jc w:val="left"/>
              <w:rPr/>
            </w:pPr>
            <w:r>
              <w:rPr>
                <w:rFonts w:ascii="Times New Roman" w:hAnsi="Times New Roman"/>
                <w:sz w:val="20"/>
              </w:rPr>
              <w:t xml:space="preserve">the </w:t>
            </w:r>
            <w:r>
              <w:rPr>
                <w:rStyle w:val="Emphasis"/>
                <w:rFonts w:ascii="Times New Roman" w:hAnsi="Times New Roman"/>
                <w:sz w:val="20"/>
              </w:rPr>
              <w:t>2021</w:t>
            </w:r>
            <w:r>
              <w:rPr>
                <w:rFonts w:ascii="Times New Roman" w:hAnsi="Times New Roman"/>
                <w:sz w:val="20"/>
              </w:rPr>
              <w:t xml:space="preserve"> Equity Incentive Plan (</w:t>
            </w:r>
            <w:r>
              <w:rPr>
                <w:rStyle w:val="Emphasis"/>
                <w:rFonts w:ascii="Times New Roman" w:hAnsi="Times New Roman"/>
                <w:sz w:val="20"/>
              </w:rPr>
              <w:t>"2021</w:t>
            </w:r>
            <w:r>
              <w:rPr>
                <w:rFonts w:ascii="Times New Roman" w:hAnsi="Times New Roman"/>
                <w:sz w:val="20"/>
              </w:rPr>
              <w:t xml:space="preserve"> Plan")</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4430" w:type="dxa"/>
            <w:tcBorders/>
            <w:vAlign w:val="center"/>
          </w:tcPr>
          <w:p>
            <w:pPr>
              <w:pStyle w:val="TableContents"/>
              <w:bidi w:val="0"/>
              <w:spacing w:before="0" w:after="283"/>
              <w:jc w:val="left"/>
              <w:rPr/>
            </w:pPr>
            <w:r>
              <w:rPr>
                <w:rFonts w:ascii="Times New Roman" w:hAnsi="Times New Roman"/>
                <w:sz w:val="20"/>
              </w:rPr>
              <w:t xml:space="preserve">the </w:t>
            </w:r>
            <w:r>
              <w:rPr>
                <w:rStyle w:val="Emphasis"/>
                <w:rFonts w:ascii="Times New Roman" w:hAnsi="Times New Roman"/>
                <w:sz w:val="20"/>
              </w:rPr>
              <w:t>2023</w:t>
            </w:r>
            <w:r>
              <w:rPr>
                <w:rFonts w:ascii="Times New Roman" w:hAnsi="Times New Roman"/>
                <w:sz w:val="20"/>
              </w:rPr>
              <w:t xml:space="preserve"> Equity Inducement Plan ("Inducement Plan")</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The Company has issued stock options, restricted stock awards ("RSAs") and restricted stock units ("RSUs") to employees, consultants and non-employee directors. Stock option awards generally vest over a four-year period and have a maximum term of ten years. Stock options under these plans have been granted with an exercise price equal to the fair market value on the date of the grant. Nonqualified and Incentive Stock Options, RSAs and RSUs </w:t>
      </w:r>
      <w:r>
        <w:rPr>
          <w:rStyle w:val="Emphasis"/>
          <w:rFonts w:ascii="Times New Roman" w:hAnsi="Times New Roman"/>
          <w:sz w:val="20"/>
        </w:rPr>
        <w:t xml:space="preserve">may </w:t>
      </w:r>
      <w:r>
        <w:rPr>
          <w:rFonts w:ascii="Times New Roman" w:hAnsi="Times New Roman"/>
          <w:sz w:val="20"/>
        </w:rPr>
        <w:t>be granted from these plans.</w:t>
      </w:r>
    </w:p>
    <w:p>
      <w:pPr>
        <w:pStyle w:val="TextBody"/>
        <w:bidi w:val="0"/>
        <w:spacing w:before="0" w:after="0"/>
        <w:ind w:left="0" w:right="0" w:firstLine="720"/>
        <w:jc w:val="left"/>
        <w:rPr/>
      </w:pPr>
      <w:r>
        <w:rPr/>
        <w:t>​</w:t>
      </w:r>
    </w:p>
    <w:p>
      <w:pPr>
        <w:pStyle w:val="TextBody"/>
        <w:bidi w:val="0"/>
        <w:spacing w:before="0" w:after="0"/>
        <w:jc w:val="center"/>
        <w:rPr/>
      </w:pPr>
      <w:r>
        <w:rPr>
          <w:rStyle w:val="Emphasis"/>
          <w:rFonts w:ascii="Times New Roman" w:hAnsi="Times New Roman"/>
          <w:sz w:val="20"/>
        </w:rPr>
        <w:t>15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Performance Based Incentive Plan</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t>​</w:t>
      </w:r>
      <w:r>
        <w:rPr>
          <w:rFonts w:ascii="Times New Roman" w:hAnsi="Times New Roman"/>
          <w:sz w:val="20"/>
        </w:rPr>
        <w:t xml:space="preserve">Starting in </w:t>
      </w:r>
      <w:r>
        <w:rPr>
          <w:rStyle w:val="Emphasis"/>
          <w:rFonts w:ascii="Times New Roman" w:hAnsi="Times New Roman"/>
          <w:sz w:val="20"/>
        </w:rPr>
        <w:t>2021,</w:t>
      </w:r>
      <w:r>
        <w:rPr>
          <w:rFonts w:ascii="Times New Roman" w:hAnsi="Times New Roman"/>
          <w:sz w:val="20"/>
        </w:rPr>
        <w:t xml:space="preserve"> certain senior executives were granted performance stock units ("PSUs") under our Amended and Restated </w:t>
      </w:r>
      <w:r>
        <w:rPr>
          <w:rStyle w:val="Emphasis"/>
          <w:rFonts w:ascii="Times New Roman" w:hAnsi="Times New Roman"/>
          <w:sz w:val="20"/>
        </w:rPr>
        <w:t>2021</w:t>
      </w:r>
      <w:r>
        <w:rPr>
          <w:rFonts w:ascii="Times New Roman" w:hAnsi="Times New Roman"/>
          <w:sz w:val="20"/>
        </w:rPr>
        <w:t xml:space="preserve"> Equity Incentive Plan (</w:t>
      </w:r>
      <w:r>
        <w:rPr>
          <w:rStyle w:val="Emphasis"/>
          <w:rFonts w:ascii="Times New Roman" w:hAnsi="Times New Roman"/>
          <w:sz w:val="20"/>
        </w:rPr>
        <w:t>"2021</w:t>
      </w:r>
      <w:r>
        <w:rPr>
          <w:rFonts w:ascii="Times New Roman" w:hAnsi="Times New Roman"/>
          <w:sz w:val="20"/>
        </w:rPr>
        <w:t xml:space="preserve"> Plan"), which generally vest over a three-year period subject to achievement of certain pre-established performance metrics. The number of shares of common stock that would ultimately be issued to settle PSUs granted ranged from 0% to 200% of the target number of shares granted. We estimate the fair value of the PSUs on the date of grant using a Monte Carlo simulation model, with stock-based compensation expense recognized ratably over the applicable </w:t>
      </w:r>
      <w:r>
        <w:rPr>
          <w:rStyle w:val="Emphasis"/>
          <w:rFonts w:ascii="Times New Roman" w:hAnsi="Times New Roman"/>
          <w:sz w:val="20"/>
        </w:rPr>
        <w:t>three</w:t>
      </w:r>
      <w:r>
        <w:rPr>
          <w:rFonts w:ascii="Times New Roman" w:hAnsi="Times New Roman"/>
          <w:sz w:val="20"/>
        </w:rPr>
        <w:t>-year performance period</w:t>
      </w:r>
      <w:r>
        <w:rPr>
          <w:rFonts w:ascii="Times New Roman" w:hAnsi="Times New Roman"/>
          <w:sz w:val="20"/>
          <w:shd w:fill="FFFFFF" w:val="clear"/>
        </w:rPr>
        <w:t xml:space="preserve">. The Company recognized </w:t>
      </w:r>
      <w:r>
        <w:rPr>
          <w:rFonts w:ascii="Times New Roman" w:hAnsi="Times New Roman"/>
          <w:sz w:val="20"/>
        </w:rPr>
        <w:t xml:space="preserve">stock-based compensation expense for the PSUs for the </w:t>
      </w:r>
      <w:r>
        <w:rPr>
          <w:rStyle w:val="Emphasis"/>
          <w:rFonts w:ascii="Times New Roman" w:hAnsi="Times New Roman"/>
          <w:sz w:val="20"/>
        </w:rPr>
        <w:t>three</w:t>
      </w:r>
      <w:r>
        <w:rPr>
          <w:rFonts w:ascii="Times New Roman" w:hAnsi="Times New Roman"/>
          <w:sz w:val="20"/>
        </w:rPr>
        <w:t> months ended </w:t>
      </w:r>
      <w:r>
        <w:rPr>
          <w:rStyle w:val="Emphasis"/>
          <w:rFonts w:ascii="Times New Roman" w:hAnsi="Times New Roman"/>
          <w:sz w:val="20"/>
        </w:rPr>
        <w:t xml:space="preserve"> March 31, 2025 </w:t>
      </w:r>
      <w:r>
        <w:rPr>
          <w:rFonts w:ascii="Times New Roman" w:hAnsi="Times New Roman"/>
          <w:sz w:val="20"/>
        </w:rPr>
        <w:t xml:space="preserve">and </w:t>
      </w:r>
      <w:r>
        <w:rPr>
          <w:rStyle w:val="Emphasis"/>
          <w:rFonts w:ascii="Times New Roman" w:hAnsi="Times New Roman"/>
          <w:sz w:val="20"/>
        </w:rPr>
        <w:t>2024</w:t>
      </w:r>
      <w:r>
        <w:rPr>
          <w:rFonts w:ascii="Times New Roman" w:hAnsi="Times New Roman"/>
          <w:sz w:val="20"/>
        </w:rPr>
        <w:t xml:space="preserve"> of $0.9 million and $1.0 million, respectively. </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The following is a summary of PSU activity for the </w:t>
      </w:r>
      <w:r>
        <w:rPr>
          <w:rStyle w:val="Emphasis"/>
          <w:rFonts w:ascii="Times New Roman" w:hAnsi="Times New Roman"/>
          <w:sz w:val="20"/>
        </w:rPr>
        <w:t>three</w:t>
      </w:r>
      <w:r>
        <w:rPr>
          <w:rFonts w:ascii="Times New Roman" w:hAnsi="Times New Roman"/>
          <w:sz w:val="20"/>
        </w:rPr>
        <w:t xml:space="preserve"> months ended </w:t>
      </w:r>
      <w:r>
        <w:rPr>
          <w:rStyle w:val="Emphasis"/>
          <w:rFonts w:ascii="Times New Roman" w:hAnsi="Times New Roman"/>
          <w:sz w:val="20"/>
        </w:rPr>
        <w:t>March 31, 2025:</w:t>
      </w:r>
    </w:p>
    <w:p>
      <w:pPr>
        <w:pStyle w:val="TextBody"/>
        <w:bidi w:val="0"/>
        <w:spacing w:before="0" w:after="0"/>
        <w:ind w:left="160" w:right="0" w:firstLine="540"/>
        <w:jc w:val="left"/>
        <w:rPr>
          <w:caps w:val="false"/>
          <w:smallCaps w:val="false"/>
        </w:rPr>
      </w:pPr>
      <w:r>
        <w:rPr>
          <w:caps w:val="false"/>
          <w:smallCaps w:val="false"/>
        </w:rPr>
        <w:t> </w:t>
      </w:r>
    </w:p>
    <w:tbl>
      <w:tblPr>
        <w:tblW w:w="7027" w:type="dxa"/>
        <w:jc w:val="left"/>
        <w:tblInd w:w="0" w:type="dxa"/>
        <w:tblLayout w:type="fixed"/>
        <w:tblCellMar>
          <w:top w:w="0" w:type="dxa"/>
          <w:left w:w="0" w:type="dxa"/>
          <w:bottom w:w="0" w:type="dxa"/>
          <w:right w:w="0" w:type="dxa"/>
        </w:tblCellMar>
      </w:tblPr>
      <w:tblGrid>
        <w:gridCol w:w="2405"/>
        <w:gridCol w:w="60"/>
        <w:gridCol w:w="96"/>
        <w:gridCol w:w="793"/>
        <w:gridCol w:w="60"/>
        <w:gridCol w:w="60"/>
        <w:gridCol w:w="230"/>
        <w:gridCol w:w="1004"/>
        <w:gridCol w:w="60"/>
        <w:gridCol w:w="60"/>
        <w:gridCol w:w="278"/>
        <w:gridCol w:w="851"/>
        <w:gridCol w:w="60"/>
        <w:gridCol w:w="60"/>
        <w:gridCol w:w="155"/>
        <w:gridCol w:w="735"/>
        <w:gridCol w:w="60"/>
      </w:tblGrid>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 on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Release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502"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price data)</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January 1, 2025</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0"/>
              <w:jc w:val="right"/>
              <w:rPr/>
            </w:pPr>
            <w:r>
              <w:rPr/>
              <w:t> </w:t>
            </w:r>
          </w:p>
        </w:tc>
        <w:tc>
          <w:tcPr>
            <w:tcW w:w="1004"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7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53,347</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0"/>
              <w:jc w:val="right"/>
              <w:rPr/>
            </w:pPr>
            <w:r>
              <w:rPr/>
              <w:t> </w:t>
            </w:r>
          </w:p>
        </w:tc>
        <w:tc>
          <w:tcPr>
            <w:tcW w:w="1004"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shd w:fill="FFFFFF" w:val="clear"/>
            <w:vAlign w:val="center"/>
          </w:tcPr>
          <w:p>
            <w:pPr>
              <w:pStyle w:val="TableContents"/>
              <w:bidi w:val="0"/>
              <w:spacing w:before="0" w:after="283"/>
              <w:ind w:left="0" w:right="0" w:hanging="0"/>
              <w:jc w:val="left"/>
              <w:rPr/>
            </w:pPr>
            <w:r>
              <w:rPr/>
              <w:t> </w:t>
            </w:r>
          </w:p>
        </w:tc>
        <w:tc>
          <w:tcPr>
            <w:tcW w:w="85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Released</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right"/>
              <w:rPr/>
            </w:pPr>
            <w:r>
              <w:rPr/>
              <w:t> </w:t>
            </w:r>
          </w:p>
        </w:tc>
        <w:tc>
          <w:tcPr>
            <w:tcW w:w="230" w:type="dxa"/>
            <w:tcBorders/>
            <w:shd w:fill="CCEEFF" w:val="clear"/>
            <w:vAlign w:val="center"/>
          </w:tcPr>
          <w:p>
            <w:pPr>
              <w:pStyle w:val="TableContents"/>
              <w:bidi w:val="0"/>
              <w:spacing w:before="0" w:after="283"/>
              <w:ind w:left="0" w:right="0" w:hanging="0"/>
              <w:jc w:val="right"/>
              <w:rPr/>
            </w:pPr>
            <w:r>
              <w:rPr/>
              <w:t> </w:t>
            </w:r>
          </w:p>
        </w:tc>
        <w:tc>
          <w:tcPr>
            <w:tcW w:w="1004"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shd w:fill="CCEEFF" w:val="clear"/>
            <w:vAlign w:val="center"/>
          </w:tcPr>
          <w:p>
            <w:pPr>
              <w:pStyle w:val="TableContents"/>
              <w:bidi w:val="0"/>
              <w:spacing w:before="0" w:after="283"/>
              <w:ind w:left="0" w:right="0" w:hanging="0"/>
              <w:jc w:val="left"/>
              <w:rPr/>
            </w:pPr>
            <w:r>
              <w:rPr/>
              <w:t> </w:t>
            </w:r>
          </w:p>
        </w:tc>
        <w:tc>
          <w:tcPr>
            <w:tcW w:w="85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Cancelled/Forfeited</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 </w:t>
            </w:r>
          </w:p>
        </w:tc>
        <w:tc>
          <w:tcPr>
            <w:tcW w:w="10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7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March 31, 2025</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w:t>
            </w:r>
          </w:p>
        </w:tc>
        <w:tc>
          <w:tcPr>
            <w:tcW w:w="6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right"/>
              <w:rPr/>
            </w:pPr>
            <w:r>
              <w:rPr/>
              <w:t> </w:t>
            </w:r>
          </w:p>
        </w:tc>
        <w:tc>
          <w:tcPr>
            <w:tcW w:w="2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 </w:t>
            </w:r>
          </w:p>
        </w:tc>
        <w:tc>
          <w:tcPr>
            <w:tcW w:w="100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22,216</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ind w:left="0" w:right="0" w:hanging="0"/>
              <w:jc w:val="right"/>
              <w:rPr/>
            </w:pPr>
            <w:r>
              <w:rPr/>
              <w:t> </w:t>
            </w:r>
          </w:p>
        </w:tc>
        <w:tc>
          <w:tcPr>
            <w:tcW w:w="1004"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22,216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As of </w:t>
      </w:r>
      <w:r>
        <w:rPr>
          <w:rStyle w:val="Emphasis"/>
          <w:rFonts w:ascii="Times New Roman" w:hAnsi="Times New Roman"/>
          <w:sz w:val="20"/>
        </w:rPr>
        <w:t>March 31, 2025</w:t>
      </w:r>
      <w:r>
        <w:rPr>
          <w:rFonts w:ascii="Times New Roman" w:hAnsi="Times New Roman"/>
          <w:sz w:val="20"/>
        </w:rPr>
        <w:t>, there was $4.8 million of unrecognized stock-based compensation expense related to outstanding PSUs, which expense is expected to be recognized over 1.5 y</w:t>
      </w:r>
      <w:r>
        <w:rPr>
          <w:rFonts w:ascii="Times New Roman" w:hAnsi="Times New Roman"/>
          <w:sz w:val="20"/>
          <w:shd w:fill="FFFFFF" w:val="clear"/>
        </w:rPr>
        <w:t>ears</w:t>
      </w:r>
      <w:r>
        <w:rPr>
          <w:rFonts w:ascii="Times New Roman" w:hAnsi="Times New Roman"/>
          <w:sz w:val="20"/>
        </w:rPr>
        <w:t>.</w:t>
      </w:r>
    </w:p>
    <w:p>
      <w:pPr>
        <w:pStyle w:val="TextBody"/>
        <w:bidi w:val="0"/>
        <w:spacing w:before="0" w:after="0"/>
        <w:ind w:left="0" w:right="0" w:firstLine="720"/>
        <w:jc w:val="left"/>
        <w:rPr/>
      </w:pPr>
      <w:r>
        <w:rPr/>
        <w:t> </w:t>
      </w:r>
    </w:p>
    <w:p>
      <w:pPr>
        <w:pStyle w:val="TextBody"/>
        <w:bidi w:val="0"/>
        <w:spacing w:before="0" w:after="0"/>
        <w:ind w:left="0" w:right="0" w:firstLine="540"/>
        <w:jc w:val="left"/>
        <w:rPr>
          <w:rFonts w:ascii="Times New Roman" w:hAnsi="Times New Roman"/>
          <w:i/>
          <w:caps w:val="false"/>
          <w:smallCaps w:val="false"/>
          <w:sz w:val="20"/>
        </w:rPr>
      </w:pPr>
      <w:r>
        <w:rPr>
          <w:rFonts w:ascii="Times New Roman" w:hAnsi="Times New Roman"/>
          <w:i/>
          <w:caps w:val="false"/>
          <w:smallCaps w:val="false"/>
          <w:sz w:val="20"/>
        </w:rPr>
        <w:t>Restricted Stock Units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firstLine="540"/>
        <w:jc w:val="left"/>
        <w:rPr>
          <w:rFonts w:ascii="Times New Roman" w:hAnsi="Times New Roman"/>
          <w:caps w:val="false"/>
          <w:smallCaps w:val="false"/>
          <w:sz w:val="20"/>
        </w:rPr>
      </w:pPr>
      <w:r>
        <w:rPr>
          <w:rFonts w:ascii="Times New Roman" w:hAnsi="Times New Roman"/>
          <w:caps w:val="false"/>
          <w:smallCaps w:val="false"/>
          <w:sz w:val="20"/>
        </w:rPr>
        <w:t>The following is a summary of RSU activity:</w:t>
      </w:r>
    </w:p>
    <w:p>
      <w:pPr>
        <w:pStyle w:val="TextBody"/>
        <w:bidi w:val="0"/>
        <w:spacing w:before="0" w:after="0"/>
        <w:ind w:left="160" w:right="0" w:firstLine="540"/>
        <w:jc w:val="left"/>
        <w:rPr>
          <w:caps w:val="false"/>
          <w:smallCaps w:val="false"/>
        </w:rPr>
      </w:pPr>
      <w:r>
        <w:rPr>
          <w:caps w:val="false"/>
          <w:smallCaps w:val="false"/>
        </w:rPr>
        <w:t> </w:t>
      </w:r>
    </w:p>
    <w:tbl>
      <w:tblPr>
        <w:tblW w:w="7047" w:type="dxa"/>
        <w:jc w:val="left"/>
        <w:tblInd w:w="0" w:type="dxa"/>
        <w:tblLayout w:type="fixed"/>
        <w:tblCellMar>
          <w:top w:w="0" w:type="dxa"/>
          <w:left w:w="0" w:type="dxa"/>
          <w:bottom w:w="0" w:type="dxa"/>
          <w:right w:w="0" w:type="dxa"/>
        </w:tblCellMar>
      </w:tblPr>
      <w:tblGrid>
        <w:gridCol w:w="2405"/>
        <w:gridCol w:w="60"/>
        <w:gridCol w:w="96"/>
        <w:gridCol w:w="793"/>
        <w:gridCol w:w="80"/>
        <w:gridCol w:w="60"/>
        <w:gridCol w:w="134"/>
        <w:gridCol w:w="1100"/>
        <w:gridCol w:w="60"/>
        <w:gridCol w:w="60"/>
        <w:gridCol w:w="231"/>
        <w:gridCol w:w="898"/>
        <w:gridCol w:w="60"/>
        <w:gridCol w:w="60"/>
        <w:gridCol w:w="155"/>
        <w:gridCol w:w="735"/>
        <w:gridCol w:w="60"/>
      </w:tblGrid>
      <w:tr>
        <w:trPr/>
        <w:tc>
          <w:tcPr>
            <w:tcW w:w="24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Share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Weighted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Aggregate</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Number of</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Price on Date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Average Fair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Intrinsic</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of Release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Value</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522" w:type="dxa"/>
            <w:gridSpan w:val="14"/>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price data)</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January 1, 2025</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00"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82,243</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0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Released</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1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9,714</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Cancelled/Forfeited</w:t>
            </w:r>
          </w:p>
        </w:tc>
        <w:tc>
          <w:tcPr>
            <w:tcW w:w="60" w:type="dxa"/>
            <w:tcBorders/>
            <w:shd w:fill="FFFFFF" w:val="clear"/>
            <w:vAlign w:val="center"/>
          </w:tcPr>
          <w:p>
            <w:pPr>
              <w:pStyle w:val="TableContents"/>
              <w:bidi w:val="0"/>
              <w:spacing w:before="0" w:after="283"/>
              <w:jc w:val="left"/>
              <w:rPr/>
            </w:pPr>
            <w:r>
              <w:rPr/>
              <w:t> </w:t>
            </w:r>
          </w:p>
        </w:tc>
        <w:tc>
          <w:tcPr>
            <w:tcW w:w="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FFFFFF" w:val="clear"/>
            <w:vAlign w:val="center"/>
          </w:tcPr>
          <w:p>
            <w:pPr>
              <w:pStyle w:val="TableContents"/>
              <w:bidi w:val="0"/>
              <w:spacing w:before="0" w:after="283"/>
              <w:jc w:val="left"/>
              <w:rPr/>
            </w:pPr>
            <w:r>
              <w:rPr/>
              <w:t> </w:t>
            </w:r>
          </w:p>
        </w:tc>
      </w:tr>
      <w:tr>
        <w:trPr/>
        <w:tc>
          <w:tcPr>
            <w:tcW w:w="24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March 31, 2025</w:t>
            </w:r>
          </w:p>
        </w:tc>
        <w:tc>
          <w:tcPr>
            <w:tcW w:w="60" w:type="dxa"/>
            <w:tcBorders/>
            <w:shd w:fill="CCEEFF" w:val="clear"/>
            <w:vAlign w:val="center"/>
          </w:tcPr>
          <w:p>
            <w:pPr>
              <w:pStyle w:val="TableContents"/>
              <w:bidi w:val="0"/>
              <w:spacing w:before="0" w:after="283"/>
              <w:jc w:val="left"/>
              <w:rPr/>
            </w:pPr>
            <w:r>
              <w:rPr/>
              <w:t> </w:t>
            </w:r>
          </w:p>
        </w:tc>
        <w:tc>
          <w:tcPr>
            <w:tcW w:w="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9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29,134</w:t>
            </w:r>
          </w:p>
        </w:tc>
        <w:tc>
          <w:tcPr>
            <w:tcW w:w="60" w:type="dxa"/>
            <w:tcBorders/>
            <w:shd w:fill="CCEEFF" w:val="clear"/>
            <w:vAlign w:val="center"/>
          </w:tcPr>
          <w:p>
            <w:pPr>
              <w:pStyle w:val="TableContents"/>
              <w:bidi w:val="0"/>
              <w:spacing w:before="0" w:after="283"/>
              <w:jc w:val="left"/>
              <w:rPr/>
            </w:pPr>
            <w:r>
              <w:rPr/>
              <w:t> </w:t>
            </w:r>
          </w:p>
        </w:tc>
      </w:tr>
      <w:tr>
        <w:trPr/>
        <w:tc>
          <w:tcPr>
            <w:tcW w:w="24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 and expected to vest</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100"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29,134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 w:hAnsi="Times New Roman"/>
          <w:sz w:val="20"/>
        </w:rPr>
        <w:t xml:space="preserve">As of </w:t>
      </w:r>
      <w:r>
        <w:rPr>
          <w:rStyle w:val="Emphasis"/>
          <w:rFonts w:ascii="Times New Roman" w:hAnsi="Times New Roman"/>
          <w:sz w:val="20"/>
        </w:rPr>
        <w:t>March 31, 2025</w:t>
      </w:r>
      <w:r>
        <w:rPr>
          <w:rFonts w:ascii="Times New Roman" w:hAnsi="Times New Roman"/>
          <w:sz w:val="20"/>
        </w:rPr>
        <w:t>, there was</w:t>
      </w:r>
      <w:r>
        <w:rPr>
          <w:rFonts w:ascii="Times New Roman" w:hAnsi="Times New Roman"/>
          <w:sz w:val="20"/>
          <w:shd w:fill="FFFFFF" w:val="clear"/>
        </w:rPr>
        <w:t xml:space="preserve"> $10.2 million</w:t>
      </w:r>
      <w:r>
        <w:rPr>
          <w:rFonts w:ascii="Times New Roman" w:hAnsi="Times New Roman"/>
          <w:sz w:val="20"/>
        </w:rPr>
        <w:t xml:space="preserve"> of unrecognized compensation expense related to these RSUs. This expense is expected to be recognized over </w:t>
      </w:r>
      <w:r>
        <w:rPr>
          <w:rFonts w:ascii="Times New Roman" w:hAnsi="Times New Roman"/>
          <w:sz w:val="20"/>
          <w:shd w:fill="FFFFFF" w:val="clear"/>
        </w:rPr>
        <w:t>2.3 years</w:t>
      </w:r>
      <w:r>
        <w:rPr>
          <w:rFonts w:ascii="Times New Roman" w:hAnsi="Times New Roman"/>
          <w:sz w:val="20"/>
        </w:rPr>
        <w:t>.</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Share-Based Compensation</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 w:hAnsi="Times New Roman"/>
          <w:sz w:val="20"/>
        </w:rPr>
      </w:pPr>
      <w:r>
        <w:rPr>
          <w:rFonts w:ascii="Times New Roman" w:hAnsi="Times New Roman"/>
          <w:sz w:val="20"/>
        </w:rPr>
        <w:t>Employee share-based compensation expenses recognized for the periods indicated (in thousands):</w:t>
      </w:r>
    </w:p>
    <w:p>
      <w:pPr>
        <w:pStyle w:val="TextBody"/>
        <w:bidi w:val="0"/>
        <w:spacing w:before="0" w:after="0"/>
        <w:ind w:left="0" w:right="0" w:hanging="0"/>
        <w:jc w:val="left"/>
        <w:rPr/>
      </w:pPr>
      <w:r>
        <w:rPr/>
        <w:t>​</w:t>
      </w:r>
    </w:p>
    <w:tbl>
      <w:tblPr>
        <w:tblW w:w="5617" w:type="dxa"/>
        <w:jc w:val="left"/>
        <w:tblInd w:w="0" w:type="dxa"/>
        <w:tblLayout w:type="fixed"/>
        <w:tblCellMar>
          <w:top w:w="0" w:type="dxa"/>
          <w:left w:w="0" w:type="dxa"/>
          <w:bottom w:w="0" w:type="dxa"/>
          <w:right w:w="0" w:type="dxa"/>
        </w:tblCellMar>
      </w:tblPr>
      <w:tblGrid>
        <w:gridCol w:w="3725"/>
        <w:gridCol w:w="60"/>
        <w:gridCol w:w="165"/>
        <w:gridCol w:w="642"/>
        <w:gridCol w:w="79"/>
        <w:gridCol w:w="79"/>
        <w:gridCol w:w="165"/>
        <w:gridCol w:w="642"/>
        <w:gridCol w:w="60"/>
      </w:tblGrid>
      <w:tr>
        <w:trPr/>
        <w:tc>
          <w:tcPr>
            <w:tcW w:w="37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72"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tc>
        <w:tc>
          <w:tcPr>
            <w:tcW w:w="6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177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vAlign w:val="center"/>
          </w:tcPr>
          <w:p>
            <w:pPr>
              <w:pStyle w:val="TableContents"/>
              <w:bidi w:val="0"/>
              <w:spacing w:before="0" w:after="283"/>
              <w:jc w:val="left"/>
              <w:rPr/>
            </w:pPr>
            <w:r>
              <w:rPr/>
              <w:t> </w:t>
            </w:r>
          </w:p>
        </w:tc>
      </w:tr>
      <w:tr>
        <w:trPr/>
        <w:tc>
          <w:tcPr>
            <w:tcW w:w="372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8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9"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ind w:left="0" w:right="0" w:hanging="0"/>
              <w:jc w:val="left"/>
              <w:rPr/>
            </w:pPr>
            <w:r>
              <w:rPr/>
              <w:t> </w:t>
            </w:r>
          </w:p>
        </w:tc>
        <w:tc>
          <w:tcPr>
            <w:tcW w:w="8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 by expense types</w:t>
            </w:r>
          </w:p>
        </w:tc>
        <w:tc>
          <w:tcPr>
            <w:tcW w:w="60" w:type="dxa"/>
            <w:tcBorders/>
            <w:shd w:fill="CCEEFF" w:val="clear"/>
            <w:vAlign w:val="center"/>
          </w:tcPr>
          <w:p>
            <w:pPr>
              <w:pStyle w:val="TableContents"/>
              <w:bidi w:val="0"/>
              <w:spacing w:before="0" w:after="283"/>
              <w:ind w:left="0" w:right="0" w:hanging="0"/>
              <w:jc w:val="left"/>
              <w:rPr/>
            </w:pPr>
            <w:r>
              <w:rPr/>
              <w:t> </w:t>
            </w:r>
          </w:p>
        </w:tc>
        <w:tc>
          <w:tcPr>
            <w:tcW w:w="80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807"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6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6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6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w:t>
            </w:r>
          </w:p>
        </w:tc>
        <w:tc>
          <w:tcPr>
            <w:tcW w:w="6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6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6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p>
        </w:tc>
        <w:tc>
          <w:tcPr>
            <w:tcW w:w="60" w:type="dxa"/>
            <w:tcBorders/>
            <w:shd w:fill="FFFFFF" w:val="clear"/>
            <w:vAlign w:val="center"/>
          </w:tcPr>
          <w:p>
            <w:pPr>
              <w:pStyle w:val="TableContents"/>
              <w:bidi w:val="0"/>
              <w:spacing w:before="0" w:after="283"/>
              <w:jc w:val="left"/>
              <w:rPr/>
            </w:pPr>
            <w:r>
              <w:rPr/>
              <w:t> </w:t>
            </w:r>
          </w:p>
        </w:tc>
      </w:tr>
      <w:tr>
        <w:trPr/>
        <w:tc>
          <w:tcPr>
            <w:tcW w:w="37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1,880</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2,172</w:t>
            </w:r>
          </w:p>
        </w:tc>
        <w:tc>
          <w:tcPr>
            <w:tcW w:w="60" w:type="dxa"/>
            <w:tcBorders/>
            <w:shd w:fill="CCEEFF" w:val="clear"/>
            <w:vAlign w:val="center"/>
          </w:tcPr>
          <w:p>
            <w:pPr>
              <w:pStyle w:val="TableContents"/>
              <w:bidi w:val="0"/>
              <w:spacing w:before="0" w:after="283"/>
              <w:jc w:val="left"/>
              <w:rPr/>
            </w:pPr>
            <w:r>
              <w:rPr/>
              <w:t> </w:t>
            </w:r>
          </w:p>
        </w:tc>
      </w:tr>
      <w:tr>
        <w:trPr/>
        <w:tc>
          <w:tcPr>
            <w:tcW w:w="37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2,562</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6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shd w:fill="FFFFFF" w:val="clear"/>
        </w:rPr>
        <w:t xml:space="preserve">Note </w:t>
      </w:r>
      <w:r>
        <w:rPr>
          <w:rStyle w:val="Emphasis"/>
          <w:rFonts w:ascii="Times New Roman;Times;serif" w:hAnsi="Times New Roman;Times;serif"/>
          <w:b/>
          <w:sz w:val="20"/>
          <w:shd w:fill="FFFFFF" w:val="clear"/>
        </w:rPr>
        <w:t>16.</w:t>
      </w:r>
      <w:r>
        <w:rPr>
          <w:rFonts w:ascii="Times New Roman;Times;serif" w:hAnsi="Times New Roman;Times;serif"/>
          <w:b/>
          <w:sz w:val="20"/>
          <w:shd w:fill="FFFFFF" w:val="clear"/>
        </w:rPr>
        <w:t xml:space="preserve">  Income Taxes </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firstLine="900"/>
        <w:jc w:val="left"/>
        <w:rPr/>
      </w:pPr>
      <w:r>
        <w:rPr>
          <w:rFonts w:ascii="Times New Roman" w:hAnsi="Times New Roman"/>
          <w:caps w:val="false"/>
          <w:smallCaps w:val="false"/>
          <w:sz w:val="20"/>
        </w:rPr>
        <w:t xml:space="preserve">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March 31, 2025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2024</w:t>
      </w:r>
      <w:r>
        <w:rPr>
          <w:rFonts w:ascii="Times New Roman" w:hAnsi="Times New Roman"/>
          <w:caps w:val="false"/>
          <w:smallCaps w:val="false"/>
          <w:sz w:val="20"/>
        </w:rPr>
        <w:t>, the effective tax rate varied from the federal statutory rate of 21% primarily due to the change of the valuation allowance on federal, state, Taiwan, and China deferred tax assets ("DTA").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pPr>
      <w:r>
        <w:rPr>
          <w:rFonts w:ascii="Times New Roman" w:hAnsi="Times New Roman"/>
          <w:caps w:val="false"/>
          <w:smallCaps w:val="false"/>
          <w:sz w:val="20"/>
        </w:rPr>
        <w:t xml:space="preserve">The Company continually monitors and performs an assessment of the realizability of its DTAs, including an analysis of factors such as future taxable income, reversal of existing taxable temporary differences, and tax planning strategies. In assessing the need for a valuation allowance, the Company considered both positive and negative evidence related to the likelihood of realization of deferred tax assets using a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standard. In making such assessment, more weight was given to evidence that could be objectively verified, including recent cumulative losses. Based on the Company’s review of this evidence, management determined that a full valuation allowance against all of the Company’s net deferred tax assets at </w:t>
      </w:r>
      <w:r>
        <w:rPr>
          <w:rStyle w:val="Emphasis"/>
          <w:rFonts w:ascii="Times New Roman" w:hAnsi="Times New Roman"/>
          <w:caps w:val="false"/>
          <w:smallCaps w:val="false"/>
          <w:sz w:val="20"/>
        </w:rPr>
        <w:t xml:space="preserve"> March 31, 2025</w:t>
      </w:r>
      <w:r>
        <w:rPr>
          <w:rFonts w:ascii="Times New Roman" w:hAnsi="Times New Roman"/>
          <w:caps w:val="false"/>
          <w:smallCaps w:val="false"/>
          <w:sz w:val="20"/>
        </w:rPr>
        <w:t xml:space="preserve"> was appropriate. </w:t>
      </w:r>
    </w:p>
    <w:p>
      <w:pPr>
        <w:pStyle w:val="TextBody"/>
        <w:bidi w:val="0"/>
        <w:spacing w:before="0" w:after="0"/>
        <w:ind w:left="0" w:right="0" w:firstLine="900"/>
        <w:jc w:val="left"/>
        <w:rPr>
          <w:caps w:val="false"/>
          <w:smallCaps w:val="false"/>
        </w:rPr>
      </w:pPr>
      <w:r>
        <w:rPr>
          <w:caps w:val="false"/>
          <w:smallCaps w:val="false"/>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sz w:val="20"/>
        </w:rPr>
        <w:t xml:space="preserve">Note </w:t>
      </w:r>
      <w:r>
        <w:rPr>
          <w:rStyle w:val="Emphasis"/>
          <w:rFonts w:ascii="Times New Roman" w:hAnsi="Times New Roman"/>
          <w:b/>
          <w:sz w:val="20"/>
        </w:rPr>
        <w:t>17.</w:t>
      </w:r>
      <w:r>
        <w:rPr>
          <w:rFonts w:ascii="Times New Roman" w:hAnsi="Times New Roman"/>
          <w:b/>
          <w:sz w:val="20"/>
        </w:rPr>
        <w:t xml:space="preserve"> Segment and Geographic Information</w:t>
      </w:r>
    </w:p>
    <w:p>
      <w:pPr>
        <w:pStyle w:val="TextBody"/>
        <w:bidi w:val="0"/>
        <w:spacing w:before="0" w:after="0"/>
        <w:ind w:left="0" w:right="0" w:hanging="0"/>
        <w:jc w:val="left"/>
        <w:rPr/>
      </w:pPr>
      <w:r>
        <w:rPr/>
        <w:t>​</w:t>
      </w:r>
    </w:p>
    <w:p>
      <w:pPr>
        <w:pStyle w:val="TextBody"/>
        <w:bidi w:val="0"/>
        <w:spacing w:before="0" w:after="0"/>
        <w:ind w:left="0" w:right="0" w:firstLine="900"/>
        <w:jc w:val="left"/>
        <w:rPr/>
      </w:pPr>
      <w:r>
        <w:rPr>
          <w:rFonts w:ascii="Times New Roman" w:hAnsi="Times New Roman"/>
          <w:caps w:val="false"/>
          <w:smallCaps w:val="false"/>
          <w:sz w:val="20"/>
        </w:rPr>
        <w:t>The Company operates in one reportable segment. The Company’s Chief Executive Officer, who is considered to be the chief operating decision maker ("CODM"), manages the Company’s operations as a whole and reviews financial information presented on a consolidated basis, accompanied by information about product revenue, for purposes of evaluating financial performance and allocating resources. Our CEO is the functional head of all operations and manufacturing. Our Board, in conjunction with our CODM, considers our consolidated performance and does </w:t>
      </w:r>
      <w:r>
        <w:rPr>
          <w:rStyle w:val="Emphasis"/>
          <w:rFonts w:ascii="Times New Roman" w:hAnsi="Times New Roman"/>
          <w:caps w:val="false"/>
          <w:smallCaps w:val="false"/>
          <w:sz w:val="20"/>
        </w:rPr>
        <w:t>not</w:t>
      </w:r>
      <w:r>
        <w:rPr>
          <w:rFonts w:ascii="Times New Roman" w:hAnsi="Times New Roman"/>
          <w:caps w:val="false"/>
          <w:smallCaps w:val="false"/>
          <w:sz w:val="20"/>
        </w:rPr>
        <w:t> have individual financial or operating goals for each location, nor for any other subset of the Company's operations. As such, the Company has determined it operates as </w:t>
      </w:r>
      <w:r>
        <w:rPr>
          <w:rStyle w:val="Emphasis"/>
          <w:rFonts w:ascii="Times New Roman" w:hAnsi="Times New Roman"/>
          <w:caps w:val="false"/>
          <w:smallCaps w:val="false"/>
          <w:sz w:val="20"/>
        </w:rPr>
        <w:t>one</w:t>
      </w:r>
      <w:r>
        <w:rPr>
          <w:rFonts w:ascii="Times New Roman" w:hAnsi="Times New Roman"/>
          <w:caps w:val="false"/>
          <w:smallCaps w:val="false"/>
          <w:sz w:val="20"/>
        </w:rPr>
        <w:t> reportable segment.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900"/>
        <w:jc w:val="left"/>
        <w:rPr>
          <w:rFonts w:ascii="Times New Roman" w:hAnsi="Times New Roman"/>
          <w:caps w:val="false"/>
          <w:smallCaps w:val="false"/>
          <w:sz w:val="20"/>
        </w:rPr>
      </w:pPr>
      <w:r>
        <w:rPr>
          <w:rFonts w:ascii="Times New Roman" w:hAnsi="Times New Roman"/>
          <w:caps w:val="false"/>
          <w:smallCaps w:val="false"/>
          <w:sz w:val="20"/>
        </w:rPr>
        <w:t>Our CODM uses net income or loss to allocate resources and assess performance. The CODM regularly reviews the consolidated net income or loss to make strategic decisions, such as capital expenditure plan, production plan and manpower allocation. </w:t>
      </w:r>
    </w:p>
    <w:p>
      <w:pPr>
        <w:pStyle w:val="TextBody"/>
        <w:bidi w:val="0"/>
        <w:spacing w:before="0" w:after="0"/>
        <w:ind w:left="0" w:right="0" w:firstLine="900"/>
        <w:jc w:val="left"/>
        <w:rPr>
          <w:caps w:val="false"/>
          <w:smallCaps w:val="false"/>
        </w:rPr>
      </w:pPr>
      <w:r>
        <w:rPr>
          <w:caps w:val="false"/>
          <w:smallCaps w:val="false"/>
        </w:rPr>
        <w:t> </w:t>
      </w:r>
    </w:p>
    <w:tbl>
      <w:tblPr>
        <w:tblW w:w="5682" w:type="dxa"/>
        <w:jc w:val="left"/>
        <w:tblInd w:w="0" w:type="dxa"/>
        <w:tblLayout w:type="fixed"/>
        <w:tblCellMar>
          <w:top w:w="0" w:type="dxa"/>
          <w:left w:w="0" w:type="dxa"/>
          <w:bottom w:w="0" w:type="dxa"/>
          <w:right w:w="0" w:type="dxa"/>
        </w:tblCellMar>
      </w:tblPr>
      <w:tblGrid>
        <w:gridCol w:w="2960"/>
        <w:gridCol w:w="60"/>
        <w:gridCol w:w="198"/>
        <w:gridCol w:w="935"/>
        <w:gridCol w:w="126"/>
        <w:gridCol w:w="95"/>
        <w:gridCol w:w="198"/>
        <w:gridCol w:w="1030"/>
        <w:gridCol w:w="80"/>
      </w:tblGrid>
      <w:tr>
        <w:trPr/>
        <w:tc>
          <w:tcPr>
            <w:tcW w:w="29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22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99,859</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40,673</w:t>
            </w:r>
          </w:p>
        </w:tc>
        <w:tc>
          <w:tcPr>
            <w:tcW w:w="8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69,232</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33,082</w:t>
            </w:r>
          </w:p>
        </w:tc>
        <w:tc>
          <w:tcPr>
            <w:tcW w:w="8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research and development</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17,535</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11,429</w:t>
            </w:r>
          </w:p>
        </w:tc>
        <w:tc>
          <w:tcPr>
            <w:tcW w:w="8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sales and marketing</w:t>
            </w:r>
          </w:p>
        </w:tc>
        <w:tc>
          <w:tcPr>
            <w:tcW w:w="60"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9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5,034</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shd w:fill="FFFFFF" w:val="clear"/>
            <w:vAlign w:val="center"/>
          </w:tcPr>
          <w:p>
            <w:pPr>
              <w:pStyle w:val="TableContents"/>
              <w:bidi w:val="0"/>
              <w:spacing w:before="0" w:after="283"/>
              <w:jc w:val="left"/>
              <w:rPr/>
            </w:pPr>
            <w:r>
              <w:rPr/>
              <w:t> </w:t>
            </w:r>
          </w:p>
        </w:tc>
        <w:tc>
          <w:tcPr>
            <w:tcW w:w="103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3,512</w:t>
            </w:r>
          </w:p>
        </w:tc>
        <w:tc>
          <w:tcPr>
            <w:tcW w:w="8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general and administrative</w:t>
            </w:r>
          </w:p>
        </w:tc>
        <w:tc>
          <w:tcPr>
            <w:tcW w:w="60"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9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12,888</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98" w:type="dxa"/>
            <w:tcBorders/>
            <w:shd w:fill="CCEEFF" w:val="clear"/>
            <w:vAlign w:val="center"/>
          </w:tcPr>
          <w:p>
            <w:pPr>
              <w:pStyle w:val="TableContents"/>
              <w:bidi w:val="0"/>
              <w:spacing w:before="0" w:after="283"/>
              <w:jc w:val="left"/>
              <w:rPr/>
            </w:pPr>
            <w:r>
              <w:rPr/>
              <w:t> </w:t>
            </w:r>
          </w:p>
        </w:tc>
        <w:tc>
          <w:tcPr>
            <w:tcW w:w="103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9,884</w:t>
            </w:r>
          </w:p>
        </w:tc>
        <w:tc>
          <w:tcPr>
            <w:tcW w:w="80" w:type="dxa"/>
            <w:tcBorders/>
            <w:shd w:fill="CCEEFF" w:val="clear"/>
            <w:vAlign w:val="center"/>
          </w:tcPr>
          <w:p>
            <w:pPr>
              <w:pStyle w:val="TableContents"/>
              <w:bidi w:val="0"/>
              <w:spacing w:before="0" w:after="283"/>
              <w:jc w:val="left"/>
              <w:rPr/>
            </w:pPr>
            <w:r>
              <w:rPr/>
              <w:t> </w:t>
            </w:r>
          </w:p>
        </w:tc>
      </w:tr>
      <w:tr>
        <w:trPr/>
        <w:tc>
          <w:tcPr>
            <w:tcW w:w="29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w:t>
            </w:r>
          </w:p>
        </w:tc>
        <w:tc>
          <w:tcPr>
            <w:tcW w:w="60"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4,342</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5,936</w:t>
            </w:r>
          </w:p>
        </w:tc>
        <w:tc>
          <w:tcPr>
            <w:tcW w:w="80" w:type="dxa"/>
            <w:tcBorders/>
            <w:shd w:fill="FFFFFF" w:val="clear"/>
            <w:vAlign w:val="center"/>
          </w:tcPr>
          <w:p>
            <w:pPr>
              <w:pStyle w:val="TableContents"/>
              <w:bidi w:val="0"/>
              <w:spacing w:before="0" w:after="283"/>
              <w:jc w:val="left"/>
              <w:rPr/>
            </w:pPr>
            <w:r>
              <w:rPr/>
              <w:t> </w:t>
            </w:r>
          </w:p>
        </w:tc>
      </w:tr>
      <w:tr>
        <w:trPr/>
        <w:tc>
          <w:tcPr>
            <w:tcW w:w="29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19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pPr>
      <w:r>
        <w:rPr>
          <w:rFonts w:ascii="Times New Roman" w:hAnsi="Times New Roman"/>
          <w:sz w:val="20"/>
        </w:rPr>
        <w:t xml:space="preserve">We exclude share-based compensation and related expense, certain legal expenses associated with litigation and other </w:t>
      </w:r>
      <w:r>
        <w:rPr>
          <w:rStyle w:val="Emphasis"/>
          <w:rFonts w:ascii="Times New Roman" w:hAnsi="Times New Roman"/>
          <w:sz w:val="20"/>
        </w:rPr>
        <w:t>one</w:t>
      </w:r>
      <w:r>
        <w:rPr>
          <w:rFonts w:ascii="Times New Roman" w:hAnsi="Times New Roman"/>
          <w:sz w:val="20"/>
        </w:rPr>
        <w:t>-time expenses from adjusted research and development, adjusted sales and marketing and adjusted general and administrative expenses.</w:t>
      </w:r>
    </w:p>
    <w:p>
      <w:pPr>
        <w:pStyle w:val="TextBody"/>
        <w:bidi w:val="0"/>
        <w:spacing w:before="0" w:after="0"/>
        <w:ind w:left="0" w:right="0" w:firstLine="720"/>
        <w:jc w:val="left"/>
        <w:rPr/>
      </w:pPr>
      <w:r>
        <w:rPr/>
        <w:t> </w:t>
      </w:r>
    </w:p>
    <w:p>
      <w:pPr>
        <w:pStyle w:val="TextBody"/>
        <w:bidi w:val="0"/>
        <w:spacing w:before="0" w:after="0"/>
        <w:ind w:left="0" w:right="0" w:firstLine="720"/>
        <w:jc w:val="left"/>
        <w:rPr/>
      </w:pPr>
      <w:r>
        <w:rPr>
          <w:rFonts w:ascii="Times New Roman" w:hAnsi="Times New Roman"/>
          <w:sz w:val="20"/>
        </w:rPr>
        <w:t xml:space="preserve">Other segment items include share-based compensation expense, interest expense, interest income, certain legal expenses associated with litigation and other </w:t>
      </w:r>
      <w:r>
        <w:rPr>
          <w:rStyle w:val="Emphasis"/>
          <w:rFonts w:ascii="Times New Roman" w:hAnsi="Times New Roman"/>
          <w:sz w:val="20"/>
        </w:rPr>
        <w:t>one</w:t>
      </w:r>
      <w:r>
        <w:rPr>
          <w:rFonts w:ascii="Times New Roman" w:hAnsi="Times New Roman"/>
          <w:sz w:val="20"/>
        </w:rPr>
        <w:t>-time items.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sz w:val="20"/>
        </w:rPr>
      </w:pPr>
      <w:r>
        <w:rPr>
          <w:rFonts w:ascii="Times New Roman" w:hAnsi="Times New Roman"/>
          <w:sz w:val="20"/>
        </w:rPr>
        <w:t>The following tables set forth the Company’s revenue and asset information by geographic region. Revenue is classified based on the location of where the product is manufactured. Long-lived assets in the tables below comprise property, plant, equipment, land use rights, right of use assets and intangible assets (in thousands):</w:t>
      </w:r>
    </w:p>
    <w:p>
      <w:pPr>
        <w:pStyle w:val="TextBody"/>
        <w:bidi w:val="0"/>
        <w:spacing w:before="0" w:after="0"/>
        <w:ind w:left="0" w:right="0" w:hanging="0"/>
        <w:jc w:val="left"/>
        <w:rPr/>
      </w:pPr>
      <w:r>
        <w:rPr/>
        <w:t>​</w:t>
      </w:r>
    </w:p>
    <w:tbl>
      <w:tblPr>
        <w:tblW w:w="3802" w:type="dxa"/>
        <w:jc w:val="left"/>
        <w:tblInd w:w="0" w:type="dxa"/>
        <w:tblLayout w:type="fixed"/>
        <w:tblCellMar>
          <w:top w:w="0" w:type="dxa"/>
          <w:left w:w="0" w:type="dxa"/>
          <w:bottom w:w="0" w:type="dxa"/>
          <w:right w:w="0" w:type="dxa"/>
        </w:tblCellMar>
      </w:tblPr>
      <w:tblGrid>
        <w:gridCol w:w="1100"/>
        <w:gridCol w:w="60"/>
        <w:gridCol w:w="208"/>
        <w:gridCol w:w="983"/>
        <w:gridCol w:w="100"/>
        <w:gridCol w:w="100"/>
        <w:gridCol w:w="208"/>
        <w:gridCol w:w="983"/>
        <w:gridCol w:w="60"/>
      </w:tblGrid>
      <w:tr>
        <w:trPr/>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8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Three months ended March 31,</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2025</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119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191"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1191"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20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2,710</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Taiwan</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70,881</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24,703</w:t>
            </w:r>
          </w:p>
        </w:tc>
        <w:tc>
          <w:tcPr>
            <w:tcW w:w="60" w:type="dxa"/>
            <w:tcBorders/>
            <w:shd w:fill="CCEE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27,828</w:t>
            </w:r>
          </w:p>
        </w:tc>
        <w:tc>
          <w:tcPr>
            <w:tcW w:w="10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13,260</w:t>
            </w:r>
          </w:p>
        </w:tc>
        <w:tc>
          <w:tcPr>
            <w:tcW w:w="60" w:type="dxa"/>
            <w:tcBorders/>
            <w:shd w:fill="FFFFFF" w:val="cle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99,859</w:t>
            </w:r>
          </w:p>
        </w:tc>
        <w:tc>
          <w:tcPr>
            <w:tcW w:w="10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40,673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3853" w:type="dxa"/>
        <w:jc w:val="left"/>
        <w:tblInd w:w="0" w:type="dxa"/>
        <w:tblLayout w:type="fixed"/>
        <w:tblCellMar>
          <w:top w:w="0" w:type="dxa"/>
          <w:left w:w="0" w:type="dxa"/>
          <w:bottom w:w="0" w:type="dxa"/>
          <w:right w:w="0" w:type="dxa"/>
        </w:tblCellMar>
      </w:tblPr>
      <w:tblGrid>
        <w:gridCol w:w="1505"/>
        <w:gridCol w:w="60"/>
        <w:gridCol w:w="135"/>
        <w:gridCol w:w="754"/>
        <w:gridCol w:w="60"/>
        <w:gridCol w:w="60"/>
        <w:gridCol w:w="185"/>
        <w:gridCol w:w="1034"/>
        <w:gridCol w:w="60"/>
      </w:tblGrid>
      <w:tr>
        <w:trPr/>
        <w:tc>
          <w:tcPr>
            <w:tcW w:w="150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60" w:type="dxa"/>
            <w:tcBorders/>
            <w:vAlign w:val="center"/>
          </w:tcPr>
          <w:p>
            <w:pPr>
              <w:pStyle w:val="TableContents"/>
              <w:bidi w:val="0"/>
              <w:spacing w:before="0" w:after="283"/>
              <w:jc w:val="left"/>
              <w:rPr/>
            </w:pPr>
            <w:r>
              <w:rPr/>
              <w:t> </w:t>
            </w:r>
          </w:p>
        </w:tc>
      </w:tr>
      <w:tr>
        <w:trPr/>
        <w:tc>
          <w:tcPr>
            <w:tcW w:w="150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60" w:type="dxa"/>
            <w:tcBorders/>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Long-lived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88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19" w:type="dxa"/>
            <w:gridSpan w:val="2"/>
            <w:tcBorders/>
            <w:shd w:fill="CCEE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71,217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71,867</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Taiwan</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57,907</w:t>
            </w:r>
          </w:p>
        </w:tc>
        <w:tc>
          <w:tcPr>
            <w:tcW w:w="60" w:type="dxa"/>
            <w:tcBorders/>
            <w:shd w:fill="CCEEFF" w:val="clear"/>
            <w:vAlign w:val="center"/>
          </w:tcPr>
          <w:p>
            <w:pPr>
              <w:pStyle w:val="TableContents"/>
              <w:bidi w:val="0"/>
              <w:spacing w:before="0" w:after="283"/>
              <w:jc w:val="left"/>
              <w:rPr/>
            </w:pPr>
            <w:r>
              <w:rPr/>
              <w:t> </w:t>
            </w:r>
          </w:p>
        </w:tc>
      </w:tr>
      <w:tr>
        <w:trPr/>
        <w:tc>
          <w:tcPr>
            <w:tcW w:w="15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121,016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107,624</w:t>
            </w:r>
          </w:p>
        </w:tc>
        <w:tc>
          <w:tcPr>
            <w:tcW w:w="60" w:type="dxa"/>
            <w:tcBorders/>
            <w:shd w:fill="FFFFFF" w:val="clear"/>
            <w:vAlign w:val="center"/>
          </w:tcPr>
          <w:p>
            <w:pPr>
              <w:pStyle w:val="TableContents"/>
              <w:bidi w:val="0"/>
              <w:spacing w:before="0" w:after="283"/>
              <w:jc w:val="left"/>
              <w:rPr/>
            </w:pPr>
            <w:r>
              <w:rPr/>
              <w:t> </w:t>
            </w:r>
          </w:p>
        </w:tc>
      </w:tr>
      <w:tr>
        <w:trPr/>
        <w:tc>
          <w:tcPr>
            <w:tcW w:w="15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237,398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18.</w:t>
      </w:r>
      <w:r>
        <w:rPr>
          <w:rFonts w:ascii="Times New Roman;Times;serif" w:hAnsi="Times New Roman;Times;serif"/>
          <w:b/>
          <w:sz w:val="20"/>
        </w:rPr>
        <w:t>  Contingencies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Litigation</w:t>
      </w:r>
    </w:p>
    <w:p>
      <w:pPr>
        <w:pStyle w:val="TextBody"/>
        <w:bidi w:val="0"/>
        <w:spacing w:before="0" w:after="0"/>
        <w:ind w:left="0" w:right="0" w:hanging="0"/>
        <w:jc w:val="left"/>
        <w:rPr/>
      </w:pPr>
      <w:r>
        <w:rPr/>
        <w:t>​</w:t>
      </w:r>
    </w:p>
    <w:p>
      <w:pPr>
        <w:pStyle w:val="TextBody"/>
        <w:bidi w:val="0"/>
        <w:spacing w:before="0" w:after="0"/>
        <w:ind w:left="0" w:right="0" w:firstLine="720"/>
        <w:jc w:val="left"/>
        <w:rPr/>
      </w:pPr>
      <w:r>
        <w:rPr>
          <w:rFonts w:ascii="Times New Roman;Times;serif" w:hAnsi="Times New Roman;Times;serif"/>
          <w:sz w:val="20"/>
        </w:rPr>
        <w:t xml:space="preserve">From time to time,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be subject to legal proceedings and litigation arising in the ordinary course of business, including, but </w:t>
      </w:r>
      <w:r>
        <w:rPr>
          <w:rStyle w:val="Emphasis"/>
          <w:rFonts w:ascii="Times New Roman;Times;serif" w:hAnsi="Times New Roman;Times;serif"/>
          <w:sz w:val="20"/>
        </w:rPr>
        <w:t>not</w:t>
      </w:r>
      <w:r>
        <w:rPr>
          <w:rFonts w:ascii="Times New Roman;Times;serif" w:hAnsi="Times New Roman;Times;serif"/>
          <w:sz w:val="20"/>
        </w:rPr>
        <w:t xml:space="preserve"> limited to, inquiries, investigations, audits and other regulatory proceedings, such as described below. The Company records a loss provision when it believes it is both probable that a liability has been incurred and the amount can be reasonably estimated.</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left"/>
        <w:rPr>
          <w:caps w:val="false"/>
          <w:smallCaps w:val="false"/>
        </w:rPr>
      </w:pPr>
      <w:r>
        <w:rPr>
          <w:caps w:val="false"/>
          <w:smallCaps w:val="false"/>
        </w:rPr>
        <w:t>           </w:t>
      </w:r>
      <w:r>
        <w:rPr>
          <w:rFonts w:ascii="Times New Roman" w:hAnsi="Times New Roman"/>
          <w:caps w:val="false"/>
          <w:smallCaps w:val="false"/>
          <w:sz w:val="20"/>
        </w:rPr>
        <w:t>Unless otherwise disclosed, the Company is unable to estimate the possible loss or range of loss for the legal proceeding described below.</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Arbitration filed by Yuhan Optoelectronic Technology (Shanghai) Co., Ltd.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September 12, 2023, </w:t>
      </w:r>
      <w:r>
        <w:rPr>
          <w:rFonts w:ascii="Times New Roman" w:hAnsi="Times New Roman"/>
          <w:caps w:val="false"/>
          <w:smallCaps w:val="false"/>
          <w:sz w:val="20"/>
        </w:rPr>
        <w:t xml:space="preserve">the Company delivered notice of termination with respect to that certain Agreement for the Sale and Purchase of a New Company to be Established in Hong Kong Special Administrative Region of the People’s Republic of China (the “Purchase Agreement”), dated </w:t>
      </w:r>
      <w:r>
        <w:rPr>
          <w:rStyle w:val="Emphasis"/>
          <w:rFonts w:ascii="Times New Roman" w:hAnsi="Times New Roman"/>
          <w:caps w:val="false"/>
          <w:smallCaps w:val="false"/>
          <w:sz w:val="20"/>
        </w:rPr>
        <w:t xml:space="preserve">September 15, 2022, </w:t>
      </w:r>
      <w:r>
        <w:rPr>
          <w:rFonts w:ascii="Times New Roman" w:hAnsi="Times New Roman"/>
          <w:caps w:val="false"/>
          <w:smallCaps w:val="false"/>
          <w:sz w:val="20"/>
        </w:rPr>
        <w:t xml:space="preserve">with Prime World International Holdings Ltd. (the “Seller”) and Yuhan Optoelectronic Technology (Shanghai) Co., Ltd. (the “Purchaser”), pursuant to which the Seller would divest its manufacturing facilities located in the People's Republic of China and certain assets related to its transceiver business and multichannel optical sub-assembly products for the internet data center, FTTH and telecom markets. The termination, in accordance with the terms of the Purchase Agreement, was a result of the Purchaser's failure to satisfy certain of its material obligations under the Purchase Agreement. In terminating the Purchase Agreement, we also asserted the right to recover a break-up fee from the Purchaser. On </w:t>
      </w:r>
      <w:r>
        <w:rPr>
          <w:rStyle w:val="Emphasis"/>
          <w:rFonts w:ascii="Times New Roman" w:hAnsi="Times New Roman"/>
          <w:caps w:val="false"/>
          <w:smallCaps w:val="false"/>
          <w:sz w:val="20"/>
        </w:rPr>
        <w:t xml:space="preserve">December 22, 2023, </w:t>
      </w:r>
      <w:r>
        <w:rPr>
          <w:rFonts w:ascii="Times New Roman" w:hAnsi="Times New Roman"/>
          <w:caps w:val="false"/>
          <w:smallCaps w:val="false"/>
          <w:sz w:val="20"/>
        </w:rPr>
        <w:t xml:space="preserve">the Purchaser filed for arbitration in Hong Kong with the Hong Kong International Arbitration Centre (“HKIAC”) challenging the validity of our termination notice and seeking specific performance with respect to the transactions contemplated in the Purchase Agreement, which in any case if specific performance is granted by HKIAC, the transaction contemplated by the Purchase Agreement would still have to be approved by the Committee on Foreign Investment in the United States prior to its consummation. On </w:t>
      </w:r>
      <w:r>
        <w:rPr>
          <w:rStyle w:val="Emphasis"/>
          <w:rFonts w:ascii="Times New Roman" w:hAnsi="Times New Roman"/>
          <w:caps w:val="false"/>
          <w:smallCaps w:val="false"/>
          <w:sz w:val="20"/>
        </w:rPr>
        <w:t xml:space="preserve">January 22, 2024, </w:t>
      </w:r>
      <w:r>
        <w:rPr>
          <w:rFonts w:ascii="Times New Roman" w:hAnsi="Times New Roman"/>
          <w:caps w:val="false"/>
          <w:smallCaps w:val="false"/>
          <w:sz w:val="20"/>
        </w:rPr>
        <w:t xml:space="preserve">the Company filed its response, generally denying the Purchaser’s allegations and asserting counterclaims for recovery of a break-up fee. This matter was settled on </w:t>
      </w:r>
      <w:r>
        <w:rPr>
          <w:rStyle w:val="Emphasis"/>
          <w:rFonts w:ascii="Times New Roman" w:hAnsi="Times New Roman"/>
          <w:caps w:val="false"/>
          <w:smallCaps w:val="false"/>
          <w:sz w:val="20"/>
        </w:rPr>
        <w:t xml:space="preserve">January 27, 2025, </w:t>
      </w:r>
      <w:r>
        <w:rPr>
          <w:rFonts w:ascii="Times New Roman" w:hAnsi="Times New Roman"/>
          <w:caps w:val="false"/>
          <w:smallCaps w:val="false"/>
          <w:sz w:val="20"/>
        </w:rPr>
        <w:t>with the Company paying only its own legal fees and expenses.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Other Contingencies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August 9, 2021, </w:t>
      </w:r>
      <w:r>
        <w:rPr>
          <w:rFonts w:ascii="Times New Roman" w:hAnsi="Times New Roman"/>
          <w:caps w:val="false"/>
          <w:smallCaps w:val="false"/>
          <w:sz w:val="20"/>
        </w:rPr>
        <w:t>the Company received a Taxes Notification of Audit Result ("Notice") from the Texas Comptroller’s Office (the "Comptroller"), for fiscal years between </w:t>
      </w:r>
      <w:r>
        <w:rPr>
          <w:rStyle w:val="Emphasis"/>
          <w:rFonts w:ascii="Times New Roman" w:hAnsi="Times New Roman"/>
          <w:caps w:val="false"/>
          <w:smallCaps w:val="false"/>
          <w:sz w:val="20"/>
        </w:rPr>
        <w:t>2016</w:t>
      </w:r>
      <w:r>
        <w:rPr>
          <w:rFonts w:ascii="Times New Roman" w:hAnsi="Times New Roman"/>
          <w:caps w:val="false"/>
          <w:smallCaps w:val="false"/>
          <w:sz w:val="20"/>
        </w:rPr>
        <w:t> and </w:t>
      </w:r>
      <w:r>
        <w:rPr>
          <w:rStyle w:val="Emphasis"/>
          <w:rFonts w:ascii="Times New Roman" w:hAnsi="Times New Roman"/>
          <w:caps w:val="false"/>
          <w:smallCaps w:val="false"/>
          <w:sz w:val="20"/>
        </w:rPr>
        <w:t>2019,</w:t>
      </w:r>
      <w:r>
        <w:rPr>
          <w:rFonts w:ascii="Times New Roman" w:hAnsi="Times New Roman"/>
          <w:caps w:val="false"/>
          <w:smallCaps w:val="false"/>
          <w:sz w:val="20"/>
        </w:rPr>
        <w:t> informing the Company that the Comptroller believes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qualify for certain sales and use tax exemptions on various Research and Development purchases and accordingly the Company is liable for Sale and Use Tax in the amount of approximately $1.0 million including interest charges. The Company paid $0.4 million for the tax notice in </w:t>
      </w:r>
      <w:r>
        <w:rPr>
          <w:rStyle w:val="Emphasis"/>
          <w:rFonts w:ascii="Times New Roman" w:hAnsi="Times New Roman"/>
          <w:caps w:val="false"/>
          <w:smallCaps w:val="false"/>
          <w:sz w:val="20"/>
        </w:rPr>
        <w:t xml:space="preserve">May 2021, </w:t>
      </w:r>
      <w:r>
        <w:rPr>
          <w:rFonts w:ascii="Times New Roman" w:hAnsi="Times New Roman"/>
          <w:caps w:val="false"/>
          <w:smallCaps w:val="false"/>
          <w:sz w:val="20"/>
        </w:rPr>
        <w:t xml:space="preserve">but challenged the remaining tax assessments and vigorously defended its position. The Comptroller’s office exhausted its redetermination period and therefore moved the Company’s case to the hearing process.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hearing date has yet been scheduled, and as a result 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able to determine the outcome of this sales tax dispute or the likelihood or amount of the Company’s loss, if any, arising from this matter.</w:t>
      </w:r>
    </w:p>
    <w:p>
      <w:pPr>
        <w:pStyle w:val="TextBody"/>
        <w:bidi w:val="0"/>
        <w:spacing w:before="0" w:after="0"/>
        <w:ind w:left="0" w:right="0" w:firstLine="72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Times;serif" w:hAnsi="Times New Roman;Times;serif"/>
          <w:b/>
          <w:sz w:val="20"/>
        </w:rPr>
        <w:t xml:space="preserve">Note </w:t>
      </w:r>
      <w:r>
        <w:rPr>
          <w:rStyle w:val="Emphasis"/>
          <w:rFonts w:ascii="Times New Roman;Times;serif" w:hAnsi="Times New Roman;Times;serif"/>
          <w:b/>
          <w:sz w:val="20"/>
        </w:rPr>
        <w:t>19.</w:t>
      </w:r>
      <w:r>
        <w:rPr>
          <w:rFonts w:ascii="Times New Roman;Times;serif" w:hAnsi="Times New Roman;Times;serif"/>
          <w:b/>
          <w:sz w:val="20"/>
        </w:rPr>
        <w:t>  Subsequent Events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pPr>
      <w:r>
        <w:rPr>
          <w:rStyle w:val="Emphasis"/>
          <w:rFonts w:ascii="Times New Roman;Times;serif" w:hAnsi="Times New Roman;Times;serif"/>
          <w:color w:val="000000"/>
          <w:sz w:val="20"/>
        </w:rPr>
        <w:t>None.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18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11" w:name="item2"/>
      <w:bookmarkEnd w:id="11"/>
      <w:r>
        <w:rPr>
          <w:rFonts w:ascii="Times New Roman;Times;serif" w:hAnsi="Times New Roman;Times;serif"/>
          <w:b/>
          <w:sz w:val="20"/>
        </w:rPr>
        <w:t>Item 2.   Management’s Discussion and Analysis of Financial Condition and 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You should read the following discussion and analysis of our financial condition and results of operations in conjunction with our consolidated financial statements and the accompanying notes appearing elsewhere in this Quarterly Report on Form 10-Q for the period ended March 31, 2025 and the audited consolidated financial statements and notes thereto and management’s discussion and analysis of financial condition and results of operations for the fiscal year ended December 31, 2024 included in our Annual Report. References to "Applied Optoelectronics," “we," "our" and "us" are to Applied Optoelectronics, Inc. and its subsidiaries unless otherwise specified or the context otherwise requires.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in this Quarterly Report that are not purely historical are forward-looking statements within the meaning of Section 27A of the Securities Act of 1933, as amended, and Section 21E of the Securities Exchange Act of 1934, as amended. Terminology such as "believe," "may," "estimate," "continue," "anticipate," "intend," "should," "could," "would," "target," "seek," "aim," "believe," "predicts," "think," "objectives," "optimistic," "new," "goal," "strategy," "potential," "is likely," "will," "expect," "plan," "project," "permit,"  or by other similar expressions that convey uncertainty of future events or outcomes are intended to identify forward-looking statements.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i/>
          <w:sz w:val="20"/>
        </w:rPr>
      </w:pPr>
      <w:r>
        <w:rPr>
          <w:rFonts w:ascii="Times New Roman;Times;serif" w:hAnsi="Times New Roman;Times;serif"/>
          <w:i/>
          <w:sz w:val="20"/>
        </w:rPr>
        <w:t>We have based these forward-looking statements largely on our current expectations and projections about future events and industry and financial trends that we believe may affect our financial condition, results of operations, business strategy and financial needs. Such forward-looking statements are subject to risks, uncertainties and other important factors that could cause actual results and the timing of events to differ materially from future results expressed or implied by such forward-looking statements. Factors that could cause or contribute to such differences include, but are not limited to, those identified in "Part II —Item 1A. Risk Factors" provided below, those discussed in other documents we file with the SEC, including our Report on Form 10-K for the year ended December 31, 2024 and subsequent Quarterly Reports on Form 10-Q, and geopolitical tensions and conflicts, including with respect to international trade policies in areas such as tariffs and export controls. Furthermore, such forward-looking statements speak only as of the date of this Quarterly Report. Except as required by law, we undertake no obligation to update any forward-looking statements to reflect events or circumstances after the date of this Quarterly Report.</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are a leading, vertically integrated provider of fiber-optic networking products. We target four networking end-markets: internet data centers, cable television, ("CATV"), telecommunications ("telecom"), and fiber-to-the-home ("FTTH"). We design and manufacture a range of optical communications products at varying levels of integration, from components, subassemblies and modules to complete turn-key equipment. In designing products for our customers, we typically begin with the fundamental building blocks of lasers and laser components. From these foundational products, we design and manufacture a wide range of products to meet our customers’ needs and specifications, and such products differ from each other by their end market, intended use and level of integration. We are primarily focused on the higher-performance segments within the internet data center, CATV, telecom and FTTH markets which increasingly demand faster connectivity and innovation. </w:t>
      </w:r>
    </w:p>
    <w:p>
      <w:pPr>
        <w:pStyle w:val="TextBody"/>
        <w:bidi w:val="0"/>
        <w:spacing w:before="0" w:after="0"/>
        <w:ind w:left="0" w:right="0" w:firstLine="720"/>
        <w:jc w:val="left"/>
        <w:rPr/>
      </w:pPr>
      <w:r>
        <w:rPr/>
        <w:t> </w:t>
      </w:r>
    </w:p>
    <w:p>
      <w:pPr>
        <w:pStyle w:val="TextBody"/>
        <w:bidi w:val="0"/>
        <w:ind w:left="0" w:right="0" w:firstLine="720"/>
        <w:jc w:val="left"/>
        <w:rPr>
          <w:rFonts w:ascii="Times New Roman" w:hAnsi="Times New Roman"/>
          <w:sz w:val="20"/>
        </w:rPr>
      </w:pPr>
      <w:r>
        <w:rPr>
          <w:rFonts w:ascii="Times New Roman" w:hAnsi="Times New Roman"/>
          <w:sz w:val="20"/>
        </w:rPr>
        <w:t xml:space="preserve">Our vertically integrated manufacturing model provides us several advantages, including rapid product development, fast response times to customer requests and control over product quality and manufacturing costs.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four end markets we target are all driven by significant bandwidth demand fueled by the growth of network-connected devices, video traffic, cloud computing and online social networking. Within the internet data center market, we benefit from the increasing use of higher-capacity optical networking technology as a replacement for older, lower-speed optical interconnects, particularly as speeds reach 800 Gbps and above, as well as the movement to open internet data center architectures and the increasing use of in-house equipment design among leading internet companies. Within the CATV market, we benefit from a number of ongoing trends including the move to higher bandwidth networks among CATV service providers, especially the desire by CATV multiple system operators ("MSOs") to increase the return-path bandwidth available to offer to their customers. In the FTTH market, we benefit from continuing Passive Optical Networks ("PON") deployments and system updates among telecom service providers. In the telecom market, we benefit from deployment of new high-speed fiber-optic networks by telecom network operators, including 5G networks.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vertically integrated manufacturing model provides us several advantages, including rapid product development, fast response times to customer requests and greater control over product quality and manufacturing costs. We design, manufacture and integrate our own analog and digital lasers using a proprietary Molecular Beam Epitaxy ("MBE"), and Metal Organic Chemical Vapor Deposition ("MOCVD") alternative processes for the fabrication of lasers. We believe the use of both processes, and our knowledge of how to combine these processes with others to fabricate lasers is unique in our industry. We manufacture the majority of the laser chips and optical components that are used in our products. The lasers we manufacture are tested extensively to enable reliable operation over time and our devices are often highly tolerant of changes in temperature and humidity, making them well-suited to the CATV, FTTH and 5G telecom markets where networking equipment is often installed outdoors. All of our laser chips are manufactured in our facility in Sugar Land, Texas. We believe that our domestic production capacity for these devices gives us a competitive advantage over many of our competitors, as we believe that many of our customers prefer to source key components from suppliers who have domestic manufacturing capacity.</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have three manufacturing sites: Sugar Land, Texas, Ningbo, China and Taipei, Taiwan. Our research and development functions are generally partnered with our manufacturing locations, and we have an additional research and development facility in Duluth, Georgia. In our Sugar Land facility, we manufacture laser chips (utilizing our MBE and MOCVD processes), transceivers for the internet data center market, subassemblies and components. The subassemblies are used in the manufacture of components by our other manufacturing facilities or sold to third parties as modules. We manufacture our laser chips only within our Sugar Land facility, where our laser design team is located. In our Taiwan location, we manufacture optical components, such as our butterfly lasers, which incorporate laser chips, subassemblies and components manufactured within our Sugar Land facility. Additionally, in our Taiwan location, we manufacture transceivers for the internet data center, telecom, FTTH and other markets. We also manufacture CATV outdoor equipment including amplifiers. In our China facility, we do certain assembly operations on various products, including some optical subassemblies and transceivers for the CATV transmitters (at the headend), some CATV outdoor equipment and transceivers for our internet data center market. The extent of the assembly operations in our China facility do not always establish the country of origin for these products as China for U.S. tariff purposes. Each manufacturing facility conducts testing on the components, modules or subsystems it manufactures and each facility is certified to ISO 9001:2015. Our facilities in Ningbo, China, Taipei, Taiwan, and Sugar Land, Texas are all certified to ISO 14001:2015.</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business depends on winning competitive bid selection processes to develop components, systems and equipment for use in our customers’ products. These selection processes are typically lengthy, and as a result our sales cycles will vary based on the level of customization required, market served, whether the design win is with an existing or new customer and whether our solution being designed in our customers’ product is our first generation or subsequent generation product. We do not have any long-term purchase commitments (in excess of one year) with any of our customers, most of whom purchase our products on a purchase order basis. However, once one of our solutions is incorporated into a customer’s design, we believe that our solution is likely to continue to be purchased for that design throughout that product’s life cycle because of the time and expense associated with redesigning the product or substituting an alternative solution.</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principal executive offices are located at 13139 Jess Pirtle Blvd., Sugar Land, TX 77478, and our telephone number is (281) 295-1800.</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Trends and Other Matters Affecting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early 2025, the U.S. Presidential administration implemented significant new tariffs on foreign imports impacting multiple countries, commodities and industries, and these new tariffs and export restrictions also prompted retaliatory tariffs and export restrictions from certain countries. As of April 2025, certain tariffs and retaliatory tariffs have been delayed, but a number of the new tariffs remain in effect, including significant tariffs and trade sanctions between the United States and China. Tariffs, trade restrictions and retaliatory measures could result in revenue reduction, cost increases on material used in our products or significant production delays, which could adversely affect our business, financial condition, operational results and cash flows. </w:t>
      </w:r>
    </w:p>
    <w:p>
      <w:pPr>
        <w:pStyle w:val="TextBody"/>
        <w:bidi w:val="0"/>
        <w:spacing w:before="0" w:after="0"/>
        <w:ind w:left="0" w:right="0" w:firstLine="720"/>
        <w:jc w:val="left"/>
        <w:rPr/>
      </w:pPr>
      <w:r>
        <w:rPr/>
        <w:t xml:space="preserve">  </w:t>
      </w:r>
    </w:p>
    <w:p>
      <w:pPr>
        <w:pStyle w:val="TextBody"/>
        <w:bidi w:val="0"/>
        <w:spacing w:before="0" w:after="0"/>
        <w:ind w:left="0" w:right="0" w:firstLine="720"/>
        <w:jc w:val="left"/>
        <w:rPr>
          <w:sz w:val="20"/>
        </w:rPr>
      </w:pPr>
      <w:r>
        <w:rPr>
          <w:sz w:val="20"/>
        </w:rPr>
        <w:t xml:space="preserve">Consistent with our strategy, we are optimizing operations and facilities and taking measures to contain costs to reduce the impact from tariffs. We are actively monitoring the tariff developments and analyzing the potential impacts on our business, cost structure, supply chain and broader economic environment. We are also working closely with our strategic suppliers to manage the potential impacts. While these developments have not had a material impact on our financial condition or results of operations to date, due to their evolving nature, we cannot predict with certainty the ultimate impacts they may have on our business and results in the future but those impacts could be material. </w:t>
      </w:r>
    </w:p>
    <w:p>
      <w:pPr>
        <w:pStyle w:val="TextBody"/>
        <w:bidi w:val="0"/>
        <w:ind w:left="0" w:right="0" w:firstLine="72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following table set forth our consolidated results of operations for the periods presented and as a percentage of our revenue for those periods (in thousands, except percentages):</w:t>
      </w:r>
    </w:p>
    <w:p>
      <w:pPr>
        <w:pStyle w:val="TextBody"/>
        <w:bidi w:val="0"/>
        <w:spacing w:before="0" w:after="0"/>
        <w:ind w:left="0" w:right="0" w:firstLine="720"/>
        <w:jc w:val="left"/>
        <w:rPr/>
      </w:pPr>
      <w:r>
        <w:rPr/>
        <w:t> </w:t>
      </w:r>
    </w:p>
    <w:tbl>
      <w:tblPr>
        <w:tblW w:w="6205" w:type="dxa"/>
        <w:jc w:val="left"/>
        <w:tblInd w:w="0" w:type="dxa"/>
        <w:tblLayout w:type="fixed"/>
        <w:tblCellMar>
          <w:top w:w="0" w:type="dxa"/>
          <w:left w:w="0" w:type="dxa"/>
          <w:bottom w:w="0" w:type="dxa"/>
          <w:right w:w="0" w:type="dxa"/>
        </w:tblCellMar>
      </w:tblPr>
      <w:tblGrid>
        <w:gridCol w:w="2735"/>
        <w:gridCol w:w="60"/>
        <w:gridCol w:w="125"/>
        <w:gridCol w:w="590"/>
        <w:gridCol w:w="80"/>
        <w:gridCol w:w="60"/>
        <w:gridCol w:w="60"/>
        <w:gridCol w:w="485"/>
        <w:gridCol w:w="245"/>
        <w:gridCol w:w="60"/>
        <w:gridCol w:w="125"/>
        <w:gridCol w:w="650"/>
        <w:gridCol w:w="80"/>
        <w:gridCol w:w="60"/>
        <w:gridCol w:w="60"/>
        <w:gridCol w:w="485"/>
        <w:gridCol w:w="245"/>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6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net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Comparison of Financial Results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Revenue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generate revenue through the sale of our products to equipment providers and network operators for the internet data center, CATV, telecom, FTTH and other markets. We derive a significant portion of our revenue from our top ten customers, and we anticipate that we will continue to do so for the foreseeable future. The following charts provide the revenue contribution from each of the markets we served for the three months ended March 31, 2025 and 2024 (in thousands, except percentages):</w:t>
      </w:r>
    </w:p>
    <w:p>
      <w:pPr>
        <w:pStyle w:val="TextBody"/>
        <w:bidi w:val="0"/>
        <w:spacing w:before="0" w:after="0"/>
        <w:ind w:left="0" w:right="0" w:firstLine="720"/>
        <w:jc w:val="left"/>
        <w:rPr/>
      </w:pPr>
      <w:r>
        <w:rPr/>
        <w:t> </w:t>
      </w:r>
    </w:p>
    <w:tbl>
      <w:tblPr>
        <w:tblW w:w="6745" w:type="dxa"/>
        <w:jc w:val="left"/>
        <w:tblInd w:w="0" w:type="dxa"/>
        <w:tblLayout w:type="fixed"/>
        <w:tblCellMar>
          <w:top w:w="0" w:type="dxa"/>
          <w:left w:w="0" w:type="dxa"/>
          <w:bottom w:w="0" w:type="dxa"/>
          <w:right w:w="0" w:type="dxa"/>
        </w:tblCellMar>
      </w:tblPr>
      <w:tblGrid>
        <w:gridCol w:w="1400"/>
        <w:gridCol w:w="60"/>
        <w:gridCol w:w="125"/>
        <w:gridCol w:w="590"/>
        <w:gridCol w:w="60"/>
        <w:gridCol w:w="60"/>
        <w:gridCol w:w="81"/>
        <w:gridCol w:w="659"/>
        <w:gridCol w:w="185"/>
        <w:gridCol w:w="60"/>
        <w:gridCol w:w="125"/>
        <w:gridCol w:w="590"/>
        <w:gridCol w:w="60"/>
        <w:gridCol w:w="60"/>
        <w:gridCol w:w="81"/>
        <w:gridCol w:w="659"/>
        <w:gridCol w:w="185"/>
        <w:gridCol w:w="60"/>
        <w:gridCol w:w="125"/>
        <w:gridCol w:w="590"/>
        <w:gridCol w:w="80"/>
        <w:gridCol w:w="60"/>
        <w:gridCol w:w="60"/>
        <w:gridCol w:w="485"/>
        <w:gridCol w:w="245"/>
      </w:tblGrid>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9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0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140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Data Center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CATV</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55,765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638.3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Telecom</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c>
          <w:tcPr>
            <w:tcW w:w="6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FTTH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c>
          <w:tcPr>
            <w:tcW w:w="659"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40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99,859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40,673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59,186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changes in revenue during the three months ended March 31, 2025 and 2024 were primarily due to increased demand from customers. </w:t>
      </w:r>
    </w:p>
    <w:p>
      <w:pPr>
        <w:pStyle w:val="TextBody"/>
        <w:bidi w:val="0"/>
        <w:ind w:left="0" w:right="0" w:firstLine="720"/>
        <w:jc w:val="left"/>
        <w:rPr/>
      </w:pPr>
      <w:r>
        <w:rPr/>
        <w:t xml:space="preserve">  </w:t>
      </w:r>
    </w:p>
    <w:p>
      <w:pPr>
        <w:pStyle w:val="TextBody"/>
        <w:bidi w:val="0"/>
        <w:spacing w:before="0" w:after="0"/>
        <w:ind w:left="0" w:right="0" w:hanging="0"/>
        <w:jc w:val="left"/>
        <w:rPr/>
      </w:pPr>
      <w:r>
        <w:rPr/>
        <w:t>               </w:t>
      </w:r>
      <w:r>
        <w:rPr>
          <w:rFonts w:ascii="Times New Roman;Times;serif" w:hAnsi="Times New Roman;Times;serif"/>
          <w:sz w:val="20"/>
        </w:rPr>
        <w:t>We continue to see increased orders for our 100G data center products from several large customers. Based on forecasts from our customers, we expect increased demand for these products through the end of 2025. We entered into a supply agreement with Microsoft to design certain data center goods and to build a supply chain to manufacture, assemble, sell and ship the goods to them or an authorized purchasing entity. The initial term of the agreement is five years with automatic renewal unless terminated earlier.</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addition to our existing data center customers, we have also begun to receive orders from a hyperscale data center customer from which we have not received significant orders in several years. While the new customer interaction is not material within the quarter, we believe that both this new customer interaction and much of the growth in our existing data center business is related to efforts by these customers to increase processing capacity within their data centers, largely to accommodate applications enabled by generative artificial intelligence ("AI").</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first quarter CATV revenue increased $55.8 million, or 638.3% compared to the first quarter of 2024 due to the recovery in market demand for our products, which is being driven by the beginning of a major network upgrade project by a major North American MSO customer.</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2025 and 2024, our top ten customers represented 97% and 92% of our revenue, respectively. We believe that diversifying our customer base is critical for our future success, since reliance on a small number of key customers makes our ability to forecast future results dependent upon the accuracy of the forecasts we receive from those key customers. We continue to prioritize new customer acquisition and growth of diverse revenue streams.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Cost of goods sold and gross margin</w:t>
      </w:r>
    </w:p>
    <w:p>
      <w:pPr>
        <w:pStyle w:val="TextBody"/>
        <w:bidi w:val="0"/>
        <w:spacing w:before="0" w:after="0"/>
        <w:ind w:left="0" w:right="0" w:hanging="0"/>
        <w:jc w:val="left"/>
        <w:rPr/>
      </w:pPr>
      <w:r>
        <w:rPr/>
        <w:t>​</w:t>
      </w:r>
    </w:p>
    <w:tbl>
      <w:tblPr>
        <w:tblW w:w="6800" w:type="dxa"/>
        <w:jc w:val="left"/>
        <w:tblInd w:w="0" w:type="dxa"/>
        <w:tblLayout w:type="fixed"/>
        <w:tblCellMar>
          <w:top w:w="0" w:type="dxa"/>
          <w:left w:w="0" w:type="dxa"/>
          <w:bottom w:w="0" w:type="dxa"/>
          <w:right w:w="0" w:type="dxa"/>
        </w:tblCellMar>
      </w:tblPr>
      <w:tblGrid>
        <w:gridCol w:w="1535"/>
        <w:gridCol w:w="60"/>
        <w:gridCol w:w="125"/>
        <w:gridCol w:w="590"/>
        <w:gridCol w:w="60"/>
        <w:gridCol w:w="60"/>
        <w:gridCol w:w="100"/>
        <w:gridCol w:w="640"/>
        <w:gridCol w:w="185"/>
        <w:gridCol w:w="60"/>
        <w:gridCol w:w="125"/>
        <w:gridCol w:w="590"/>
        <w:gridCol w:w="60"/>
        <w:gridCol w:w="60"/>
        <w:gridCol w:w="100"/>
        <w:gridCol w:w="640"/>
        <w:gridCol w:w="185"/>
        <w:gridCol w:w="60"/>
        <w:gridCol w:w="125"/>
        <w:gridCol w:w="590"/>
        <w:gridCol w:w="60"/>
        <w:gridCol w:w="60"/>
        <w:gridCol w:w="60"/>
        <w:gridCol w:w="485"/>
        <w:gridCol w:w="185"/>
      </w:tblGrid>
      <w:tr>
        <w:trPr/>
        <w:tc>
          <w:tcPr>
            <w:tcW w:w="1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9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020"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15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0" w:type="dxa"/>
            <w:tcBorders/>
            <w:shd w:fill="CCEEFF" w:val="clear"/>
            <w:vAlign w:val="center"/>
          </w:tcPr>
          <w:p>
            <w:pPr>
              <w:pStyle w:val="TableContents"/>
              <w:bidi w:val="0"/>
              <w:spacing w:before="0" w:after="283"/>
              <w:ind w:left="0" w:right="0" w:hanging="0"/>
              <w:jc w:val="left"/>
              <w:rPr/>
            </w:pPr>
            <w:r>
              <w:rPr/>
              <w:t> </w:t>
            </w:r>
          </w:p>
        </w:tc>
        <w:tc>
          <w:tcPr>
            <w:tcW w:w="6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5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0" w:type="dxa"/>
            <w:tcBorders/>
            <w:shd w:fill="FFFFFF" w:val="clear"/>
            <w:vAlign w:val="center"/>
          </w:tcPr>
          <w:p>
            <w:pPr>
              <w:pStyle w:val="TableContents"/>
              <w:bidi w:val="0"/>
              <w:spacing w:before="0" w:after="283"/>
              <w:ind w:left="0" w:right="0" w:hanging="0"/>
              <w:jc w:val="left"/>
              <w:rPr/>
            </w:pPr>
            <w:r>
              <w:rPr/>
              <w:t> </w:t>
            </w:r>
          </w:p>
        </w:tc>
        <w:tc>
          <w:tcPr>
            <w:tcW w:w="6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Cost of goods sold increased by $36.2 million or 109.5% for the three months ended </w:t>
      </w:r>
      <w:r>
        <w:rPr>
          <w:rFonts w:ascii="Times New Roman;Times;serif" w:hAnsi="Times New Roman;Times;serif"/>
          <w:sz w:val="20"/>
        </w:rPr>
        <w:t>March 31, 2025</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March 31, 2024</w:t>
      </w:r>
      <w:r>
        <w:rPr>
          <w:rFonts w:ascii="Times New Roman;Times;serif" w:hAnsi="Times New Roman;Times;serif"/>
          <w:sz w:val="20"/>
          <w:shd w:fill="FFFFFF" w:val="clear"/>
        </w:rPr>
        <w:t>. The increase in cost of goods sold was due to increased revenue for the three months ended March 31, 2025 compared to the three months ended March 31, 2024.</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Gross profit increased by $23.0 million or 302.4% for the three months ended </w:t>
      </w:r>
      <w:r>
        <w:rPr>
          <w:rFonts w:ascii="Times New Roman;Times;serif" w:hAnsi="Times New Roman;Times;serif"/>
          <w:sz w:val="20"/>
        </w:rPr>
        <w:t>March 31, 2025</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March 31, 2024</w:t>
      </w:r>
      <w:r>
        <w:rPr>
          <w:rFonts w:ascii="Times New Roman;Times;serif" w:hAnsi="Times New Roman;Times;serif"/>
          <w:sz w:val="20"/>
          <w:shd w:fill="FFFFFF" w:val="clear"/>
        </w:rPr>
        <w:t>.</w:t>
      </w:r>
      <w:r>
        <w:rPr>
          <w:rFonts w:ascii="Times New Roman;Times;serif" w:hAnsi="Times New Roman;Times;serif"/>
          <w:sz w:val="20"/>
        </w:rPr>
        <w:t xml:space="preserve"> The increase is primarily due to higher sales on our high gross margin products and ongoing efforts to reduce production costs.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Operating expenses</w:t>
      </w:r>
    </w:p>
    <w:p>
      <w:pPr>
        <w:pStyle w:val="TextBody"/>
        <w:bidi w:val="0"/>
        <w:spacing w:before="0" w:after="0"/>
        <w:ind w:left="0" w:right="0" w:hanging="0"/>
        <w:jc w:val="left"/>
        <w:rPr/>
      </w:pPr>
      <w:r>
        <w:rPr/>
        <w:t> </w:t>
      </w:r>
    </w:p>
    <w:tbl>
      <w:tblPr>
        <w:tblW w:w="7280" w:type="dxa"/>
        <w:jc w:val="left"/>
        <w:tblInd w:w="0" w:type="dxa"/>
        <w:tblLayout w:type="fixed"/>
        <w:tblCellMar>
          <w:top w:w="0" w:type="dxa"/>
          <w:left w:w="0" w:type="dxa"/>
          <w:bottom w:w="0" w:type="dxa"/>
          <w:right w:w="0" w:type="dxa"/>
        </w:tblCellMar>
      </w:tblPr>
      <w:tblGrid>
        <w:gridCol w:w="2210"/>
        <w:gridCol w:w="60"/>
        <w:gridCol w:w="125"/>
        <w:gridCol w:w="590"/>
        <w:gridCol w:w="60"/>
        <w:gridCol w:w="60"/>
        <w:gridCol w:w="94"/>
        <w:gridCol w:w="601"/>
        <w:gridCol w:w="185"/>
        <w:gridCol w:w="60"/>
        <w:gridCol w:w="125"/>
        <w:gridCol w:w="590"/>
        <w:gridCol w:w="60"/>
        <w:gridCol w:w="60"/>
        <w:gridCol w:w="94"/>
        <w:gridCol w:w="601"/>
        <w:gridCol w:w="185"/>
        <w:gridCol w:w="60"/>
        <w:gridCol w:w="125"/>
        <w:gridCol w:w="590"/>
        <w:gridCol w:w="60"/>
        <w:gridCol w:w="60"/>
        <w:gridCol w:w="60"/>
        <w:gridCol w:w="380"/>
        <w:gridCol w:w="185"/>
      </w:tblGrid>
      <w:tr>
        <w:trPr/>
        <w:tc>
          <w:tcPr>
            <w:tcW w:w="2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0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7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4825"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185" w:type="dxa"/>
            <w:tcBorders/>
            <w:shd w:fill="FFFFFF" w:val="clear"/>
            <w:vAlign w:val="center"/>
          </w:tcPr>
          <w:p>
            <w:pPr>
              <w:pStyle w:val="TableContents"/>
              <w:bidi w:val="0"/>
              <w:spacing w:before="0" w:after="283"/>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6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6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39,481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Research and development expense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Research and development expense increased by $6.1 million, or 52.1% for the three months ended </w:t>
      </w:r>
      <w:r>
        <w:rPr>
          <w:rFonts w:ascii="Times New Roman;Times;serif" w:hAnsi="Times New Roman;Times;serif"/>
          <w:sz w:val="20"/>
        </w:rPr>
        <w:t>March 31, 2025</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March 31, 2024</w:t>
      </w:r>
      <w:r>
        <w:rPr>
          <w:rFonts w:ascii="Times New Roman;Times;serif" w:hAnsi="Times New Roman;Times;serif"/>
          <w:sz w:val="20"/>
          <w:shd w:fill="FFFFFF" w:val="clear"/>
        </w:rPr>
        <w:t>.</w:t>
      </w:r>
      <w:r>
        <w:rPr>
          <w:rFonts w:ascii="Times New Roman;Times;serif" w:hAnsi="Times New Roman;Times;serif"/>
          <w:sz w:val="20"/>
        </w:rPr>
        <w:t xml:space="preserve"> The increases were primarily due to increased</w:t>
      </w:r>
      <w:r>
        <w:rPr>
          <w:rFonts w:ascii="Times New Roman;Times;serif" w:hAnsi="Times New Roman;Times;serif"/>
          <w:color w:val="000000"/>
          <w:sz w:val="20"/>
        </w:rPr>
        <w:t xml:space="preserve"> personnel-related expense and increased R&amp;D related project costs. The increases in R&amp;D expenses were driven by customer demands for new products as well as acceleration of previously-planned project expenditures which were necessary to accommodate accelerated demand projections for these products from certain customers.</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Sales and marketing expense</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Sales and marketing expense increased by $1.6 million, or 41.0%, for the three months ended March 31, 2025 compared to the three months ended March 31, 2024. The increases were primarily </w:t>
      </w:r>
      <w:r>
        <w:rPr>
          <w:rFonts w:ascii="Times New Roman;Times;serif" w:hAnsi="Times New Roman;Times;serif"/>
          <w:color w:val="000000"/>
          <w:sz w:val="20"/>
        </w:rPr>
        <w:t>due to the increased business development effort in our CATV and data center businesses along with higher shipping costs. </w:t>
      </w:r>
    </w:p>
    <w:p>
      <w:pPr>
        <w:pStyle w:val="TextBody"/>
        <w:bidi w:val="0"/>
        <w:spacing w:before="0" w:after="0"/>
        <w:ind w:left="0" w:right="0" w:firstLine="720"/>
        <w:jc w:val="left"/>
        <w:rPr>
          <w:shd w:fill="FFFF00" w:val="clear"/>
        </w:rPr>
      </w:pPr>
      <w:r>
        <w:rPr>
          <w:shd w:fill="FFFF00" w:val="clear"/>
        </w:rPr>
        <w:t>​</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General and administrative expense</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General and administrative expense increased by $2.6 million, or 18.8% for the three months ended </w:t>
      </w:r>
      <w:r>
        <w:rPr>
          <w:rFonts w:ascii="Times New Roman;Times;serif" w:hAnsi="Times New Roman;Times;serif"/>
          <w:sz w:val="20"/>
        </w:rPr>
        <w:t>March 31, 2025</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March 31, 2024</w:t>
      </w:r>
      <w:r>
        <w:rPr>
          <w:rFonts w:ascii="Times New Roman;Times;serif" w:hAnsi="Times New Roman;Times;serif"/>
          <w:sz w:val="20"/>
          <w:shd w:fill="FFFFFF" w:val="clear"/>
        </w:rPr>
        <w:t>.</w:t>
      </w:r>
      <w:r>
        <w:rPr>
          <w:rFonts w:ascii="Times New Roman;Times;serif" w:hAnsi="Times New Roman;Times;serif"/>
          <w:sz w:val="20"/>
        </w:rPr>
        <w:t xml:space="preserve"> </w:t>
      </w:r>
      <w:r>
        <w:rPr>
          <w:rFonts w:ascii="Times New Roman;Times;serif" w:hAnsi="Times New Roman;Times;serif"/>
          <w:sz w:val="20"/>
          <w:shd w:fill="FFFFFF" w:val="clear"/>
        </w:rPr>
        <w:t>The increase was primarily due to increased personnel-related expense and increased consulting fees for our ongoing enterprise resource planning ("ERP") system upgrade. </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Other income (expense), net</w:t>
      </w:r>
    </w:p>
    <w:p>
      <w:pPr>
        <w:pStyle w:val="TextBody"/>
        <w:bidi w:val="0"/>
        <w:spacing w:before="0" w:after="0"/>
        <w:ind w:left="0" w:right="0" w:hanging="0"/>
        <w:jc w:val="left"/>
        <w:rPr/>
      </w:pPr>
      <w:r>
        <w:rPr/>
        <w:t>​</w:t>
      </w:r>
    </w:p>
    <w:tbl>
      <w:tblPr>
        <w:tblW w:w="8164" w:type="dxa"/>
        <w:jc w:val="left"/>
        <w:tblInd w:w="0" w:type="dxa"/>
        <w:tblLayout w:type="fixed"/>
        <w:tblCellMar>
          <w:top w:w="0" w:type="dxa"/>
          <w:left w:w="0" w:type="dxa"/>
          <w:bottom w:w="0" w:type="dxa"/>
          <w:right w:w="0" w:type="dxa"/>
        </w:tblCellMar>
      </w:tblPr>
      <w:tblGrid>
        <w:gridCol w:w="2735"/>
        <w:gridCol w:w="60"/>
        <w:gridCol w:w="167"/>
        <w:gridCol w:w="528"/>
        <w:gridCol w:w="82"/>
        <w:gridCol w:w="61"/>
        <w:gridCol w:w="104"/>
        <w:gridCol w:w="591"/>
        <w:gridCol w:w="252"/>
        <w:gridCol w:w="61"/>
        <w:gridCol w:w="129"/>
        <w:gridCol w:w="566"/>
        <w:gridCol w:w="82"/>
        <w:gridCol w:w="61"/>
        <w:gridCol w:w="104"/>
        <w:gridCol w:w="591"/>
        <w:gridCol w:w="245"/>
        <w:gridCol w:w="60"/>
        <w:gridCol w:w="142"/>
        <w:gridCol w:w="553"/>
        <w:gridCol w:w="80"/>
        <w:gridCol w:w="60"/>
        <w:gridCol w:w="60"/>
        <w:gridCol w:w="545"/>
        <w:gridCol w:w="245"/>
      </w:tblGrid>
      <w:tr>
        <w:trPr/>
        <w:tc>
          <w:tcPr>
            <w:tcW w:w="27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79"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5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15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5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jc w:val="left"/>
              <w:rPr/>
            </w:pPr>
            <w:r>
              <w:rPr/>
              <w:t> </w:t>
            </w:r>
          </w:p>
        </w:tc>
        <w:tc>
          <w:tcPr>
            <w:tcW w:w="566" w:type="dxa"/>
            <w:tcBorders/>
            <w:shd w:fill="FFFFFF" w:val="clear"/>
            <w:vAlign w:val="center"/>
          </w:tcPr>
          <w:p>
            <w:pPr>
              <w:pStyle w:val="TableContents"/>
              <w:bidi w:val="0"/>
              <w:spacing w:before="0" w:after="283"/>
              <w:jc w:val="center"/>
              <w:rPr/>
            </w:pPr>
            <w:r>
              <w:rPr/>
              <w:t> </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5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2"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124"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52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5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(1,676</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5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p>
        </w:tc>
        <w:tc>
          <w:tcPr>
            <w:tcW w:w="82"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5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CCEEFF" w:val="clear"/>
            <w:vAlign w:val="center"/>
          </w:tcPr>
          <w:p>
            <w:pPr>
              <w:pStyle w:val="TableContents"/>
              <w:bidi w:val="0"/>
              <w:spacing w:before="0" w:after="283"/>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(539.8</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 net</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2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5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1" w:type="dxa"/>
            <w:tcBorders/>
            <w:shd w:fill="FFFFFF" w:val="clear"/>
            <w:vAlign w:val="center"/>
          </w:tcPr>
          <w:p>
            <w:pPr>
              <w:pStyle w:val="TableContents"/>
              <w:bidi w:val="0"/>
              <w:spacing w:before="0" w:after="283"/>
              <w:jc w:val="left"/>
              <w:rPr/>
            </w:pPr>
            <w:r>
              <w:rPr/>
              <w:t> </w:t>
            </w:r>
          </w:p>
        </w:tc>
        <w:tc>
          <w:tcPr>
            <w:tcW w:w="1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Interest income decreased by $36 thousand, or 13.8% for the three months ended March 31, 2025 compared to the three months ended March 31, 2024. The decrease was due to lower </w:t>
      </w:r>
      <w:r>
        <w:rPr>
          <w:rFonts w:ascii="Times New Roman;Times;serif" w:hAnsi="Times New Roman;Times;serif"/>
          <w:color w:val="000000"/>
          <w:sz w:val="20"/>
        </w:rPr>
        <w:t>saving balances in the first quarter of 2025</w:t>
      </w:r>
      <w:r>
        <w:rPr>
          <w:rFonts w:ascii="Times New Roman;Times;serif" w:hAnsi="Times New Roman;Times;serif"/>
          <w:color w:val="CC0000"/>
          <w:sz w:val="20"/>
        </w:rPr>
        <w:t>.</w:t>
      </w:r>
      <w:r>
        <w:rPr>
          <w:rFonts w:ascii="Times New Roman;Times;serif" w:hAnsi="Times New Roman;Times;serif"/>
          <w:sz w:val="20"/>
        </w:rPr>
        <w:t> </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Interest expense decreased by $0.7 million, or 44.3% for the three months ended March 31, 2025 compared to the three months ended March 31, 2024. The decrease was due to </w:t>
      </w:r>
      <w:r>
        <w:rPr>
          <w:rFonts w:ascii="Times New Roman;Times;serif" w:hAnsi="Times New Roman;Times;serif"/>
          <w:color w:val="000000"/>
          <w:sz w:val="20"/>
        </w:rPr>
        <w:t>the lower effective interest rate for our 2030 Notes.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Other income (expenses) increased by $0.6 million, or 535.8% for the three months ended </w:t>
      </w:r>
      <w:r>
        <w:rPr>
          <w:rFonts w:ascii="Times New Roman;Times;serif" w:hAnsi="Times New Roman;Times;serif"/>
          <w:sz w:val="20"/>
        </w:rPr>
        <w:t>March 31, 2025</w:t>
      </w:r>
      <w:r>
        <w:rPr>
          <w:rFonts w:ascii="Times New Roman;Times;serif" w:hAnsi="Times New Roman;Times;serif"/>
          <w:sz w:val="20"/>
          <w:shd w:fill="FFFFFF" w:val="clear"/>
        </w:rPr>
        <w:t xml:space="preserve"> compared to the three months ended </w:t>
      </w:r>
      <w:r>
        <w:rPr>
          <w:rFonts w:ascii="Times New Roman;Times;serif" w:hAnsi="Times New Roman;Times;serif"/>
          <w:sz w:val="20"/>
        </w:rPr>
        <w:t>March 31, 2024</w:t>
      </w:r>
      <w:r>
        <w:rPr>
          <w:rFonts w:ascii="Times New Roman;Times;serif" w:hAnsi="Times New Roman;Times;serif"/>
          <w:sz w:val="20"/>
          <w:shd w:fill="FFFFFF" w:val="clear"/>
        </w:rPr>
        <w:t>.</w:t>
      </w:r>
      <w:r>
        <w:rPr>
          <w:rFonts w:ascii="Times New Roman;Times;serif" w:hAnsi="Times New Roman;Times;serif"/>
          <w:sz w:val="20"/>
        </w:rPr>
        <w:t xml:space="preserve"> </w:t>
      </w:r>
      <w:r>
        <w:rPr>
          <w:rFonts w:ascii="Times New Roman;Times;serif" w:hAnsi="Times New Roman;Times;serif"/>
          <w:sz w:val="20"/>
          <w:shd w:fill="FFFFFF" w:val="clear"/>
        </w:rPr>
        <w:t>The increase was mainly due to the</w:t>
      </w:r>
      <w:r>
        <w:rPr>
          <w:rFonts w:ascii="Times New Roman;Times;serif" w:hAnsi="Times New Roman;Times;serif"/>
          <w:color w:val="000000"/>
          <w:sz w:val="20"/>
        </w:rPr>
        <w:t> increased government subsidy income and positive foreign exchange impact.</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Benefit (provision) for income taxes </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 xml:space="preserve">The Company’s effective tax rate for the three months </w:t>
      </w:r>
      <w:r>
        <w:rPr>
          <w:rFonts w:ascii="Times New Roman;Times;serif" w:hAnsi="Times New Roman;Times;serif"/>
          <w:sz w:val="20"/>
        </w:rPr>
        <w:t>ended March 31, 2025 and 2024</w:t>
      </w:r>
      <w:r>
        <w:rPr>
          <w:rFonts w:ascii="Times New Roman;Times;serif" w:hAnsi="Times New Roman;Times;serif"/>
          <w:sz w:val="20"/>
          <w:shd w:fill="FFFFFF" w:val="clear"/>
        </w:rPr>
        <w:t xml:space="preserve"> was 0%. The effective tax rate varied from the federal statutory rate of 21% primarily due to the change of the valuation allowance on federal, state, Taiwan, and China deferred tax assets ("DTA").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On August 9, 2022, the Creating Helpful Incentives to Produce Semiconductors Act ("CHIPS Act") was enacted.  Among its provisions, the bill provides various federal grants, tax credits, and incentives for investment in the United States.  On August 16, 2022, the Inflation Reduction Act ("IRA") was also signed into law. Among other provisions, the IRA imposes a 15% corporate alternative minimum tax ("Corporate AMT") for tax years beginning after December 31, 2022, imposes a 1% excise tax on corporate stock repurchases after December 31, 2022, and provides tax incentives to promote various energy efficient initiatives. To the extent that we make investments in expanding manufacturing in our semiconductor fabrication facility in Texas, we believe that the CHIPS Act would provide a refundable tax credit for certain equipment and facilities upgrades. We made significant such investments in the three months ended March 31, 2025, but we intend to continue to evaluate future investments for applicability to the tax credit provisions of the CHIPS Act.</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Comprehensive Loss</w:t>
      </w:r>
    </w:p>
    <w:p>
      <w:pPr>
        <w:pStyle w:val="TextBody"/>
        <w:bidi w:val="0"/>
        <w:spacing w:before="0" w:after="0"/>
        <w:ind w:left="0" w:right="0" w:hanging="0"/>
        <w:jc w:val="left"/>
        <w:rPr/>
      </w:pPr>
      <w:r>
        <w:rPr/>
        <w:t> </w:t>
      </w:r>
    </w:p>
    <w:tbl>
      <w:tblPr>
        <w:tblW w:w="9280" w:type="dxa"/>
        <w:jc w:val="left"/>
        <w:tblInd w:w="0" w:type="dxa"/>
        <w:tblLayout w:type="fixed"/>
        <w:tblCellMar>
          <w:top w:w="0" w:type="dxa"/>
          <w:left w:w="0" w:type="dxa"/>
          <w:bottom w:w="0" w:type="dxa"/>
          <w:right w:w="0" w:type="dxa"/>
        </w:tblCellMar>
      </w:tblPr>
      <w:tblGrid>
        <w:gridCol w:w="3890"/>
        <w:gridCol w:w="60"/>
        <w:gridCol w:w="129"/>
        <w:gridCol w:w="566"/>
        <w:gridCol w:w="80"/>
        <w:gridCol w:w="60"/>
        <w:gridCol w:w="104"/>
        <w:gridCol w:w="591"/>
        <w:gridCol w:w="245"/>
        <w:gridCol w:w="60"/>
        <w:gridCol w:w="125"/>
        <w:gridCol w:w="650"/>
        <w:gridCol w:w="80"/>
        <w:gridCol w:w="60"/>
        <w:gridCol w:w="83"/>
        <w:gridCol w:w="612"/>
        <w:gridCol w:w="245"/>
        <w:gridCol w:w="60"/>
        <w:gridCol w:w="125"/>
        <w:gridCol w:w="590"/>
        <w:gridCol w:w="60"/>
        <w:gridCol w:w="60"/>
        <w:gridCol w:w="60"/>
        <w:gridCol w:w="440"/>
        <w:gridCol w:w="245"/>
      </w:tblGrid>
      <w:tr>
        <w:trPr/>
        <w:tc>
          <w:tcPr>
            <w:tcW w:w="38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4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245"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1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245"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left"/>
              <w:rPr/>
            </w:pPr>
            <w:r>
              <w:rPr/>
              <w:t> </w:t>
            </w:r>
          </w:p>
        </w:tc>
        <w:tc>
          <w:tcPr>
            <w:tcW w:w="245"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revenue</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tc>
        <w:tc>
          <w:tcPr>
            <w:tcW w:w="245"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5085" w:type="dxa"/>
            <w:gridSpan w:val="22"/>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 except percentages)</w:t>
            </w:r>
          </w:p>
        </w:tc>
        <w:tc>
          <w:tcPr>
            <w:tcW w:w="24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5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12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4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(87.6</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(62.2</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shd w:fill="FFFFFF" w:val="clear"/>
        </w:rPr>
        <w:t>Comprehensive loss decreased by $15.5 million, or 62.2%, for the three months ended </w:t>
      </w:r>
      <w:r>
        <w:rPr>
          <w:rFonts w:ascii="Times New Roman;Times;serif" w:hAnsi="Times New Roman;Times;serif"/>
          <w:sz w:val="20"/>
        </w:rPr>
        <w:t>March 31, 2025</w:t>
      </w:r>
      <w:r>
        <w:rPr>
          <w:rFonts w:ascii="Times New Roman;Times;serif" w:hAnsi="Times New Roman;Times;serif"/>
          <w:sz w:val="20"/>
          <w:shd w:fill="FFFFFF" w:val="clear"/>
        </w:rPr>
        <w:t xml:space="preserve"> as compared to the three months ended </w:t>
      </w:r>
      <w:r>
        <w:rPr>
          <w:rFonts w:ascii="Times New Roman;Times;serif" w:hAnsi="Times New Roman;Times;serif"/>
          <w:sz w:val="20"/>
        </w:rPr>
        <w:t>March 31, 2024</w:t>
      </w:r>
      <w:r>
        <w:rPr>
          <w:rFonts w:ascii="Times New Roman;Times;serif" w:hAnsi="Times New Roman;Times;serif"/>
          <w:sz w:val="20"/>
          <w:shd w:fill="FFFFFF" w:val="clear"/>
        </w:rPr>
        <w:t>.</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shd w:fill="FFFFFF" w:val="clear"/>
        </w:rPr>
      </w:pPr>
      <w:r>
        <w:rPr>
          <w:rFonts w:ascii="Times New Roman;Times;serif" w:hAnsi="Times New Roman;Times;serif"/>
          <w:sz w:val="20"/>
          <w:shd w:fill="FFFFFF" w:val="clear"/>
        </w:rPr>
        <w:t>The functional currency for the Company’s operations is generally the applicable local currency. Accordingly, the assets and liabilities of companies whose functional currency is other than the U.S. dollar are included in the consolidated financial statements by translating the assets and liabilities into the U.S. dollar at the exchange rates applicable at the end of the reporting period. Translation gains or losses are accumulated in other comprehensive income (loss) in the consolidated statements of shareholders’ equity and are also included in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Liquidity and Capital Resources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As of March 31, 2025, we ha</w:t>
      </w:r>
      <w:r>
        <w:rPr>
          <w:rFonts w:ascii="Times New Roman;Times;serif" w:hAnsi="Times New Roman;Times;serif"/>
          <w:sz w:val="20"/>
          <w:shd w:fill="FFFFFF" w:val="clear"/>
        </w:rPr>
        <w:t xml:space="preserve">d $29.4 million </w:t>
      </w:r>
      <w:r>
        <w:rPr>
          <w:rFonts w:ascii="Times New Roman;Times;serif" w:hAnsi="Times New Roman;Times;serif"/>
          <w:sz w:val="20"/>
        </w:rPr>
        <w:t>of unused borrowing capacity from all of our loan agreements. As of March 31, 2025, our cash, cash equivalents and restricted cash totale</w:t>
      </w:r>
      <w:r>
        <w:rPr>
          <w:rFonts w:ascii="Times New Roman;Times;serif" w:hAnsi="Times New Roman;Times;serif"/>
          <w:sz w:val="20"/>
          <w:shd w:fill="FFFFFF" w:val="clear"/>
        </w:rPr>
        <w:t xml:space="preserve">d $66.8 million. </w:t>
      </w:r>
      <w:r>
        <w:rPr>
          <w:rFonts w:ascii="Times New Roman;Times;serif" w:hAnsi="Times New Roman;Times;serif"/>
          <w:sz w:val="20"/>
        </w:rPr>
        <w:t>Cash and cash equivalents are held for working capital purposes and are invested primarily in money market or time deposit funds. We do not enter into investments for trading or speculative purposes.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ATM Offerings</w:t>
      </w:r>
    </w:p>
    <w:p>
      <w:pPr>
        <w:pStyle w:val="TextBody"/>
        <w:bidi w:val="0"/>
        <w:spacing w:before="0" w:after="0"/>
        <w:ind w:left="0" w:right="0" w:firstLine="720"/>
        <w:jc w:val="left"/>
        <w:rPr/>
      </w:pPr>
      <w:r>
        <w:rPr/>
        <w:t> </w:t>
      </w:r>
    </w:p>
    <w:p>
      <w:pPr>
        <w:pStyle w:val="TextBody"/>
        <w:bidi w:val="0"/>
        <w:ind w:left="0" w:right="0" w:firstLine="720"/>
        <w:jc w:val="left"/>
        <w:rPr/>
      </w:pPr>
      <w:r>
        <w:rPr>
          <w:rFonts w:ascii="Times New Roman" w:hAnsi="Times New Roman"/>
          <w:sz w:val="20"/>
        </w:rPr>
        <w:t xml:space="preserve">On December 18, 2024, </w:t>
      </w:r>
      <w:r>
        <w:rPr>
          <w:rFonts w:cs="Times New Roman"/>
          <w:szCs w:val="20"/>
        </w:rPr>
        <w:t>﻿</w:t>
      </w:r>
      <w:r>
        <w:rPr>
          <w:rFonts w:ascii="Times New Roman" w:hAnsi="Times New Roman"/>
          <w:sz w:val="20"/>
        </w:rPr>
        <w:t xml:space="preserve">the Company filed an automatic shelf registration statement on Form S-3ASR (Registration File No. 333-283905) (the "Automatic Shelf Registration Statement") with the U.S. Securities and Exchange Commission, which became effective immediately upon filing.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February 28, 2025, we entered into an Equity Distribution Agreement (the "Agreement") with Raymond James &amp; Associates (the "Sales Agent") pursuant to which the Company could issue and sell shares of the Company’s common stock, par value $0.001 per share (the "Shares") having an aggregate offering price of up to $100 million (the "ATM Offering"), from time to time through the Sales Agent. Upon delivery of a placement notice and subject to the terms and conditions of the Agreement, sales of the Shares were made through the Sales Agent in transactions that are deemed to be “at the market” offerings as defined in Rule 415 of the Securities Act of 1933, as amended (the "Securities Act"), including sales made through the facilities of the Nasdaq Global Market, the principal trading market for the Company’s common stock, on any other existing trading market for the Company’s common stock, to or through a market maker or as otherwise agreed by the Company and the Sales Agent. In the placement notice, the Company would designate the maximum number of Shares to be sold through the Sales Agent, the time period during which sales were requested to be made, the minimum price for the Shares to be sold, and any limitation on the number of Shares that could be sold in any one day. Subject to the terms and conditions of the Agreement, the Sales Agent would use its commercially reasonable efforts to sell Shares on the Company’s behalf up to the designated amount specified in the placement notice.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Agreement provided that the Sales Agent would be entitled to compensation of up to 2% of the gross sales price of the Shares sold through the Sales Agent from time to time. The Company also agreed to reimburse the Sales Agent for certain specified expenses in connection with the registration of Shares under state blue sky laws and any filing with, and clearance of the offering by, the Financial Industry Regulatory Authority Inc., not to exceed $10,000 in the aggregate, and any associated application fees incurred. The Company agreed to indemnify the Sales Agent against certain liabilities, including liabilities under the Securities Act, or to contribute to payments that the Sales Agent could be required to make because of any of those liabilities.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color w:val="000000"/>
          <w:sz w:val="20"/>
          <w:shd w:fill="FFFFFF" w:val="clear"/>
        </w:rPr>
      </w:pPr>
      <w:r>
        <w:rPr>
          <w:rFonts w:ascii="Times New Roman;Times;serif" w:hAnsi="Times New Roman;Times;serif"/>
          <w:color w:val="000000"/>
          <w:sz w:val="20"/>
          <w:shd w:fill="FFFFFF" w:val="clear"/>
        </w:rPr>
        <w:t>The details of the shares of common stock sold through the ATM Offering as of the end of March 31, 2025 are as follows (in thousands, except shares and weighted average per share price):</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28" w:type="dxa"/>
          <w:right w:w="0" w:type="dxa"/>
        </w:tblCellMar>
      </w:tblPr>
      <w:tblGrid>
        <w:gridCol w:w="1821"/>
        <w:gridCol w:w="60"/>
        <w:gridCol w:w="754"/>
        <w:gridCol w:w="60"/>
        <w:gridCol w:w="88"/>
        <w:gridCol w:w="1250"/>
        <w:gridCol w:w="60"/>
        <w:gridCol w:w="60"/>
        <w:gridCol w:w="351"/>
        <w:gridCol w:w="1364"/>
        <w:gridCol w:w="60"/>
        <w:gridCol w:w="60"/>
        <w:gridCol w:w="175"/>
        <w:gridCol w:w="831"/>
        <w:gridCol w:w="60"/>
        <w:gridCol w:w="60"/>
        <w:gridCol w:w="406"/>
        <w:gridCol w:w="1578"/>
        <w:gridCol w:w="60"/>
        <w:gridCol w:w="60"/>
        <w:gridCol w:w="160"/>
        <w:gridCol w:w="760"/>
        <w:gridCol w:w="67"/>
      </w:tblGrid>
      <w:tr>
        <w:trPr/>
        <w:tc>
          <w:tcPr>
            <w:tcW w:w="1821"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Distribution Agent</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754"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b/>
                <w:caps w:val="false"/>
                <w:smallCaps w:val="false"/>
                <w:sz w:val="20"/>
              </w:rPr>
            </w:pPr>
            <w:r>
              <w:rPr>
                <w:rFonts w:ascii="Times New Roman;Times;serif" w:hAnsi="Times New Roman;Times;serif"/>
                <w:b/>
                <w:caps w:val="false"/>
                <w:smallCaps w:val="false"/>
                <w:sz w:val="20"/>
              </w:rPr>
              <w:t>Month</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338"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Shares Sold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1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 Average Per Share Price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06"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Gross Proceeds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984"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Compensation to Distribution Agent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Proceeds</w:t>
            </w:r>
          </w:p>
        </w:tc>
        <w:tc>
          <w:tcPr>
            <w:tcW w:w="67" w:type="dxa"/>
            <w:tcBorders/>
            <w:shd w:fill="FFFFFF" w:val="clear"/>
            <w:tcMar>
              <w:bottom w:w="0" w:type="dxa"/>
            </w:tcMar>
            <w:vAlign w:val="center"/>
          </w:tcPr>
          <w:p>
            <w:pPr>
              <w:pStyle w:val="TableContents"/>
              <w:bidi w:val="0"/>
              <w:spacing w:before="0" w:after="283"/>
              <w:jc w:val="left"/>
              <w:rPr/>
            </w:pPr>
            <w:r>
              <w:rPr/>
              <w:t> </w:t>
            </w:r>
          </w:p>
        </w:tc>
      </w:tr>
      <w:tr>
        <w:trPr/>
        <w:tc>
          <w:tcPr>
            <w:tcW w:w="182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Raymond James &amp; Associates, Inc.</w:t>
            </w:r>
          </w:p>
        </w:tc>
        <w:tc>
          <w:tcPr>
            <w:tcW w:w="60" w:type="dxa"/>
            <w:tcBorders/>
            <w:shd w:fill="CCEEFF" w:val="clear"/>
            <w:tcMar>
              <w:bottom w:w="0" w:type="dxa"/>
            </w:tcMar>
            <w:vAlign w:val="center"/>
          </w:tcPr>
          <w:p>
            <w:pPr>
              <w:pStyle w:val="TableContents"/>
              <w:bidi w:val="0"/>
              <w:spacing w:before="0" w:after="283"/>
              <w:ind w:left="0" w:right="0" w:hanging="0"/>
              <w:jc w:val="right"/>
              <w:rPr/>
            </w:pPr>
            <w:r>
              <w:rPr/>
              <w:t> </w:t>
            </w:r>
          </w:p>
        </w:tc>
        <w:tc>
          <w:tcPr>
            <w:tcW w:w="754"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March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8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25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3,535,650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351"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64"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75"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73,219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406"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78"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71,755</w:t>
            </w:r>
          </w:p>
        </w:tc>
        <w:tc>
          <w:tcPr>
            <w:tcW w:w="67" w:type="dxa"/>
            <w:tcBorders/>
            <w:shd w:fill="CCEEFF" w:val="clear"/>
            <w:tcMar>
              <w:bottom w:w="0" w:type="dxa"/>
            </w:tcMar>
            <w:vAlign w:val="center"/>
          </w:tcPr>
          <w:p>
            <w:pPr>
              <w:pStyle w:val="TableContents"/>
              <w:bidi w:val="0"/>
              <w:spacing w:before="0" w:after="283"/>
              <w:jc w:val="left"/>
              <w:rPr/>
            </w:pPr>
            <w:r>
              <w:rPr/>
              <w:t> </w:t>
            </w:r>
          </w:p>
        </w:tc>
      </w:tr>
      <w:tr>
        <w:trPr/>
        <w:tc>
          <w:tcPr>
            <w:tcW w:w="2635" w:type="dxa"/>
            <w:gridSpan w:val="3"/>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88"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25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3,535,650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51" w:type="dxa"/>
            <w:tcBorders/>
            <w:shd w:fill="FFFFFF" w:val="clear"/>
            <w:tcMar>
              <w:bottom w:w="0" w:type="dxa"/>
            </w:tcMar>
            <w:vAlign w:val="center"/>
          </w:tcPr>
          <w:p>
            <w:pPr>
              <w:pStyle w:val="TableContents"/>
              <w:bidi w:val="0"/>
              <w:spacing w:before="0" w:after="283"/>
              <w:jc w:val="left"/>
              <w:rPr/>
            </w:pPr>
            <w:r>
              <w:rPr/>
              <w:t> </w:t>
            </w:r>
          </w:p>
        </w:tc>
        <w:tc>
          <w:tcPr>
            <w:tcW w:w="1364"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75"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73,219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406"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78"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71,755</w:t>
            </w:r>
          </w:p>
        </w:tc>
        <w:tc>
          <w:tcPr>
            <w:tcW w:w="6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On April 8, 2025, the Company completed the ATM Offering and sold approximately 5.7 million shares at a weighted average price of $17.71 per share, providing proceeds of approximately $98 million, net of expenses and underwriting discounts and commissions.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Note Offerings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December 5, 2023, the Company issued $80.2 million of 5.25% convertible senior notes due 2026 (the "2026 Notes"), bearing interest at a rate of 5.25% per year maturing on December 5, 2026, unless earlier repurchased, redeemed or converted in accordance with their terms. The sale of the 2026 Notes generated net proceeds of $76.2 million, after expenses.  Also, refer to Note 12 "Convertible Senior Notes" to the consolidated financial statements for further discussion of the 2026 Notes.</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December 23, 2024, the Company issued approximately $125.0 million aggregate principal amount of 2.750% convertible senior notes due 2030 (the “2030 Notes"), and on the same day consummated various separate, privately negotiated exchange agreements with certain holders of its 2026 Notes to exchange approximately $76.6 million principal amount of the 2026 Notes for aggregate consideration consisting of (i) $125.0 million aggregate principal amount of the 2030 Notes, (ii) 1,487,874 shares of the Company's common stock, par value $0.001 per share and (iii) approximately $0.9 million of cash in aggregate. Also, refer to Note 12 "Convertible Senior Notes" to the consolidated financial statements for further discussion of the 2030 Notes.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Operating activities</w:t>
      </w:r>
    </w:p>
    <w:p>
      <w:pPr>
        <w:pStyle w:val="TextBody"/>
        <w:bidi w:val="0"/>
        <w:spacing w:before="0" w:after="0"/>
        <w:ind w:left="0" w:right="0" w:firstLine="18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table below sets forth selected cash flow data for the periods presented (in thousands):</w:t>
      </w:r>
    </w:p>
    <w:p>
      <w:pPr>
        <w:pStyle w:val="TextBody"/>
        <w:bidi w:val="0"/>
        <w:spacing w:before="0" w:after="0"/>
        <w:ind w:left="0" w:right="0" w:firstLine="720"/>
        <w:jc w:val="left"/>
        <w:rPr/>
      </w:pPr>
      <w:r>
        <w:rPr/>
        <w:t>​</w:t>
      </w:r>
    </w:p>
    <w:tbl>
      <w:tblPr>
        <w:tblW w:w="7137" w:type="dxa"/>
        <w:jc w:val="left"/>
        <w:tblInd w:w="0" w:type="dxa"/>
        <w:tblLayout w:type="fixed"/>
        <w:tblCellMar>
          <w:top w:w="0" w:type="dxa"/>
          <w:left w:w="0" w:type="dxa"/>
          <w:bottom w:w="0" w:type="dxa"/>
          <w:right w:w="0" w:type="dxa"/>
        </w:tblCellMar>
      </w:tblPr>
      <w:tblGrid>
        <w:gridCol w:w="4355"/>
        <w:gridCol w:w="60"/>
        <w:gridCol w:w="195"/>
        <w:gridCol w:w="1017"/>
        <w:gridCol w:w="125"/>
        <w:gridCol w:w="93"/>
        <w:gridCol w:w="195"/>
        <w:gridCol w:w="1017"/>
        <w:gridCol w:w="80"/>
      </w:tblGrid>
      <w:tr>
        <w:trPr/>
        <w:tc>
          <w:tcPr>
            <w:tcW w:w="43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4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FFFFFF" w:val="clear"/>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25"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ind w:left="0" w:right="0" w:hanging="0"/>
              <w:jc w:val="left"/>
              <w:rPr/>
            </w:pPr>
            <w:r>
              <w:rPr/>
              <w:t> </w:t>
            </w:r>
          </w:p>
        </w:tc>
        <w:tc>
          <w:tcPr>
            <w:tcW w:w="12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(50,915</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ind w:left="0" w:right="0" w:hanging="0"/>
              <w:jc w:val="left"/>
              <w:rPr/>
            </w:pPr>
            <w:r>
              <w:rPr/>
              <w:t> </w:t>
            </w:r>
          </w:p>
        </w:tc>
        <w:tc>
          <w:tcPr>
            <w:tcW w:w="1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(28,481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(36,301</w:t>
            </w:r>
          </w:p>
        </w:tc>
        <w:tc>
          <w:tcPr>
            <w:tcW w:w="12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FFFFFF" w:val="clear"/>
            <w:vAlign w:val="center"/>
          </w:tcPr>
          <w:p>
            <w:pPr>
              <w:pStyle w:val="TableContents"/>
              <w:bidi w:val="0"/>
              <w:spacing w:before="0" w:after="283"/>
              <w:jc w:val="left"/>
              <w:rPr/>
            </w:pPr>
            <w:r>
              <w:rPr/>
              <w:t> </w:t>
            </w:r>
          </w:p>
        </w:tc>
        <w:tc>
          <w:tcPr>
            <w:tcW w:w="195" w:type="dxa"/>
            <w:tcBorders/>
            <w:shd w:fill="FFFFFF" w:val="clear"/>
            <w:vAlign w:val="center"/>
          </w:tcPr>
          <w:p>
            <w:pPr>
              <w:pStyle w:val="TableContents"/>
              <w:bidi w:val="0"/>
              <w:spacing w:before="0" w:after="283"/>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70,015</w:t>
            </w:r>
          </w:p>
        </w:tc>
        <w:tc>
          <w:tcPr>
            <w:tcW w:w="125" w:type="dxa"/>
            <w:tcBorders/>
            <w:shd w:fill="CCEEFF" w:val="clear"/>
            <w:vAlign w:val="center"/>
          </w:tcPr>
          <w:p>
            <w:pPr>
              <w:pStyle w:val="TableContents"/>
              <w:bidi w:val="0"/>
              <w:spacing w:before="0" w:after="283"/>
              <w:jc w:val="left"/>
              <w:rPr/>
            </w:pPr>
            <w:r>
              <w:rPr/>
              <w:t> </w:t>
            </w:r>
          </w:p>
        </w:tc>
        <w:tc>
          <w:tcPr>
            <w:tcW w:w="93" w:type="dxa"/>
            <w:tcBorders/>
            <w:shd w:fill="CCEEFF" w:val="clear"/>
            <w:vAlign w:val="center"/>
          </w:tcPr>
          <w:p>
            <w:pPr>
              <w:pStyle w:val="TableContents"/>
              <w:bidi w:val="0"/>
              <w:spacing w:before="0" w:after="283"/>
              <w:jc w:val="left"/>
              <w:rPr/>
            </w:pPr>
            <w:r>
              <w:rPr/>
              <w:t> </w:t>
            </w:r>
          </w:p>
        </w:tc>
        <w:tc>
          <w:tcPr>
            <w:tcW w:w="195" w:type="dxa"/>
            <w:tcBorders/>
            <w:shd w:fill="CCEEFF" w:val="clear"/>
            <w:vAlign w:val="center"/>
          </w:tcPr>
          <w:p>
            <w:pPr>
              <w:pStyle w:val="TableContents"/>
              <w:bidi w:val="0"/>
              <w:spacing w:before="0" w:after="283"/>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rates on cash and cash equivalents</w:t>
            </w:r>
          </w:p>
        </w:tc>
        <w:tc>
          <w:tcPr>
            <w:tcW w:w="60"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4,880</w:t>
            </w:r>
          </w:p>
        </w:tc>
        <w:tc>
          <w:tcPr>
            <w:tcW w:w="125" w:type="dxa"/>
            <w:tcBorders/>
            <w:shd w:fill="FFFFFF" w:val="clear"/>
            <w:vAlign w:val="center"/>
          </w:tcPr>
          <w:p>
            <w:pPr>
              <w:pStyle w:val="TableContents"/>
              <w:bidi w:val="0"/>
              <w:spacing w:before="0" w:after="283"/>
              <w:jc w:val="left"/>
              <w:rPr/>
            </w:pPr>
            <w:r>
              <w:rPr/>
              <w:t> </w:t>
            </w:r>
          </w:p>
        </w:tc>
        <w:tc>
          <w:tcPr>
            <w:tcW w:w="93" w:type="dxa"/>
            <w:tcBorders/>
            <w:shd w:fill="FFFFFF" w:val="clear"/>
            <w:vAlign w:val="center"/>
          </w:tcPr>
          <w:p>
            <w:pPr>
              <w:pStyle w:val="TableContents"/>
              <w:bidi w:val="0"/>
              <w:spacing w:before="0" w:after="283"/>
              <w:jc w:val="left"/>
              <w:rPr/>
            </w:pPr>
            <w:r>
              <w:rPr/>
              <w:t> </w:t>
            </w:r>
          </w:p>
        </w:tc>
        <w:tc>
          <w:tcPr>
            <w:tcW w:w="1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80" w:type="dxa"/>
            <w:tcBorders/>
            <w:shd w:fill="FFFFFF" w:val="clear"/>
            <w:vAlign w:val="center"/>
          </w:tcPr>
          <w:p>
            <w:pPr>
              <w:pStyle w:val="TableContents"/>
              <w:bidi w:val="0"/>
              <w:spacing w:before="0" w:after="283"/>
              <w:jc w:val="left"/>
              <w:rPr/>
            </w:pPr>
            <w:r>
              <w:rPr/>
              <w:t> </w:t>
            </w:r>
          </w:p>
        </w:tc>
      </w:tr>
      <w:tr>
        <w:trPr/>
        <w:tc>
          <w:tcPr>
            <w:tcW w:w="4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(12,321</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3" w:type="dxa"/>
            <w:tcBorders/>
            <w:shd w:fill="CCEEFF" w:val="clear"/>
            <w:vAlign w:val="center"/>
          </w:tcPr>
          <w:p>
            <w:pPr>
              <w:pStyle w:val="TableContents"/>
              <w:bidi w:val="0"/>
              <w:spacing w:before="0" w:after="283"/>
              <w:ind w:left="0" w:right="0" w:hanging="0"/>
              <w:jc w:val="left"/>
              <w:rPr/>
            </w:pPr>
            <w:r>
              <w:rPr/>
              <w:t> </w:t>
            </w:r>
          </w:p>
        </w:tc>
        <w:tc>
          <w:tcPr>
            <w:tcW w:w="1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r>
        <w:rPr>
          <w:shd w:fill="FFFF00" w:val="clear"/>
        </w:rPr>
        <w:t>​</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For the three months ended March 31, 2025, net cash used in operating activities was $50.9 million. Net cash used in operating activities consisted of our net loss of $9.2 million after exclusion of non-cash items of $10.2 million. Cash decreased due to accounts receivable increase of $54.3 million and inventory increase of $16.2 million, partially offset by accounts payable increase of $19.9 million.  </w:t>
      </w:r>
    </w:p>
    <w:p>
      <w:pPr>
        <w:pStyle w:val="TextBody"/>
        <w:bidi w:val="0"/>
        <w:spacing w:before="0" w:after="0"/>
        <w:ind w:left="0" w:right="0" w:firstLine="540"/>
        <w:jc w:val="left"/>
        <w:rPr/>
      </w:pPr>
      <w:r>
        <w:rPr/>
        <w:t> </w:t>
      </w:r>
    </w:p>
    <w:p>
      <w:pPr>
        <w:pStyle w:val="TextBody"/>
        <w:bidi w:val="0"/>
        <w:spacing w:before="0" w:after="0"/>
        <w:ind w:left="0" w:right="0" w:hanging="0"/>
        <w:jc w:val="left"/>
        <w:rPr>
          <w:rFonts w:ascii="Times New Roman;Times;serif" w:hAnsi="Times New Roman;Times;serif"/>
          <w:i/>
          <w:color w:val="000000"/>
          <w:sz w:val="20"/>
          <w:shd w:fill="FFFFFF" w:val="clear"/>
        </w:rPr>
      </w:pPr>
      <w:r>
        <w:rPr>
          <w:rFonts w:ascii="Times New Roman;Times;serif" w:hAnsi="Times New Roman;Times;serif"/>
          <w:i/>
          <w:color w:val="000000"/>
          <w:sz w:val="20"/>
          <w:shd w:fill="FFFFFF" w:val="clear"/>
        </w:rPr>
        <w:t>Investing activities</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2025, net cash used in investing activities was $36.3 million, mainly for the purchase of additional plant, machinery and equipment.</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Financing activities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the three months ended March 31, 2025, net cash provided by financing activities was $70.0 million. This increase was due to the net proceeds of $71.7 million from the ATM Offering,  partially offset by tax payments related share-based compensation of $1.7 million.</w:t>
      </w:r>
    </w:p>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Loans and commitments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Currently, in the U.S., we do not have a bank loan agreement with any U.S. financial institution. However, we may explore lending opportunities in the U.S. in the future. In China, w</w:t>
      </w:r>
      <w:r>
        <w:rPr>
          <w:rFonts w:ascii="Times New Roman;Times;serif" w:hAnsi="Times New Roman;Times;serif"/>
          <w:sz w:val="20"/>
          <w:shd w:fill="FFFFFF" w:val="clear"/>
        </w:rPr>
        <w:t xml:space="preserve">e have lending arrangements with two financial institutions. As of </w:t>
      </w:r>
      <w:r>
        <w:rPr>
          <w:rFonts w:ascii="Times New Roman;Times;serif" w:hAnsi="Times New Roman;Times;serif"/>
          <w:sz w:val="20"/>
        </w:rPr>
        <w:t>March 31, 2025</w:t>
      </w:r>
      <w:r>
        <w:rPr>
          <w:rFonts w:ascii="Times New Roman;Times;serif" w:hAnsi="Times New Roman;Times;serif"/>
          <w:sz w:val="20"/>
          <w:shd w:fill="FFFFFF" w:val="clear"/>
        </w:rPr>
        <w:t>, we were in compliance with the covenants in the lending arrangements. </w:t>
      </w:r>
      <w:r>
        <w:rPr>
          <w:rFonts w:ascii="Times New Roman;Times;serif" w:hAnsi="Times New Roman;Times;serif"/>
          <w:color w:val="333333"/>
          <w:sz w:val="20"/>
          <w:shd w:fill="FFFFFF" w:val="clear"/>
        </w:rPr>
        <w:t xml:space="preserve">As of </w:t>
      </w:r>
      <w:r>
        <w:rPr>
          <w:rFonts w:ascii="Times New Roman;Times;serif" w:hAnsi="Times New Roman;Times;serif"/>
          <w:sz w:val="20"/>
        </w:rPr>
        <w:t>March 31, 2025</w:t>
      </w:r>
      <w:r>
        <w:rPr>
          <w:rFonts w:ascii="Times New Roman;Times;serif" w:hAnsi="Times New Roman;Times;serif"/>
          <w:color w:val="333333"/>
          <w:sz w:val="20"/>
          <w:shd w:fill="FFFFFF" w:val="clear"/>
        </w:rPr>
        <w:t>, we had $29.4 million of unused borrowing capacity.</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December 5, 2023, we issued $80.2 million of 5.25% convertible senior notes due in 2026. The 2026 Notes mature on December 5, 2026, unless earlier repurchased, redeemed or converted in accordance with their terms. As of March 31, 2025, the outstanding principal amount remaining on the 2026 Notes is $3.5 million.</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On December 23, 2024, the Company issued $125.0 million of 2.75% convertible senior notes due 2030. The 2030 Notes will mature on January 15, 2030, unless earlier repurchased, redeemed or converted in accordance with their terms.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See Note 11 "Notes Payable and Long-term Debt" and Note 12 "Convertible Senior Notes" of our Condensed Consolidated Financial Statements for a description of our notes payable and long-term debt and convertible senior notes.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i/>
          <w:sz w:val="20"/>
          <w:shd w:fill="FFFFFF" w:val="clear"/>
        </w:rPr>
      </w:pPr>
      <w:r>
        <w:rPr>
          <w:rFonts w:ascii="Times New Roman;Times;serif" w:hAnsi="Times New Roman;Times;serif"/>
          <w:i/>
          <w:sz w:val="20"/>
          <w:shd w:fill="FFFFFF" w:val="clear"/>
        </w:rPr>
        <w:t>China factory construction</w:t>
      </w:r>
    </w:p>
    <w:p>
      <w:pPr>
        <w:pStyle w:val="TextBody"/>
        <w:bidi w:val="0"/>
        <w:spacing w:before="0" w:after="0"/>
        <w:ind w:left="0" w:right="0" w:hanging="0"/>
        <w:jc w:val="left"/>
        <w:rPr>
          <w:shd w:fill="FFFFFF" w:val="clear"/>
        </w:rPr>
      </w:pPr>
      <w:r>
        <w:rPr>
          <w:shd w:fill="FFFFFF" w:val="clear"/>
        </w:rPr>
        <w:t>​</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February 8, 2018, we entered into a construction contract with Zhejiang Xinyu Construction Group Co., Ltd. for the construction of a new factory and other facilities at our Ningbo, China location. Construction costs for these facilities under this contract are estimated to total approximately $27.5 million. As of March 31, 2025, construction of the building shell is complete, and approximately $27.4 million of this total cost has been paid and the remaining portion will be paid in yearly installments for three years after final inspection. We anticipate additional expenses for building improvements to the factory and we are in the process of evaluating the timing of these expenditures and obtaining bids for any such work. Based on forecasts, we believe the factory will be placed in full service in the year 2025 after the construction is completed for the building interior work. Property has been transferred from construction in progress to building and improvement in 2024.</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On March 13, 2025, we issued a warrant (the "Customer Warrant") to an Amazon affiliate (“Warrant Holder”) to purchase up to an aggregate of 7,945,399 shares of the Company's common stock ("Warrant Shares") at an exercise price of $23.6956 per share. The Customer Warrant has a contractual term of 10 years. At the time of issuance, the Customer Warrant is exercisable to purchase 1,324,233 Warrant Shares. The remaining 6,621,166 Warrant Shares may vest over the next 10 years, dependent on aggregate purchases by Amazon of $4 billion of our products over this time period.</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Future liquidity needs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We had cash, cash equivalents and restricted cash of $66.8 million as of March 31, 2025, a decrease of approximately $12.3 million compared to December 31, 2024. Our future capital requirements will depend on many factors including our growth rate, the timing and extent of spending to support our research and development efforts, the expansion of our sales and marketing activities, the introduction of new and enhanced products, the building improvement of a new factory in Taiwan or U.S., changes in our manufacturing capacity and the continuing market acceptance of our products.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 xml:space="preserve">As of March 31, 2025, we </w:t>
      </w:r>
      <w:r>
        <w:rPr>
          <w:rFonts w:ascii="Times New Roman;Times;serif" w:hAnsi="Times New Roman;Times;serif"/>
          <w:color w:val="000000"/>
          <w:sz w:val="20"/>
        </w:rPr>
        <w:t>had a total loan balance (excluding convertible notes) of $22.1 million from</w:t>
      </w:r>
      <w:r>
        <w:rPr>
          <w:rFonts w:ascii="Times New Roman;Times;serif" w:hAnsi="Times New Roman;Times;serif"/>
          <w:sz w:val="20"/>
        </w:rPr>
        <w:t xml:space="preserve"> various lenders in China and had $29.4 million available borrowing capacity on existing credit lines. Should additional liquidity be needed, our Board may authorize issuance of additional common stock under an at-the-market offering in the future (see the discussion of "Liquidity and Capital Resources" in Item 2).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the event we need additional liquidity, we will explore additional sources of liquidity. These additional sources of liquidity could include one, or a combination, of the following: (i) issuing equity or debt securities, (ii) incurring indebtedness secured by our assets and (iii) selling product lines, other assets and/or portions of our business. There can be no guarantee that we will be able to raise additional funds on terms acceptable to us, or at all.</w:t>
      </w:r>
    </w:p>
    <w:p>
      <w:pPr>
        <w:pStyle w:val="TextBody"/>
        <w:bidi w:val="0"/>
        <w:spacing w:before="0" w:after="0"/>
        <w:ind w:left="0" w:right="0" w:firstLine="360"/>
        <w:jc w:val="left"/>
        <w:rPr/>
      </w:pPr>
      <w:r>
        <w:rPr/>
        <w:t> </w:t>
      </w:r>
    </w:p>
    <w:p>
      <w:pPr>
        <w:pStyle w:val="TextBody"/>
        <w:bidi w:val="0"/>
        <w:spacing w:before="0" w:after="0"/>
        <w:ind w:left="160" w:right="0" w:hanging="180"/>
        <w:jc w:val="left"/>
        <w:rPr>
          <w:rFonts w:ascii="Times New Roman" w:hAnsi="Times New Roman"/>
          <w:b/>
          <w:caps w:val="false"/>
          <w:smallCaps w:val="false"/>
          <w:sz w:val="20"/>
        </w:rPr>
      </w:pPr>
      <w:r>
        <w:rPr>
          <w:rFonts w:ascii="Times New Roman" w:hAnsi="Times New Roman"/>
          <w:b/>
          <w:caps w:val="false"/>
          <w:smallCaps w:val="false"/>
          <w:sz w:val="20"/>
        </w:rPr>
        <w:t>Contractual Obligations and Commitments</w:t>
      </w:r>
    </w:p>
    <w:p>
      <w:pPr>
        <w:pStyle w:val="TextBody"/>
        <w:bidi w:val="0"/>
        <w:spacing w:before="0" w:after="0"/>
        <w:ind w:left="160" w:right="0" w:hanging="18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Please refer to Item 7 "Management's Discussion and Analysis of Financial Condition and Results of Operations" in the Company's Annual Report on Form 10-K for the fiscal year ended December 31, 2024 for a complete discussion of its contractual obligations and commitments.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Inflation</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annual inflation rate in the US came down to 2.9% in 2024, compared to 3.4% in 2023. Even though inflation has slowed from the peak, it remained well above the Federal Reserve's objective of 2%. The annual inflation rate in Taiwan came down to 2.1% in 2024 from 2.7% in 2023. The cost of inflation was reflected in increases in shipping costs, labor rates, and in costs of some raw materials. We believe these decreases are related to the supply chain pressure easing and decreasing commodity prices, however the labor market is still tight, and the wage pressure is still high. Compared to other major economies in the world, China has a stable level of inflation, which has not had a significant impact on our sales or operating results. We do not believe that inflation had a material impact on our business, financial condition, or results of operations during the three months ended March 31, 2025. However, there is no guarantee that we may increase selling prices or reduce costs to fully mitigate the effect of inflation on our costs, which may adversely impact our sales margins and profitability.</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Critical Accounting Policies and Estimates</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our Annual Report for the year ended December 31, 2024 and in the Notes to the Financial Statements herein, we identify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allowance for credit losses, inventory reserves, impairment of long-lived assets, service and product warranties, share based compensation expense, estimated useful lives of property and equipment,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2" w:name="item3"/>
      <w:bookmarkEnd w:id="12"/>
      <w:r>
        <w:rPr>
          <w:rFonts w:ascii="Times New Roman;Times;serif" w:hAnsi="Times New Roman;Times;serif"/>
          <w:b/>
          <w:sz w:val="20"/>
        </w:rPr>
        <w:t>Item 3.   Quantitative and Qualitative Disclosures about Market Risk</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For quantitative and qualitative disclosures about market risk affecting the Company, see Item 7A – Quantitative and Qualitative Disclosures about Market Risk in our Annual Report for the fiscal year ended December 31, 2024. We do not believe the Company’s exposure to market risk has changed materially since December 31, 2024.</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We are affected by changes in currency exchange and interest rates. Our risk management programs are designed to reduce, but may not entirely eliminate, the impacts of these risks. We performed an evaluation of these risks to our financial positions as of December 31, 2024, and updated that analysis as of March 31, 2025, to determine whether material changes in market risks pertaining to currency and interest rates have occurred as a result of the changes in international trade policies, including tariffs and export controls. No material revisions were noted since disclosing "Quantitative and Qualitative Disclosures About Market Risk" within MD&amp;A, in our 2024 Form 10-K. Risks related to changes in international trade policies, including tariffs and export controls, particularly those involving the United States and China are described under “Risk Factors.”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bookmarkStart w:id="13" w:name="item4"/>
      <w:bookmarkEnd w:id="13"/>
      <w:r>
        <w:rPr>
          <w:rFonts w:ascii="Times New Roman;Times;serif" w:hAnsi="Times New Roman;Times;serif"/>
          <w:b/>
          <w:sz w:val="20"/>
        </w:rPr>
        <w:t>Item 4.   Controls and Procedures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Our disclosure controls and procedures are designed to provide reasonable assurance of achieving their control objectives.</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Our management, with the participation of our Chief Executive Officer and Chief Financial Officer, evaluated the effectiveness of our disclosure controls and procedures as of March 31, 2025. Based upon that evaluation, our Chief Executive Officer and Chief Financial Officer concluded that, as of the end of the period covered by this report, our disclosure controls and procedures were effective.</w:t>
      </w:r>
    </w:p>
    <w:p>
      <w:pPr>
        <w:pStyle w:val="TextBody"/>
        <w:bidi w:val="0"/>
        <w:spacing w:before="0" w:after="0"/>
        <w:ind w:left="0" w:right="0" w:firstLine="72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Changes in Internal Control over Financial Reporting</w:t>
      </w:r>
    </w:p>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There were no changes in our internal control over financial reporting during the three month period covered by this Quarterly Report on Form 10-Q, which were identified in connection with management’s evaluation required by the Rules 13a-15(d) and 15d-15(d) under the Exchange Act that occurred during our last fiscal quarter that has materially affected, or is reasonably likely to materially affect, our internal control over financial reporting.</w:t>
      </w:r>
    </w:p>
    <w:p>
      <w:pPr>
        <w:pStyle w:val="TextBody"/>
        <w:bidi w:val="0"/>
        <w:spacing w:before="0" w:after="0"/>
        <w:ind w:left="0" w:right="0" w:firstLine="720"/>
        <w:jc w:val="left"/>
        <w:rPr/>
      </w:pPr>
      <w:r>
        <w:rPr/>
        <w:t> </w:t>
      </w:r>
    </w:p>
    <w:p>
      <w:pPr>
        <w:pStyle w:val="TextBody"/>
        <w:bidi w:val="0"/>
        <w:spacing w:before="0" w:after="0"/>
        <w:ind w:left="0" w:right="0" w:firstLine="720"/>
        <w:jc w:val="center"/>
        <w:rPr>
          <w:rFonts w:ascii="Times New Roman;Times;serif" w:hAnsi="Times New Roman;Times;serif"/>
          <w:b/>
          <w:sz w:val="20"/>
        </w:rPr>
      </w:pPr>
      <w:bookmarkStart w:id="14" w:name="part2"/>
      <w:bookmarkEnd w:id="14"/>
      <w:r>
        <w:rPr>
          <w:rFonts w:ascii="Times New Roman;Times;serif" w:hAnsi="Times New Roman;Times;serif"/>
          <w:b/>
          <w:sz w:val="20"/>
        </w:rPr>
        <w:t>Part II. Other Information</w:t>
      </w:r>
    </w:p>
    <w:p>
      <w:pPr>
        <w:pStyle w:val="TextBody"/>
        <w:bidi w:val="0"/>
        <w:spacing w:before="0" w:after="283"/>
        <w:jc w:val="left"/>
        <w:rPr/>
      </w:pPr>
      <w:r>
        <w:rPr/>
        <w:t>​</w:t>
      </w:r>
    </w:p>
    <w:p>
      <w:pPr>
        <w:pStyle w:val="TextBody"/>
        <w:bidi w:val="0"/>
        <w:spacing w:before="0" w:after="0"/>
        <w:ind w:left="0" w:right="0" w:hanging="0"/>
        <w:jc w:val="left"/>
        <w:rPr>
          <w:rFonts w:ascii="Times New Roman;Times;serif" w:hAnsi="Times New Roman;Times;serif"/>
          <w:b/>
          <w:sz w:val="20"/>
        </w:rPr>
      </w:pPr>
      <w:bookmarkStart w:id="15" w:name="legal"/>
      <w:bookmarkEnd w:id="15"/>
      <w:r>
        <w:rPr>
          <w:rFonts w:ascii="Times New Roman;Times;serif" w:hAnsi="Times New Roman;Times;serif"/>
          <w:b/>
          <w:sz w:val="20"/>
        </w:rPr>
        <w:t>Item 1.   Legal Proceedings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Information with respect to legal proceedings can be found in Note 18 to the Condensed Consolidated Financial Statements contained in Part 1, Item 1 of this report.</w:t>
      </w:r>
    </w:p>
    <w:p>
      <w:pPr>
        <w:pStyle w:val="TextBody"/>
        <w:bidi w:val="0"/>
        <w:spacing w:before="0" w:after="0"/>
        <w:ind w:left="0" w:right="0" w:firstLine="720"/>
        <w:jc w:val="left"/>
        <w:rPr/>
      </w:pPr>
      <w:r>
        <w:rPr/>
        <w:t> </w:t>
      </w:r>
    </w:p>
    <w:p>
      <w:pPr>
        <w:pStyle w:val="TextBody"/>
        <w:bidi w:val="0"/>
        <w:spacing w:before="0" w:after="0"/>
        <w:ind w:left="0" w:right="0" w:hanging="0"/>
        <w:jc w:val="left"/>
        <w:rPr>
          <w:rFonts w:ascii="Times New Roman;Times;serif" w:hAnsi="Times New Roman;Times;serif"/>
          <w:b/>
          <w:sz w:val="20"/>
        </w:rPr>
      </w:pPr>
      <w:bookmarkStart w:id="16" w:name="risk"/>
      <w:bookmarkEnd w:id="16"/>
      <w:r>
        <w:rPr>
          <w:rFonts w:ascii="Times New Roman;Times;serif" w:hAnsi="Times New Roman;Times;serif"/>
          <w:b/>
          <w:sz w:val="20"/>
        </w:rPr>
        <w:t>Item 1A.  Risk Factors</w:t>
      </w:r>
    </w:p>
    <w:p>
      <w:pPr>
        <w:pStyle w:val="TextBody"/>
        <w:bidi w:val="0"/>
        <w:spacing w:before="0" w:after="0"/>
        <w:ind w:left="0" w:right="0" w:hanging="0"/>
        <w:jc w:val="left"/>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Investing in our common stock involves a high degree of risk. See Part I, Item 1A, Risk Factors, of our Annual Report on Form 10-K for the year ended</w:t>
      </w:r>
      <w:r>
        <w:rPr>
          <w:rFonts w:ascii="Times New Roman;Times;serif" w:hAnsi="Times New Roman;Times;serif"/>
          <w:sz w:val="20"/>
          <w:shd w:fill="FFFFFF" w:val="clear"/>
        </w:rPr>
        <w:t xml:space="preserve"> December 31, 2024 f</w:t>
      </w:r>
      <w:r>
        <w:rPr>
          <w:rFonts w:ascii="Times New Roman;Times;serif" w:hAnsi="Times New Roman;Times;serif"/>
          <w:sz w:val="20"/>
        </w:rPr>
        <w:t>or a detailed discussion of the risk factors affecting our Company. As of March 31, 2025, there have been no material changes to those risk factors, except as described below. </w: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In recent months, the United States and its trading partners have imposed, expanded and revised a wide range of tariffs, reciprocal tariffs, and other trade restrictions—often with minimal notice—disrupting global trade and affecting a wide spectrum of raw materials, components, and finished goods. U.S.-China trade tensions, in particular, have intensified, resulting in elevated tariff rates and signaling the potential for further measures, including those targeting the semiconductor sector.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continuation, escalation, or expansion of tariffs and other trade barriers—as well as heightened geopolitical tensions and increased uncertainty regarding global trade and regulatory policy, particularly involving the United States and China—could adversely affect our business both directly and indirectly, including through impacts on consumer and business confidence, currency and interest rate volatility, commodity and equity markets, inflation, financing conditions, and broader international economic relations. These developments could materially and adversely affect our revenue, operations, financial condition, cost structure, competitiveness, supply chain logistics, product pricing and demand, and profitability, and could also amplify other risks described in our 2024 Form 10-K.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Although we seek to mitigate the effects of these challenges through pricing adjustments, supply chain diversification, and operational efficiencies, we may not be able to fully offset increased costs or secure timely alternative sources. In addition, customers may resist price increases or seek alternative suppliers, which could adversely affect our sales volumes.</w:t>
      </w:r>
    </w:p>
    <w:p>
      <w:pPr>
        <w:pStyle w:val="TextBody"/>
        <w:bidi w:val="0"/>
        <w:spacing w:before="0" w:after="0"/>
        <w:ind w:left="0" w:right="0" w:firstLine="72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bookmarkStart w:id="17" w:name="item5"/>
      <w:bookmarkEnd w:id="17"/>
      <w:r>
        <w:rPr>
          <w:rFonts w:ascii="Times New Roman;Times;serif" w:hAnsi="Times New Roman;Times;serif"/>
          <w:b/>
          <w:sz w:val="20"/>
        </w:rPr>
        <w:t xml:space="preserve">Item </w:t>
      </w:r>
      <w:r>
        <w:rPr>
          <w:rStyle w:val="Emphasis"/>
          <w:rFonts w:ascii="Times New Roman;Times;serif" w:hAnsi="Times New Roman;Times;serif"/>
          <w:b/>
          <w:sz w:val="20"/>
        </w:rPr>
        <w:t>5.</w:t>
      </w:r>
      <w:r>
        <w:rPr>
          <w:rFonts w:ascii="Times New Roman;Times;serif" w:hAnsi="Times New Roman;Times;serif"/>
          <w:b/>
          <w:sz w:val="20"/>
        </w:rPr>
        <w:t xml:space="preserve"> Other Information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(a) </w:t>
      </w:r>
      <w:r>
        <w:rPr>
          <w:rStyle w:val="Emphasis"/>
          <w:rFonts w:ascii="Times New Roman;Times;serif" w:hAnsi="Times New Roman;Times;serif"/>
          <w:sz w:val="20"/>
        </w:rPr>
        <w:t>None</w:t>
      </w:r>
    </w:p>
    <w:p>
      <w:pPr>
        <w:pStyle w:val="TextBody"/>
        <w:bidi w:val="0"/>
        <w:spacing w:before="0" w:after="0"/>
        <w:ind w:left="0" w:right="0" w:hanging="0"/>
        <w:jc w:val="left"/>
        <w:rPr/>
      </w:pPr>
      <w:r>
        <w:rPr>
          <w:rFonts w:ascii="Times New Roman;Times;serif" w:hAnsi="Times New Roman;Times;serif"/>
          <w:sz w:val="20"/>
        </w:rPr>
        <w:br/>
        <w:t xml:space="preserve">(b) </w:t>
      </w:r>
      <w:r>
        <w:rPr>
          <w:rStyle w:val="Emphasis"/>
          <w:rFonts w:ascii="Times New Roman;Times;serif" w:hAnsi="Times New Roman;Times;serif"/>
          <w:sz w:val="20"/>
        </w:rPr>
        <w:t>None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(c)</w:t>
      </w:r>
      <w:r>
        <w:rPr>
          <w:rFonts w:ascii="Times New Roman;Times;serif" w:hAnsi="Times New Roman;Times;serif"/>
          <w:color w:val="0782C1"/>
          <w:sz w:val="20"/>
        </w:rPr>
        <w:t> </w:t>
      </w:r>
      <w:r>
        <w:rPr>
          <w:rFonts w:ascii="Times New Roman;Times;serif" w:hAnsi="Times New Roman;Times;serif"/>
          <w:sz w:val="20"/>
        </w:rPr>
        <w:t xml:space="preserve">During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March 31, 2025, </w:t>
      </w:r>
      <w:r>
        <w:rPr>
          <w:rFonts w:ascii="Times New Roman;Times;serif" w:hAnsi="Times New Roman;Times;serif"/>
          <w:sz w:val="20"/>
        </w:rPr>
        <w:t xml:space="preserve">none of our directors or executive officers adopted or terminated any 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trading arrangement or any non-Rule </w:t>
      </w:r>
      <w:r>
        <w:rPr>
          <w:rStyle w:val="Emphasis"/>
          <w:rFonts w:ascii="Times New Roman;Times;serif" w:hAnsi="Times New Roman;Times;serif"/>
          <w:sz w:val="20"/>
        </w:rPr>
        <w:t>10b5</w:t>
      </w: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xml:space="preserve"> trading arrangement (such terms are defined in Item </w:t>
      </w:r>
      <w:r>
        <w:rPr>
          <w:rStyle w:val="Emphasis"/>
          <w:rFonts w:ascii="Times New Roman;Times;serif" w:hAnsi="Times New Roman;Times;serif"/>
          <w:sz w:val="20"/>
        </w:rPr>
        <w:t>408</w:t>
      </w:r>
      <w:r>
        <w:rPr>
          <w:rFonts w:ascii="Times New Roman;Times;serif" w:hAnsi="Times New Roman;Times;serif"/>
          <w:sz w:val="20"/>
        </w:rPr>
        <w:t xml:space="preserve"> of Regulation S-K).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b/>
          <w:sz w:val="20"/>
        </w:rPr>
      </w:pPr>
      <w:bookmarkStart w:id="18" w:name="exhibits"/>
      <w:bookmarkEnd w:id="18"/>
      <w:r>
        <w:rPr>
          <w:rFonts w:ascii="Times New Roman;Times;serif" w:hAnsi="Times New Roman;Times;serif"/>
          <w:b/>
          <w:sz w:val="20"/>
        </w:rPr>
        <w:t>Item 6.   Exhibits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Exhibit Index.</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INDEX</w:t>
      </w:r>
    </w:p>
    <w:p>
      <w:pPr>
        <w:pStyle w:val="TextBody"/>
        <w:bidi w:val="0"/>
        <w:spacing w:before="0" w:after="0"/>
        <w:ind w:left="0" w:right="0" w:hanging="0"/>
        <w:jc w:val="center"/>
        <w:rPr/>
      </w:pPr>
      <w:r>
        <w:rPr/>
        <w:t>​</w:t>
      </w:r>
    </w:p>
    <w:tbl>
      <w:tblPr>
        <w:tblW w:w="10205" w:type="dxa"/>
        <w:jc w:val="left"/>
        <w:tblInd w:w="0" w:type="dxa"/>
        <w:tblLayout w:type="fixed"/>
        <w:tblCellMar>
          <w:top w:w="0" w:type="dxa"/>
          <w:left w:w="0" w:type="dxa"/>
          <w:bottom w:w="28" w:type="dxa"/>
          <w:right w:w="0" w:type="dxa"/>
        </w:tblCellMar>
      </w:tblPr>
      <w:tblGrid>
        <w:gridCol w:w="777"/>
        <w:gridCol w:w="240"/>
        <w:gridCol w:w="9188"/>
      </w:tblGrid>
      <w:tr>
        <w:trPr/>
        <w:tc>
          <w:tcPr>
            <w:tcW w:w="777"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Number</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9188"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777" w:type="dxa"/>
            <w:tcBorders/>
            <w:tcMar>
              <w:bottom w:w="0" w:type="dxa"/>
            </w:tcMar>
            <w:vAlign w:val="center"/>
          </w:tcPr>
          <w:p>
            <w:pPr>
              <w:pStyle w:val="TableContents"/>
              <w:bidi w:val="0"/>
              <w:spacing w:before="0" w:after="283"/>
              <w:jc w:val="left"/>
              <w:rPr/>
            </w:pPr>
            <w:r>
              <w:rPr/>
              <w:t>3.1*</w:t>
            </w:r>
          </w:p>
        </w:tc>
        <w:tc>
          <w:tcPr>
            <w:tcW w:w="240" w:type="dxa"/>
            <w:tcBorders/>
            <w:tcMar>
              <w:bottom w:w="0" w:type="dxa"/>
            </w:tcMar>
            <w:vAlign w:val="center"/>
          </w:tcPr>
          <w:p>
            <w:pPr>
              <w:pStyle w:val="TableContents"/>
              <w:bidi w:val="0"/>
              <w:spacing w:before="0" w:after="283"/>
              <w:jc w:val="left"/>
              <w:rPr/>
            </w:pPr>
            <w:r>
              <w:rPr/>
              <w:t> </w:t>
            </w:r>
          </w:p>
        </w:tc>
        <w:tc>
          <w:tcPr>
            <w:tcW w:w="9188" w:type="dxa"/>
            <w:tcBorders/>
            <w:tcMar>
              <w:bottom w:w="0" w:type="dxa"/>
            </w:tcMar>
            <w:vAlign w:val="center"/>
          </w:tcPr>
          <w:p>
            <w:pPr>
              <w:pStyle w:val="TableContents"/>
              <w:bidi w:val="0"/>
              <w:spacing w:before="0" w:after="283"/>
              <w:jc w:val="left"/>
              <w:rPr/>
            </w:pPr>
            <w:hyperlink r:id="rId2">
              <w:r>
                <w:rPr>
                  <w:rStyle w:val="InternetLink"/>
                </w:rPr>
                <w:t>Amended and Restated Certificate of Incorporation (filed as Exhibit 3.1 to the Registrant's Current Report on Form 10-Q filed with the Securities and Exchange Commission on November 14, 2013).</w:t>
              </w:r>
            </w:hyperlink>
          </w:p>
        </w:tc>
      </w:tr>
      <w:tr>
        <w:trPr/>
        <w:tc>
          <w:tcPr>
            <w:tcW w:w="777"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188" w:type="dxa"/>
            <w:tcBorders/>
            <w:tcMar>
              <w:bottom w:w="0" w:type="dxa"/>
            </w:tcMar>
            <w:vAlign w:val="center"/>
          </w:tcPr>
          <w:p>
            <w:pPr>
              <w:pStyle w:val="TableContents"/>
              <w:bidi w:val="0"/>
              <w:spacing w:before="0" w:after="283"/>
              <w:jc w:val="left"/>
              <w:rPr/>
            </w:pPr>
            <w:r>
              <w:rPr/>
              <w:t> </w:t>
            </w:r>
          </w:p>
        </w:tc>
      </w:tr>
      <w:tr>
        <w:trPr/>
        <w:tc>
          <w:tcPr>
            <w:tcW w:w="77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sz w:val="20"/>
                </w:rPr>
                <w:t>Certificate of Amendment to the Amended and Restated Certificate of Incorporation, as currently in effect (filed as Exhibit 3.1 to the Registrant’s Current Report on Form 8-K filed with the Securities and Exchange Commission on September 7, 2023).</w:t>
              </w:r>
            </w:hyperlink>
          </w:p>
        </w:tc>
      </w:tr>
      <w:tr>
        <w:trPr/>
        <w:tc>
          <w:tcPr>
            <w:tcW w:w="777"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0"/>
              <w:ind w:left="0" w:right="0" w:hanging="0"/>
              <w:jc w:val="left"/>
              <w:rPr/>
            </w:pPr>
            <w:r>
              <w:rPr/>
              <w:t> </w:t>
            </w:r>
          </w:p>
        </w:tc>
      </w:tr>
      <w:tr>
        <w:trPr/>
        <w:tc>
          <w:tcPr>
            <w:tcW w:w="77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3.3*</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sz w:val="20"/>
                </w:rPr>
                <w:t>Amended and Restated Bylaws, as currently in effect (filed as Exhibit 3.2 to the Registrant’s Quarterly Report on Form 10-Q filed with the Securities and Exchange Commission on November 14, 2013).</w:t>
              </w:r>
            </w:hyperlink>
          </w:p>
        </w:tc>
      </w:tr>
      <w:tr>
        <w:trPr/>
        <w:tc>
          <w:tcPr>
            <w:tcW w:w="777"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0"/>
              <w:ind w:left="0" w:right="0" w:hanging="0"/>
              <w:jc w:val="left"/>
              <w:rPr/>
            </w:pPr>
            <w:r>
              <w:rPr/>
              <w:t> </w:t>
            </w:r>
          </w:p>
        </w:tc>
      </w:tr>
      <w:tr>
        <w:trPr/>
        <w:tc>
          <w:tcPr>
            <w:tcW w:w="777" w:type="dxa"/>
            <w:tcBorders/>
            <w:tcMar>
              <w:bottom w:w="0" w:type="dxa"/>
            </w:tcMar>
            <w:vAlign w:val="center"/>
          </w:tcPr>
          <w:p>
            <w:pPr>
              <w:pStyle w:val="TableContents"/>
              <w:bidi w:val="0"/>
              <w:spacing w:before="0" w:after="283"/>
              <w:jc w:val="left"/>
              <w:rPr/>
            </w:pPr>
            <w:r>
              <w:rPr/>
              <w:t>3.4*</w:t>
            </w:r>
          </w:p>
        </w:tc>
        <w:tc>
          <w:tcPr>
            <w:tcW w:w="240" w:type="dxa"/>
            <w:tcBorders/>
            <w:tcMar>
              <w:bottom w:w="0" w:type="dxa"/>
            </w:tcMar>
            <w:vAlign w:val="center"/>
          </w:tcPr>
          <w:p>
            <w:pPr>
              <w:pStyle w:val="TableContents"/>
              <w:bidi w:val="0"/>
              <w:spacing w:before="0" w:after="283"/>
              <w:jc w:val="left"/>
              <w:rPr/>
            </w:pPr>
            <w:r>
              <w:rPr/>
              <w:t> </w:t>
            </w:r>
          </w:p>
        </w:tc>
        <w:tc>
          <w:tcPr>
            <w:tcW w:w="9188" w:type="dxa"/>
            <w:tcBorders/>
            <w:tcMar>
              <w:bottom w:w="0" w:type="dxa"/>
            </w:tcMar>
            <w:vAlign w:val="center"/>
          </w:tcPr>
          <w:p>
            <w:pPr>
              <w:pStyle w:val="TableContents"/>
              <w:bidi w:val="0"/>
              <w:spacing w:before="0" w:after="283"/>
              <w:jc w:val="left"/>
              <w:rPr/>
            </w:pPr>
            <w:hyperlink r:id="rId5">
              <w:r>
                <w:rPr>
                  <w:rStyle w:val="InternetLink"/>
                  <w:u w:val="single"/>
                </w:rPr>
                <w:t>Amendment No. 1 to the Amended and Restated Bylaws, as currently in effect (filed as Exhibit 3.1 to the Registrant’s Current Report on Form 8-K filed with the Securities and Exchange Commission on April 2, 2025).</w:t>
              </w:r>
            </w:hyperlink>
          </w:p>
        </w:tc>
      </w:tr>
      <w:tr>
        <w:trPr/>
        <w:tc>
          <w:tcPr>
            <w:tcW w:w="777"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188" w:type="dxa"/>
            <w:tcBorders/>
            <w:tcMar>
              <w:bottom w:w="0" w:type="dxa"/>
            </w:tcMar>
            <w:vAlign w:val="center"/>
          </w:tcPr>
          <w:p>
            <w:pPr>
              <w:pStyle w:val="TableContents"/>
              <w:bidi w:val="0"/>
              <w:spacing w:before="0" w:after="283"/>
              <w:jc w:val="left"/>
              <w:rPr/>
            </w:pPr>
            <w:r>
              <w:rPr/>
              <w:t> </w:t>
            </w:r>
          </w:p>
        </w:tc>
      </w:tr>
      <w:tr>
        <w:trPr/>
        <w:tc>
          <w:tcPr>
            <w:tcW w:w="77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0"/>
              <w:ind w:left="0" w:right="0" w:hanging="0"/>
              <w:jc w:val="left"/>
              <w:rPr/>
            </w:pPr>
            <w:hyperlink r:id="rId6">
              <w:r>
                <w:rPr>
                  <w:rStyle w:val="InternetLink"/>
                  <w:rFonts w:ascii="Times New Roman;Times;serif" w:hAnsi="Times New Roman;Times;serif"/>
                  <w:sz w:val="20"/>
                </w:rPr>
                <w:t>Common Stock Specimen (filed as Exhibit 4.1 to the Registrant’s Current Report on Form 8-K filed with the Securities and Exchange Commission on July 15, 2015).</w:t>
              </w:r>
            </w:hyperlink>
          </w:p>
        </w:tc>
      </w:tr>
      <w:tr>
        <w:trPr/>
        <w:tc>
          <w:tcPr>
            <w:tcW w:w="777"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0"/>
              <w:ind w:left="0" w:right="0" w:hanging="0"/>
              <w:jc w:val="left"/>
              <w:rPr/>
            </w:pPr>
            <w:r>
              <w:rPr/>
              <w:t>​</w:t>
            </w:r>
          </w:p>
        </w:tc>
      </w:tr>
      <w:tr>
        <w:trPr/>
        <w:tc>
          <w:tcPr>
            <w:tcW w:w="777" w:type="dxa"/>
            <w:tcBorders/>
            <w:tcMar>
              <w:bottom w:w="0" w:type="dxa"/>
            </w:tcMar>
            <w:vAlign w:val="center"/>
          </w:tcPr>
          <w:p>
            <w:pPr>
              <w:pStyle w:val="TableContents"/>
              <w:bidi w:val="0"/>
              <w:spacing w:before="0" w:after="283"/>
              <w:jc w:val="left"/>
              <w:rPr/>
            </w:pPr>
            <w:r>
              <w:rPr/>
              <w:t>4.2*</w:t>
            </w:r>
          </w:p>
        </w:tc>
        <w:tc>
          <w:tcPr>
            <w:tcW w:w="240" w:type="dxa"/>
            <w:tcBorders/>
            <w:tcMar>
              <w:bottom w:w="0" w:type="dxa"/>
            </w:tcMar>
            <w:vAlign w:val="center"/>
          </w:tcPr>
          <w:p>
            <w:pPr>
              <w:pStyle w:val="TableContents"/>
              <w:bidi w:val="0"/>
              <w:spacing w:before="0" w:after="283"/>
              <w:jc w:val="left"/>
              <w:rPr/>
            </w:pPr>
            <w:r>
              <w:rPr/>
              <w:t> </w:t>
            </w:r>
          </w:p>
        </w:tc>
        <w:tc>
          <w:tcPr>
            <w:tcW w:w="9188" w:type="dxa"/>
            <w:tcBorders/>
            <w:tcMar>
              <w:bottom w:w="0" w:type="dxa"/>
            </w:tcMar>
            <w:vAlign w:val="center"/>
          </w:tcPr>
          <w:p>
            <w:pPr>
              <w:pStyle w:val="TableContents"/>
              <w:bidi w:val="0"/>
              <w:spacing w:before="0" w:after="283"/>
              <w:jc w:val="left"/>
              <w:rPr/>
            </w:pPr>
            <w:hyperlink r:id="rId7">
              <w:r>
                <w:rPr>
                  <w:rStyle w:val="InternetLink"/>
                </w:rPr>
                <w:t>Indenture, dated as of December 5, 2023 between Applied Optoelectronics, Inc. and Computershare Trust Company, as trustee (filed as Exhibit 4.1 to the Registrant’s Current Report on Form 8-K filed with the Securities and Exchange Commission on December 5, 2023).</w:t>
              </w:r>
            </w:hyperlink>
          </w:p>
        </w:tc>
      </w:tr>
      <w:tr>
        <w:trPr/>
        <w:tc>
          <w:tcPr>
            <w:tcW w:w="777"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188" w:type="dxa"/>
            <w:tcBorders/>
            <w:tcMar>
              <w:bottom w:w="0" w:type="dxa"/>
            </w:tcMar>
            <w:vAlign w:val="center"/>
          </w:tcPr>
          <w:p>
            <w:pPr>
              <w:pStyle w:val="TableContents"/>
              <w:bidi w:val="0"/>
              <w:spacing w:before="0" w:after="283"/>
              <w:jc w:val="left"/>
              <w:rPr/>
            </w:pPr>
            <w:r>
              <w:rPr/>
              <w:t> </w:t>
            </w:r>
          </w:p>
        </w:tc>
      </w:tr>
      <w:tr>
        <w:trPr/>
        <w:tc>
          <w:tcPr>
            <w:tcW w:w="77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240" w:type="dxa"/>
            <w:tcBorders/>
            <w:tcMar>
              <w:bottom w:w="0" w:type="dxa"/>
            </w:tcMar>
            <w:vAlign w:val="center"/>
          </w:tcPr>
          <w:p>
            <w:pPr>
              <w:pStyle w:val="TableContents"/>
              <w:bidi w:val="0"/>
              <w:spacing w:before="0" w:after="283"/>
              <w:jc w:val="left"/>
              <w:rPr/>
            </w:pPr>
            <w:r>
              <w:rPr/>
              <w:t> </w:t>
            </w:r>
          </w:p>
        </w:tc>
        <w:tc>
          <w:tcPr>
            <w:tcW w:w="9188" w:type="dxa"/>
            <w:tcBorders/>
            <w:tcMar>
              <w:bottom w:w="0" w:type="dxa"/>
            </w:tcMar>
            <w:vAlign w:val="center"/>
          </w:tcPr>
          <w:p>
            <w:pPr>
              <w:pStyle w:val="TableContents"/>
              <w:bidi w:val="0"/>
              <w:spacing w:before="0" w:after="283"/>
              <w:jc w:val="left"/>
              <w:rPr/>
            </w:pPr>
            <w:r>
              <w:fldChar w:fldCharType="begin"/>
            </w:r>
            <w:r>
              <w:rPr>
                <w:rStyle w:val="InternetLink"/>
              </w:rPr>
              <w:instrText xml:space="preserve"> HYPERLINK "http://www.sec.gov/Archives/edgar/data/1158114/000110465923123656/tm2331117d2_ex4-1.htm" \l "ex-a"</w:instrText>
            </w:r>
            <w:r>
              <w:rPr>
                <w:rStyle w:val="InternetLink"/>
              </w:rPr>
              <w:fldChar w:fldCharType="separate"/>
            </w:r>
            <w:r>
              <w:rPr>
                <w:rStyle w:val="InternetLink"/>
              </w:rPr>
              <w:t>Form of Note representing the Company’s 5.25% Convertible Senior Notes due 2026 (included as Exhibit 4.2 to the Registrant’s Current Report on Form 8-K filed with the Securities and Exchange Commission on December 5, 2023).</w:t>
            </w:r>
            <w:r>
              <w:rPr>
                <w:rStyle w:val="InternetLink"/>
              </w:rPr>
              <w:fldChar w:fldCharType="end"/>
            </w:r>
          </w:p>
        </w:tc>
      </w:tr>
      <w:tr>
        <w:trPr/>
        <w:tc>
          <w:tcPr>
            <w:tcW w:w="777"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188" w:type="dxa"/>
            <w:tcBorders/>
            <w:tcMar>
              <w:bottom w:w="0" w:type="dxa"/>
            </w:tcMar>
            <w:vAlign w:val="center"/>
          </w:tcPr>
          <w:p>
            <w:pPr>
              <w:pStyle w:val="TableContents"/>
              <w:bidi w:val="0"/>
              <w:spacing w:before="0" w:after="283"/>
              <w:jc w:val="left"/>
              <w:rPr/>
            </w:pPr>
            <w:r>
              <w:rPr/>
              <w:t> </w:t>
            </w:r>
          </w:p>
        </w:tc>
      </w:tr>
      <w:tr>
        <w:trPr/>
        <w:tc>
          <w:tcPr>
            <w:tcW w:w="777" w:type="dxa"/>
            <w:tcBorders/>
            <w:tcMar>
              <w:bottom w:w="0" w:type="dxa"/>
            </w:tcMar>
            <w:vAlign w:val="center"/>
          </w:tcPr>
          <w:p>
            <w:pPr>
              <w:pStyle w:val="TableContents"/>
              <w:bidi w:val="0"/>
              <w:spacing w:before="0" w:after="283"/>
              <w:jc w:val="left"/>
              <w:rPr/>
            </w:pPr>
            <w:r>
              <w:rPr/>
              <w:t>4.4*</w:t>
            </w:r>
          </w:p>
        </w:tc>
        <w:tc>
          <w:tcPr>
            <w:tcW w:w="240" w:type="dxa"/>
            <w:tcBorders/>
            <w:tcMar>
              <w:bottom w:w="0" w:type="dxa"/>
            </w:tcMar>
            <w:vAlign w:val="center"/>
          </w:tcPr>
          <w:p>
            <w:pPr>
              <w:pStyle w:val="TableContents"/>
              <w:bidi w:val="0"/>
              <w:spacing w:before="0" w:after="283"/>
              <w:jc w:val="left"/>
              <w:rPr/>
            </w:pPr>
            <w:r>
              <w:rPr/>
              <w:t> </w:t>
            </w:r>
          </w:p>
        </w:tc>
        <w:tc>
          <w:tcPr>
            <w:tcW w:w="9188" w:type="dxa"/>
            <w:tcBorders/>
            <w:tcMar>
              <w:bottom w:w="0" w:type="dxa"/>
            </w:tcMar>
            <w:vAlign w:val="center"/>
          </w:tcPr>
          <w:p>
            <w:pPr>
              <w:pStyle w:val="TableContents"/>
              <w:bidi w:val="0"/>
              <w:spacing w:before="0" w:after="283"/>
              <w:jc w:val="left"/>
              <w:rPr/>
            </w:pPr>
            <w:hyperlink r:id="rId8">
              <w:r>
                <w:rPr>
                  <w:rStyle w:val="InternetLink"/>
                </w:rPr>
                <w:t>First Supplemental Indenture, dated as of December 5, 2023, between Applied Optoelectronics, Inc. and Computershare Trust Company, N.A., as trustee (included as Exhibit 4.3 to the Registrant’s Current Report on Form 8-K filed with the Securities and Exchange Commission on December 5, 2023).</w:t>
              </w:r>
            </w:hyperlink>
          </w:p>
        </w:tc>
      </w:tr>
      <w:tr>
        <w:trPr/>
        <w:tc>
          <w:tcPr>
            <w:tcW w:w="777"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188" w:type="dxa"/>
            <w:tcBorders/>
            <w:tcMar>
              <w:bottom w:w="0" w:type="dxa"/>
            </w:tcMar>
            <w:vAlign w:val="center"/>
          </w:tcPr>
          <w:p>
            <w:pPr>
              <w:pStyle w:val="TableContents"/>
              <w:bidi w:val="0"/>
              <w:spacing w:before="0" w:after="283"/>
              <w:jc w:val="left"/>
              <w:rPr/>
            </w:pPr>
            <w:r>
              <w:rPr/>
              <w:t> </w:t>
            </w:r>
          </w:p>
        </w:tc>
      </w:tr>
      <w:tr>
        <w:trPr/>
        <w:tc>
          <w:tcPr>
            <w:tcW w:w="777" w:type="dxa"/>
            <w:tcBorders/>
            <w:tcMar>
              <w:bottom w:w="0" w:type="dxa"/>
            </w:tcMar>
            <w:vAlign w:val="center"/>
          </w:tcPr>
          <w:p>
            <w:pPr>
              <w:pStyle w:val="TableContents"/>
              <w:bidi w:val="0"/>
              <w:spacing w:before="0" w:after="283"/>
              <w:jc w:val="left"/>
              <w:rPr/>
            </w:pPr>
            <w:r>
              <w:rPr/>
              <w:t>4.5*</w:t>
            </w:r>
          </w:p>
        </w:tc>
        <w:tc>
          <w:tcPr>
            <w:tcW w:w="240" w:type="dxa"/>
            <w:tcBorders/>
            <w:tcMar>
              <w:bottom w:w="0" w:type="dxa"/>
            </w:tcMar>
            <w:vAlign w:val="center"/>
          </w:tcPr>
          <w:p>
            <w:pPr>
              <w:pStyle w:val="TableContents"/>
              <w:bidi w:val="0"/>
              <w:spacing w:before="0" w:after="283"/>
              <w:jc w:val="left"/>
              <w:rPr/>
            </w:pPr>
            <w:r>
              <w:rPr/>
              <w:t> </w:t>
            </w:r>
          </w:p>
        </w:tc>
        <w:tc>
          <w:tcPr>
            <w:tcW w:w="9188" w:type="dxa"/>
            <w:tcBorders/>
            <w:tcMar>
              <w:bottom w:w="0" w:type="dxa"/>
            </w:tcMar>
            <w:vAlign w:val="center"/>
          </w:tcPr>
          <w:p>
            <w:pPr>
              <w:pStyle w:val="TableContents"/>
              <w:bidi w:val="0"/>
              <w:spacing w:before="0" w:after="283"/>
              <w:jc w:val="left"/>
              <w:rPr/>
            </w:pPr>
            <w:hyperlink r:id="rId9">
              <w:r>
                <w:rPr>
                  <w:rStyle w:val="InternetLink"/>
                  <w:u w:val="single"/>
                </w:rPr>
                <w:t>Indenture, dated as of December 23, 2024 between Applied Optoelectronics, Inc. and Computershare Trust Company, as trustee (filed as Exhibit 4.1 to the Registrant’s Current Report on Form 8-K filed with the Securities and Exchange Commission on December 23, 2024).</w:t>
              </w:r>
            </w:hyperlink>
          </w:p>
        </w:tc>
      </w:tr>
      <w:tr>
        <w:trPr/>
        <w:tc>
          <w:tcPr>
            <w:tcW w:w="777"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188" w:type="dxa"/>
            <w:tcBorders/>
            <w:tcMar>
              <w:bottom w:w="0" w:type="dxa"/>
            </w:tcMar>
            <w:vAlign w:val="center"/>
          </w:tcPr>
          <w:p>
            <w:pPr>
              <w:pStyle w:val="TableContents"/>
              <w:bidi w:val="0"/>
              <w:spacing w:before="0" w:after="283"/>
              <w:jc w:val="left"/>
              <w:rPr/>
            </w:pPr>
            <w:r>
              <w:rPr/>
              <w:t> </w:t>
            </w:r>
          </w:p>
        </w:tc>
      </w:tr>
      <w:tr>
        <w:trPr/>
        <w:tc>
          <w:tcPr>
            <w:tcW w:w="777" w:type="dxa"/>
            <w:tcBorders/>
            <w:tcMar>
              <w:bottom w:w="0" w:type="dxa"/>
            </w:tcMar>
            <w:vAlign w:val="center"/>
          </w:tcPr>
          <w:p>
            <w:pPr>
              <w:pStyle w:val="TableContents"/>
              <w:bidi w:val="0"/>
              <w:spacing w:before="0" w:after="283"/>
              <w:jc w:val="left"/>
              <w:rPr/>
            </w:pPr>
            <w:r>
              <w:rPr/>
              <w:t>4.6*</w:t>
            </w:r>
          </w:p>
        </w:tc>
        <w:tc>
          <w:tcPr>
            <w:tcW w:w="240" w:type="dxa"/>
            <w:tcBorders/>
            <w:tcMar>
              <w:bottom w:w="0" w:type="dxa"/>
            </w:tcMar>
            <w:vAlign w:val="center"/>
          </w:tcPr>
          <w:p>
            <w:pPr>
              <w:pStyle w:val="TableContents"/>
              <w:bidi w:val="0"/>
              <w:spacing w:before="0" w:after="283"/>
              <w:jc w:val="left"/>
              <w:rPr/>
            </w:pPr>
            <w:r>
              <w:rPr/>
              <w:t> </w:t>
            </w:r>
          </w:p>
        </w:tc>
        <w:tc>
          <w:tcPr>
            <w:tcW w:w="9188" w:type="dxa"/>
            <w:tcBorders/>
            <w:tcMar>
              <w:bottom w:w="0" w:type="dxa"/>
            </w:tcMar>
            <w:vAlign w:val="center"/>
          </w:tcPr>
          <w:p>
            <w:pPr>
              <w:pStyle w:val="TableContents"/>
              <w:bidi w:val="0"/>
              <w:spacing w:before="0" w:after="283"/>
              <w:jc w:val="left"/>
              <w:rPr/>
            </w:pPr>
            <w:hyperlink r:id="rId10">
              <w:r>
                <w:rPr>
                  <w:rStyle w:val="InternetLink"/>
                  <w:u w:val="single"/>
                </w:rPr>
                <w:t>Form of Note representing the Company’s 2.75% Convertible Senior Notes due 2030 (included as Exhibit 4.2 to the Registrant’s Current Report on Form 8-K filed with the Securities and Exchange Commission on December 23, 2024).</w:t>
              </w:r>
            </w:hyperlink>
          </w:p>
        </w:tc>
      </w:tr>
      <w:tr>
        <w:trPr/>
        <w:tc>
          <w:tcPr>
            <w:tcW w:w="777"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188" w:type="dxa"/>
            <w:tcBorders/>
            <w:tcMar>
              <w:bottom w:w="0" w:type="dxa"/>
            </w:tcMar>
            <w:vAlign w:val="center"/>
          </w:tcPr>
          <w:p>
            <w:pPr>
              <w:pStyle w:val="TableContents"/>
              <w:bidi w:val="0"/>
              <w:spacing w:before="0" w:after="283"/>
              <w:jc w:val="left"/>
              <w:rPr/>
            </w:pPr>
            <w:r>
              <w:rPr/>
              <w:t> </w:t>
            </w:r>
          </w:p>
        </w:tc>
      </w:tr>
      <w:tr>
        <w:trPr/>
        <w:tc>
          <w:tcPr>
            <w:tcW w:w="777" w:type="dxa"/>
            <w:tcBorders/>
            <w:tcMar>
              <w:bottom w:w="0" w:type="dxa"/>
            </w:tcMar>
            <w:vAlign w:val="center"/>
          </w:tcPr>
          <w:p>
            <w:pPr>
              <w:pStyle w:val="TableContents"/>
              <w:bidi w:val="0"/>
              <w:spacing w:before="0" w:after="283"/>
              <w:jc w:val="left"/>
              <w:rPr/>
            </w:pPr>
            <w:r>
              <w:rPr/>
              <w:t>4.7*</w:t>
            </w:r>
          </w:p>
        </w:tc>
        <w:tc>
          <w:tcPr>
            <w:tcW w:w="240" w:type="dxa"/>
            <w:tcBorders/>
            <w:tcMar>
              <w:bottom w:w="0" w:type="dxa"/>
            </w:tcMar>
            <w:vAlign w:val="center"/>
          </w:tcPr>
          <w:p>
            <w:pPr>
              <w:pStyle w:val="TableContents"/>
              <w:bidi w:val="0"/>
              <w:spacing w:before="0" w:after="283"/>
              <w:jc w:val="left"/>
              <w:rPr/>
            </w:pPr>
            <w:r>
              <w:rPr/>
              <w:t> </w:t>
            </w:r>
          </w:p>
        </w:tc>
        <w:tc>
          <w:tcPr>
            <w:tcW w:w="9188" w:type="dxa"/>
            <w:tcBorders/>
            <w:tcMar>
              <w:bottom w:w="0" w:type="dxa"/>
            </w:tcMar>
            <w:vAlign w:val="center"/>
          </w:tcPr>
          <w:p>
            <w:pPr>
              <w:pStyle w:val="TableContents"/>
              <w:bidi w:val="0"/>
              <w:spacing w:before="0" w:after="283"/>
              <w:jc w:val="left"/>
              <w:rPr/>
            </w:pPr>
            <w:hyperlink r:id="rId11">
              <w:r>
                <w:rPr>
                  <w:rStyle w:val="InternetLink"/>
                  <w:u w:val="single"/>
                </w:rPr>
                <w:t>First Supplemental Indenture, dated as of December 23, 2024, between Applied Optoelectronics, Inc. and Computershare Trust Company, N.A., as trustee (included as Exhibit 4.3 to the Registrant’s Current Report on Form 8-K filed with the Securities and Exchange Commission on December 23, 2024).</w:t>
              </w:r>
            </w:hyperlink>
          </w:p>
        </w:tc>
      </w:tr>
      <w:tr>
        <w:trPr/>
        <w:tc>
          <w:tcPr>
            <w:tcW w:w="777"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188" w:type="dxa"/>
            <w:tcBorders/>
            <w:tcMar>
              <w:bottom w:w="0" w:type="dxa"/>
            </w:tcMar>
            <w:vAlign w:val="center"/>
          </w:tcPr>
          <w:p>
            <w:pPr>
              <w:pStyle w:val="TableContents"/>
              <w:bidi w:val="0"/>
              <w:spacing w:before="0" w:after="283"/>
              <w:jc w:val="left"/>
              <w:rPr/>
            </w:pPr>
            <w:r>
              <w:rPr/>
              <w:t> </w:t>
            </w:r>
          </w:p>
        </w:tc>
      </w:tr>
      <w:tr>
        <w:trPr/>
        <w:tc>
          <w:tcPr>
            <w:tcW w:w="777" w:type="dxa"/>
            <w:tcBorders/>
            <w:tcMar>
              <w:bottom w:w="0" w:type="dxa"/>
            </w:tcMar>
            <w:vAlign w:val="center"/>
          </w:tcPr>
          <w:p>
            <w:pPr>
              <w:pStyle w:val="TableContents"/>
              <w:bidi w:val="0"/>
              <w:spacing w:before="0" w:after="283"/>
              <w:jc w:val="left"/>
              <w:rPr/>
            </w:pPr>
            <w:r>
              <w:rPr/>
              <w:t>4.8*</w:t>
            </w:r>
          </w:p>
        </w:tc>
        <w:tc>
          <w:tcPr>
            <w:tcW w:w="240" w:type="dxa"/>
            <w:tcBorders/>
            <w:tcMar>
              <w:bottom w:w="0" w:type="dxa"/>
            </w:tcMar>
            <w:vAlign w:val="center"/>
          </w:tcPr>
          <w:p>
            <w:pPr>
              <w:pStyle w:val="TableContents"/>
              <w:bidi w:val="0"/>
              <w:spacing w:before="0" w:after="283"/>
              <w:jc w:val="left"/>
              <w:rPr/>
            </w:pPr>
            <w:r>
              <w:rPr/>
              <w:t> </w:t>
            </w:r>
          </w:p>
        </w:tc>
        <w:tc>
          <w:tcPr>
            <w:tcW w:w="9188" w:type="dxa"/>
            <w:tcBorders/>
            <w:tcMar>
              <w:bottom w:w="0" w:type="dxa"/>
            </w:tcMar>
            <w:vAlign w:val="center"/>
          </w:tcPr>
          <w:p>
            <w:pPr>
              <w:pStyle w:val="TableContents"/>
              <w:bidi w:val="0"/>
              <w:spacing w:before="0" w:after="283"/>
              <w:jc w:val="left"/>
              <w:rPr/>
            </w:pPr>
            <w:hyperlink r:id="rId12">
              <w:r>
                <w:rPr>
                  <w:rStyle w:val="InternetLink"/>
                  <w:u w:val="single"/>
                </w:rPr>
                <w:t>Warrant to Purchase Common Stock of Applied Optoelectronics, Inc. by and between Applied Optoelectronics, Inc. and Amazon.com NV Investment Holdings LLC, dated as of March 13, 2025 (included as Exhibit 4.1 to the Registrant’</w:t>
              </w:r>
            </w:hyperlink>
            <w:hyperlink r:id="rId13">
              <w:r>
                <w:rPr>
                  <w:rStyle w:val="InternetLink"/>
                </w:rPr>
                <w:t>﻿</w:t>
              </w:r>
            </w:hyperlink>
            <w:hyperlink r:id="rId14">
              <w:r>
                <w:rPr>
                  <w:rStyle w:val="InternetLink"/>
                  <w:u w:val="single"/>
                </w:rPr>
                <w:t>s Current Report on Form 8-K filed with the Securities and Exchange Commission on March 13, 2025).</w:t>
              </w:r>
            </w:hyperlink>
          </w:p>
        </w:tc>
      </w:tr>
      <w:tr>
        <w:trPr/>
        <w:tc>
          <w:tcPr>
            <w:tcW w:w="777"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188" w:type="dxa"/>
            <w:tcBorders/>
            <w:tcMar>
              <w:bottom w:w="0" w:type="dxa"/>
            </w:tcMar>
            <w:vAlign w:val="center"/>
          </w:tcPr>
          <w:p>
            <w:pPr>
              <w:pStyle w:val="TableContents"/>
              <w:bidi w:val="0"/>
              <w:spacing w:before="0" w:after="283"/>
              <w:jc w:val="left"/>
              <w:rPr/>
            </w:pPr>
            <w:r>
              <w:rPr/>
              <w:t> </w:t>
            </w:r>
          </w:p>
        </w:tc>
      </w:tr>
      <w:tr>
        <w:trPr/>
        <w:tc>
          <w:tcPr>
            <w:tcW w:w="777" w:type="dxa"/>
            <w:tcBorders/>
            <w:tcMar>
              <w:bottom w:w="0" w:type="dxa"/>
            </w:tcMar>
            <w:vAlign w:val="center"/>
          </w:tcPr>
          <w:p>
            <w:pPr>
              <w:pStyle w:val="TableContents"/>
              <w:bidi w:val="0"/>
              <w:spacing w:before="0" w:after="283"/>
              <w:jc w:val="left"/>
              <w:rPr/>
            </w:pPr>
            <w:r>
              <w:rPr/>
              <w:t>10.1*</w:t>
            </w:r>
          </w:p>
        </w:tc>
        <w:tc>
          <w:tcPr>
            <w:tcW w:w="240" w:type="dxa"/>
            <w:tcBorders/>
            <w:tcMar>
              <w:bottom w:w="0" w:type="dxa"/>
            </w:tcMar>
            <w:vAlign w:val="center"/>
          </w:tcPr>
          <w:p>
            <w:pPr>
              <w:pStyle w:val="TableContents"/>
              <w:bidi w:val="0"/>
              <w:spacing w:before="0" w:after="283"/>
              <w:jc w:val="left"/>
              <w:rPr/>
            </w:pPr>
            <w:r>
              <w:rPr/>
              <w:t> </w:t>
            </w:r>
          </w:p>
        </w:tc>
        <w:tc>
          <w:tcPr>
            <w:tcW w:w="9188" w:type="dxa"/>
            <w:tcBorders/>
            <w:tcMar>
              <w:bottom w:w="0" w:type="dxa"/>
            </w:tcMar>
            <w:vAlign w:val="center"/>
          </w:tcPr>
          <w:p>
            <w:pPr>
              <w:pStyle w:val="TableContents"/>
              <w:bidi w:val="0"/>
              <w:spacing w:before="0" w:after="283"/>
              <w:jc w:val="left"/>
              <w:rPr/>
            </w:pPr>
            <w:hyperlink r:id="rId15">
              <w:r>
                <w:rPr>
                  <w:rStyle w:val="InternetLink"/>
                </w:rPr>
                <w:t xml:space="preserve">Transaction Agreement by and between </w:t>
              </w:r>
            </w:hyperlink>
            <w:hyperlink r:id="rId16">
              <w:r>
                <w:rPr>
                  <w:rStyle w:val="InternetLink"/>
                  <w:u w:val="single"/>
                </w:rPr>
                <w:t>Applied Optoelectronics, Inc. and Amazon.com., Inc., dated as of March 13, 2025 (included as Exhibit 10.1 to the Registrant’s Current Report on Form 8-K filed with the Securities and Exchange Commission on March 13, 2025).</w:t>
              </w:r>
            </w:hyperlink>
          </w:p>
        </w:tc>
      </w:tr>
      <w:tr>
        <w:trPr/>
        <w:tc>
          <w:tcPr>
            <w:tcW w:w="777"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283"/>
              <w:jc w:val="left"/>
              <w:rPr/>
            </w:pPr>
            <w:r>
              <w:rPr/>
              <w:t> </w:t>
            </w:r>
          </w:p>
        </w:tc>
        <w:tc>
          <w:tcPr>
            <w:tcW w:w="9188" w:type="dxa"/>
            <w:tcBorders/>
            <w:tcMar>
              <w:bottom w:w="0" w:type="dxa"/>
            </w:tcMar>
            <w:vAlign w:val="center"/>
          </w:tcPr>
          <w:p>
            <w:pPr>
              <w:pStyle w:val="TableContents"/>
              <w:bidi w:val="0"/>
              <w:spacing w:before="0" w:after="283"/>
              <w:jc w:val="left"/>
              <w:rPr/>
            </w:pPr>
            <w:r>
              <w:rPr/>
              <w:t> </w:t>
            </w:r>
          </w:p>
        </w:tc>
      </w:tr>
      <w:tr>
        <w:trPr/>
        <w:tc>
          <w:tcPr>
            <w:tcW w:w="77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0"/>
              <w:ind w:left="0" w:right="0" w:hanging="0"/>
              <w:jc w:val="left"/>
              <w:rPr/>
            </w:pPr>
            <w:hyperlink w:anchor="ex_762812.htm">
              <w:r>
                <w:rPr>
                  <w:rStyle w:val="InternetLink"/>
                  <w:rFonts w:ascii="Times New Roman;Times;serif" w:hAnsi="Times New Roman;Times;serif"/>
                  <w:sz w:val="20"/>
                </w:rPr>
                <w:t>Certification of Chief Executive Officer pursuant to Exchange Act Rule, 13a-14(a) and 15d-14(a), as adopted pursuant to Section 302 of the Sarbanes-Oxley Act of 2002.</w:t>
              </w:r>
            </w:hyperlink>
          </w:p>
        </w:tc>
      </w:tr>
      <w:tr>
        <w:trPr/>
        <w:tc>
          <w:tcPr>
            <w:tcW w:w="777"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0"/>
              <w:ind w:left="0" w:right="0" w:hanging="0"/>
              <w:jc w:val="left"/>
              <w:rPr/>
            </w:pPr>
            <w:r>
              <w:rPr/>
              <w:t> </w:t>
            </w:r>
          </w:p>
        </w:tc>
      </w:tr>
      <w:tr>
        <w:trPr/>
        <w:tc>
          <w:tcPr>
            <w:tcW w:w="77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0"/>
              <w:ind w:left="0" w:right="0" w:hanging="0"/>
              <w:jc w:val="left"/>
              <w:rPr/>
            </w:pPr>
            <w:hyperlink w:anchor="ex_762813.htm">
              <w:r>
                <w:rPr>
                  <w:rStyle w:val="InternetLink"/>
                  <w:rFonts w:ascii="Times New Roman;Times;serif" w:hAnsi="Times New Roman;Times;serif"/>
                  <w:sz w:val="20"/>
                </w:rPr>
                <w:t>Certification of Chief Financial Officer pursuant to Exchange Act Rule, 13a-14(a) and 15d-14(a), as adopted pursuant to Section 302 of the Sarbanes-Oxley Act of 2002.</w:t>
              </w:r>
            </w:hyperlink>
          </w:p>
        </w:tc>
      </w:tr>
      <w:tr>
        <w:trPr/>
        <w:tc>
          <w:tcPr>
            <w:tcW w:w="777"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0"/>
              <w:ind w:left="0" w:right="0" w:hanging="0"/>
              <w:jc w:val="left"/>
              <w:rPr/>
            </w:pPr>
            <w:r>
              <w:rPr/>
              <w:t> </w:t>
            </w:r>
          </w:p>
        </w:tc>
      </w:tr>
      <w:tr>
        <w:trPr/>
        <w:tc>
          <w:tcPr>
            <w:tcW w:w="77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0"/>
              <w:ind w:left="0" w:right="0" w:hanging="0"/>
              <w:jc w:val="left"/>
              <w:rPr/>
            </w:pPr>
            <w:hyperlink w:anchor="ex_762814.htm">
              <w:r>
                <w:rPr>
                  <w:rStyle w:val="InternetLink"/>
                  <w:rFonts w:ascii="Times New Roman;Times;serif" w:hAnsi="Times New Roman;Times;serif"/>
                  <w:sz w:val="20"/>
                </w:rPr>
                <w:t>Certification pursuant to 18 U.S.C. 1350, adopted pursuant to Section 906 of the Sarbanes-Oxley Act of 2002, by Chief Executive Officer and Chief Financial Officer.</w:t>
              </w:r>
            </w:hyperlink>
          </w:p>
        </w:tc>
      </w:tr>
      <w:tr>
        <w:trPr/>
        <w:tc>
          <w:tcPr>
            <w:tcW w:w="777" w:type="dxa"/>
            <w:tcBorders/>
            <w:tcMar>
              <w:bottom w:w="0" w:type="dxa"/>
            </w:tcMar>
            <w:vAlign w:val="center"/>
          </w:tcPr>
          <w:p>
            <w:pPr>
              <w:pStyle w:val="TableContents"/>
              <w:bidi w:val="0"/>
              <w:spacing w:before="0" w:after="0"/>
              <w:ind w:left="0" w:right="0" w:hanging="0"/>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0"/>
              <w:ind w:left="0" w:right="0" w:hanging="0"/>
              <w:jc w:val="left"/>
              <w:rPr/>
            </w:pPr>
            <w:r>
              <w:rPr/>
              <w:t> </w:t>
            </w:r>
          </w:p>
        </w:tc>
      </w:tr>
      <w:tr>
        <w:trPr/>
        <w:tc>
          <w:tcPr>
            <w:tcW w:w="77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 the instance document does not appear in the Interactive Data File because its XBRL tags are embedded within the Inline XBRL document.</w:t>
            </w:r>
          </w:p>
        </w:tc>
      </w:tr>
      <w:tr>
        <w:trPr/>
        <w:tc>
          <w:tcPr>
            <w:tcW w:w="777"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283"/>
              <w:jc w:val="left"/>
              <w:rPr/>
            </w:pPr>
            <w:r>
              <w:rPr/>
              <w:t> </w:t>
            </w:r>
          </w:p>
        </w:tc>
      </w:tr>
      <w:tr>
        <w:trPr/>
        <w:tc>
          <w:tcPr>
            <w:tcW w:w="77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77" w:type="dxa"/>
            <w:tcBorders/>
            <w:tcMar>
              <w:bottom w:w="0" w:type="dxa"/>
            </w:tcMar>
            <w:vAlign w:val="center"/>
          </w:tcPr>
          <w:p>
            <w:pPr>
              <w:pStyle w:val="TableContents"/>
              <w:bidi w:val="0"/>
              <w:spacing w:before="0" w:after="283"/>
              <w:jc w:val="left"/>
              <w:rPr/>
            </w:pPr>
            <w:r>
              <w:rPr/>
              <w:t> </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283"/>
              <w:jc w:val="left"/>
              <w:rPr/>
            </w:pPr>
            <w:r>
              <w:rPr/>
              <w:t> </w:t>
            </w:r>
          </w:p>
        </w:tc>
      </w:tr>
      <w:tr>
        <w:trPr/>
        <w:tc>
          <w:tcPr>
            <w:tcW w:w="77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77"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0"/>
              <w:ind w:left="0" w:right="0" w:hanging="0"/>
              <w:jc w:val="left"/>
              <w:rPr/>
            </w:pPr>
            <w:r>
              <w:rPr/>
              <w:t>​</w:t>
            </w:r>
          </w:p>
        </w:tc>
      </w:tr>
      <w:tr>
        <w:trPr/>
        <w:tc>
          <w:tcPr>
            <w:tcW w:w="77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77"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0"/>
              <w:ind w:left="0" w:right="0" w:hanging="0"/>
              <w:jc w:val="left"/>
              <w:rPr/>
            </w:pPr>
            <w:r>
              <w:rPr/>
              <w:t>​</w:t>
            </w:r>
          </w:p>
        </w:tc>
      </w:tr>
      <w:tr>
        <w:trPr/>
        <w:tc>
          <w:tcPr>
            <w:tcW w:w="77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77"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0"/>
              <w:ind w:left="0" w:right="0" w:hanging="0"/>
              <w:jc w:val="left"/>
              <w:rPr/>
            </w:pPr>
            <w:r>
              <w:rPr/>
              <w:t>​</w:t>
            </w:r>
          </w:p>
        </w:tc>
      </w:tr>
      <w:tr>
        <w:trPr/>
        <w:tc>
          <w:tcPr>
            <w:tcW w:w="77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77" w:type="dxa"/>
            <w:tcBorders/>
            <w:tcMar>
              <w:bottom w:w="0" w:type="dxa"/>
            </w:tcMar>
            <w:vAlign w:val="center"/>
          </w:tcPr>
          <w:p>
            <w:pPr>
              <w:pStyle w:val="TableContents"/>
              <w:bidi w:val="0"/>
              <w:spacing w:before="0" w:after="0"/>
              <w:ind w:left="0" w:right="0" w:hanging="0"/>
              <w:jc w:val="left"/>
              <w:rPr/>
            </w:pPr>
            <w:r>
              <w:rPr/>
              <w:t>​</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0"/>
              <w:ind w:left="0" w:right="0" w:hanging="0"/>
              <w:jc w:val="left"/>
              <w:rPr/>
            </w:pPr>
            <w:r>
              <w:rPr/>
              <w:t>​</w:t>
            </w:r>
          </w:p>
        </w:tc>
      </w:tr>
      <w:tr>
        <w:trPr/>
        <w:tc>
          <w:tcPr>
            <w:tcW w:w="777"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240" w:type="dxa"/>
            <w:tcBorders/>
            <w:tcMar>
              <w:bottom w:w="0" w:type="dxa"/>
            </w:tcMar>
            <w:vAlign w:val="center"/>
          </w:tcPr>
          <w:p>
            <w:pPr>
              <w:pStyle w:val="TableContents"/>
              <w:bidi w:val="0"/>
              <w:spacing w:before="0" w:after="0"/>
              <w:ind w:left="0" w:right="0" w:hanging="0"/>
              <w:jc w:val="left"/>
              <w:rPr/>
            </w:pPr>
            <w:r>
              <w:rPr/>
              <w:t>​</w:t>
            </w:r>
          </w:p>
        </w:tc>
        <w:tc>
          <w:tcPr>
            <w:tcW w:w="9188"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 and contained in Exhibit 101).</w:t>
            </w:r>
          </w:p>
        </w:tc>
      </w:tr>
    </w:tbl>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Incorporated herein by reference to the indicated filing.</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19" w:name="sigs"/>
      <w:bookmarkEnd w:id="19"/>
      <w:r>
        <w:rPr>
          <w:rFonts w:ascii="Times New Roman;Times;serif" w:hAnsi="Times New Roman;Times;serif"/>
          <w:b/>
          <w:sz w:val="20"/>
        </w:rPr>
        <w:t>SIGNATURES</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w:t>
      </w:r>
    </w:p>
    <w:tbl>
      <w:tblPr>
        <w:tblW w:w="6870" w:type="dxa"/>
        <w:jc w:val="left"/>
        <w:tblInd w:w="0" w:type="dxa"/>
        <w:tblLayout w:type="fixed"/>
        <w:tblCellMar>
          <w:top w:w="0" w:type="dxa"/>
          <w:left w:w="0" w:type="dxa"/>
          <w:bottom w:w="0" w:type="dxa"/>
          <w:right w:w="0" w:type="dxa"/>
        </w:tblCellMar>
      </w:tblPr>
      <w:tblGrid>
        <w:gridCol w:w="1535"/>
        <w:gridCol w:w="320"/>
        <w:gridCol w:w="5015"/>
      </w:tblGrid>
      <w:tr>
        <w:trPr/>
        <w:tc>
          <w:tcPr>
            <w:tcW w:w="1535" w:type="dxa"/>
            <w:tcBorders/>
            <w:vAlign w:val="center"/>
          </w:tcPr>
          <w:p>
            <w:pPr>
              <w:pStyle w:val="TableContents"/>
              <w:bidi w:val="0"/>
              <w:spacing w:before="0" w:after="0"/>
              <w:ind w:left="0" w:right="0" w:hanging="0"/>
              <w:jc w:val="left"/>
              <w:rPr/>
            </w:pPr>
            <w:r>
              <w:rPr/>
              <w:t>​</w:t>
            </w:r>
          </w:p>
        </w:tc>
        <w:tc>
          <w:tcPr>
            <w:tcW w:w="5335"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APPLIED OPTOELECTRONICS, INC.</w:t>
            </w:r>
          </w:p>
        </w:tc>
      </w:tr>
      <w:tr>
        <w:trPr/>
        <w:tc>
          <w:tcPr>
            <w:tcW w:w="153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pPr>
            <w:r>
              <w:rPr/>
              <w:t>​</w:t>
            </w:r>
          </w:p>
        </w:tc>
      </w:tr>
      <w:tr>
        <w:trPr/>
        <w:tc>
          <w:tcPr>
            <w:tcW w:w="15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8, 2025</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50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r>
      <w:tr>
        <w:trPr/>
        <w:tc>
          <w:tcPr>
            <w:tcW w:w="153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smallCaps/>
                <w:sz w:val="20"/>
              </w:rPr>
            </w:pPr>
            <w:r>
              <w:rPr>
                <w:rFonts w:ascii="Times New Roman;Times;serif" w:hAnsi="Times New Roman;Times;serif"/>
                <w:smallCaps/>
                <w:sz w:val="20"/>
              </w:rPr>
              <w:t>Stefan J. Murry</w:t>
            </w:r>
          </w:p>
        </w:tc>
      </w:tr>
      <w:tr>
        <w:trPr/>
        <w:tc>
          <w:tcPr>
            <w:tcW w:w="153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535" w:type="dxa"/>
            <w:tcBorders/>
            <w:vAlign w:val="center"/>
          </w:tcPr>
          <w:p>
            <w:pPr>
              <w:pStyle w:val="TableContents"/>
              <w:bidi w:val="0"/>
              <w:spacing w:before="0" w:after="0"/>
              <w:ind w:left="0" w:right="0" w:hanging="0"/>
              <w:jc w:val="left"/>
              <w:rPr/>
            </w:pPr>
            <w:r>
              <w:rPr/>
              <w:t>​</w:t>
            </w:r>
          </w:p>
        </w:tc>
        <w:tc>
          <w:tcPr>
            <w:tcW w:w="320" w:type="dxa"/>
            <w:tcBorders/>
            <w:vAlign w:val="center"/>
          </w:tcPr>
          <w:p>
            <w:pPr>
              <w:pStyle w:val="TableContents"/>
              <w:bidi w:val="0"/>
              <w:spacing w:before="0" w:after="0"/>
              <w:ind w:left="0" w:right="0" w:hanging="0"/>
              <w:jc w:val="left"/>
              <w:rPr/>
            </w:pPr>
            <w:r>
              <w:rPr/>
              <w:t>​</w:t>
            </w:r>
          </w:p>
        </w:tc>
        <w:tc>
          <w:tcPr>
            <w:tcW w:w="5015"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(principal financial officer and principal accounting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29 </w:t>
      </w:r>
    </w:p>
    <w:p>
      <w:pPr>
        <w:pStyle w:val="TextBody"/>
        <w:bidi w:val="0"/>
        <w:spacing w:before="0" w:after="0"/>
        <w:ind w:left="0" w:right="0" w:hanging="0"/>
        <w:jc w:val="right"/>
        <w:rPr>
          <w:rFonts w:ascii="Times New Roman;Times;serif" w:hAnsi="Times New Roman;Times;serif"/>
          <w:sz w:val="20"/>
        </w:rPr>
      </w:pPr>
      <w:bookmarkStart w:id="20" w:name="ex_762812.htm"/>
      <w:bookmarkStart w:id="21" w:name="ksex_762812"/>
      <w:bookmarkEnd w:id="20"/>
      <w:bookmarkEnd w:id="21"/>
      <w:r>
        <w:rPr>
          <w:rFonts w:ascii="Times New Roman;Times;serif" w:hAnsi="Times New Roman;Times;serif"/>
          <w:b/>
          <w:sz w:val="20"/>
        </w:rPr>
        <w:t>Exhibit 31.1</w:t>
      </w:r>
      <w:r>
        <w:rPr>
          <w:rFonts w:ascii="Times New Roman;Times;serif" w:hAnsi="Times New Roman;Times;serif"/>
          <w:sz w:val="20"/>
        </w:rPr>
        <w:t> </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Chih-Hsiang (Thompson) Lin, certify that:</w:t>
      </w:r>
    </w:p>
    <w:p>
      <w:pPr>
        <w:pStyle w:val="TextBody"/>
        <w:bidi w:val="0"/>
        <w:spacing w:before="0" w:after="0"/>
        <w:ind w:left="0" w:right="0" w:hanging="0"/>
        <w:jc w:val="left"/>
        <w:rPr/>
      </w:pPr>
      <w:r>
        <w:rPr/>
        <w:t>  </w:t>
      </w:r>
    </w:p>
    <w:tbl>
      <w:tblPr>
        <w:tblW w:w="7090" w:type="dxa"/>
        <w:jc w:val="left"/>
        <w:tblInd w:w="0" w:type="dxa"/>
        <w:tblLayout w:type="fixed"/>
        <w:tblCellMar>
          <w:top w:w="0" w:type="dxa"/>
          <w:left w:w="0" w:type="dxa"/>
          <w:bottom w:w="0" w:type="dxa"/>
          <w:right w:w="0" w:type="dxa"/>
        </w:tblCellMar>
      </w:tblPr>
      <w:tblGrid>
        <w:gridCol w:w="170"/>
        <w:gridCol w:w="69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Applied Optoelectronics, Inc.;</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8, 2025</w:t>
      </w:r>
    </w:p>
    <w:p>
      <w:pPr>
        <w:pStyle w:val="TextBody"/>
        <w:bidi w:val="0"/>
        <w:spacing w:before="0" w:after="0"/>
        <w:ind w:left="0" w:right="0" w:hanging="0"/>
        <w:jc w:val="center"/>
        <w:rPr/>
      </w:pPr>
      <w:r>
        <w:rPr/>
        <w:t>  </w:t>
      </w:r>
    </w:p>
    <w:tbl>
      <w:tblPr>
        <w:tblW w:w="3140" w:type="dxa"/>
        <w:jc w:val="left"/>
        <w:tblInd w:w="0" w:type="dxa"/>
        <w:tblLayout w:type="fixed"/>
        <w:tblCellMar>
          <w:top w:w="0" w:type="dxa"/>
          <w:left w:w="0" w:type="dxa"/>
          <w:bottom w:w="28" w:type="dxa"/>
          <w:right w:w="0" w:type="dxa"/>
        </w:tblCellMar>
      </w:tblPr>
      <w:tblGrid>
        <w:gridCol w:w="3080"/>
        <w:gridCol w:w="60"/>
      </w:tblGrid>
      <w:tr>
        <w:trPr/>
        <w:tc>
          <w:tcPr>
            <w:tcW w:w="30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CHIH-HSIANG (THOMPSON) LIN</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CHIH-HSIANG (THOMPSON) LIN</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60"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sz w:val="20"/>
        </w:rPr>
      </w:pPr>
      <w:bookmarkStart w:id="22" w:name="ex_762813.htm"/>
      <w:bookmarkStart w:id="23" w:name="ksex_762813"/>
      <w:bookmarkEnd w:id="22"/>
      <w:bookmarkEnd w:id="23"/>
      <w:r>
        <w:rPr>
          <w:rFonts w:ascii="Times New Roman;Times;serif" w:hAnsi="Times New Roman;Times;serif"/>
          <w:b/>
          <w:sz w:val="20"/>
        </w:rPr>
        <w:t>Exhibit 31.2</w:t>
      </w:r>
      <w:r>
        <w:rPr>
          <w:rFonts w:ascii="Times New Roman;Times;serif" w:hAnsi="Times New Roman;Times;serif"/>
          <w:sz w:val="20"/>
        </w:rPr>
        <w:t>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Stefan J. Murry, certify that:</w:t>
      </w:r>
    </w:p>
    <w:p>
      <w:pPr>
        <w:pStyle w:val="TextBody"/>
        <w:bidi w:val="0"/>
        <w:spacing w:before="0" w:after="0"/>
        <w:ind w:left="0" w:right="0" w:hanging="0"/>
        <w:jc w:val="left"/>
        <w:rPr/>
      </w:pPr>
      <w:r>
        <w:rPr/>
        <w:t>  </w:t>
      </w:r>
    </w:p>
    <w:tbl>
      <w:tblPr>
        <w:tblW w:w="7090" w:type="dxa"/>
        <w:jc w:val="left"/>
        <w:tblInd w:w="0" w:type="dxa"/>
        <w:tblLayout w:type="fixed"/>
        <w:tblCellMar>
          <w:top w:w="0" w:type="dxa"/>
          <w:left w:w="0" w:type="dxa"/>
          <w:bottom w:w="0" w:type="dxa"/>
          <w:right w:w="0" w:type="dxa"/>
        </w:tblCellMar>
      </w:tblPr>
      <w:tblGrid>
        <w:gridCol w:w="170"/>
        <w:gridCol w:w="692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69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Applied Optoelectronics, Inc.;</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 and for, the periods presented in this report;</w:t>
            </w:r>
          </w:p>
        </w:tc>
      </w:tr>
    </w:tbl>
    <w:p>
      <w:pPr>
        <w:pStyle w:val="TextBody"/>
        <w:bidi w:val="0"/>
        <w:spacing w:before="0" w:after="0"/>
        <w:ind w:left="720" w:right="0" w:hanging="720"/>
        <w:jc w:val="left"/>
        <w:rPr/>
      </w:pPr>
      <w:r>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100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1440" w:right="0" w:hanging="36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May 8, 2025</w:t>
      </w:r>
    </w:p>
    <w:p>
      <w:pPr>
        <w:pStyle w:val="TextBody"/>
        <w:bidi w:val="0"/>
        <w:spacing w:before="0" w:after="0"/>
        <w:ind w:left="0" w:right="0" w:hanging="0"/>
        <w:jc w:val="left"/>
        <w:rPr/>
      </w:pPr>
      <w:r>
        <w:rPr/>
        <w:t>    </w:t>
      </w:r>
    </w:p>
    <w:tbl>
      <w:tblPr>
        <w:tblW w:w="1970" w:type="dxa"/>
        <w:jc w:val="left"/>
        <w:tblInd w:w="0" w:type="dxa"/>
        <w:tblLayout w:type="fixed"/>
        <w:tblCellMar>
          <w:top w:w="0" w:type="dxa"/>
          <w:left w:w="0" w:type="dxa"/>
          <w:bottom w:w="28" w:type="dxa"/>
          <w:right w:w="0" w:type="dxa"/>
        </w:tblCellMar>
      </w:tblPr>
      <w:tblGrid>
        <w:gridCol w:w="1910"/>
        <w:gridCol w:w="60"/>
      </w:tblGrid>
      <w:tr>
        <w:trPr/>
        <w:tc>
          <w:tcPr>
            <w:tcW w:w="19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STEFAN J. MURRY</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sz w:val="20"/>
        </w:rPr>
      </w:pPr>
      <w:bookmarkStart w:id="24" w:name="ex_762814.htm"/>
      <w:bookmarkStart w:id="25" w:name="ksex_762814"/>
      <w:bookmarkEnd w:id="24"/>
      <w:bookmarkEnd w:id="25"/>
      <w:r>
        <w:rPr>
          <w:rFonts w:ascii="Times New Roman;Times;serif" w:hAnsi="Times New Roman;Times;serif"/>
          <w:b/>
          <w:sz w:val="20"/>
        </w:rPr>
        <w:t>Exhibit 32.1</w:t>
      </w:r>
      <w:r>
        <w:rPr>
          <w:rFonts w:ascii="Times New Roman;Times;serif" w:hAnsi="Times New Roman;Times;serif"/>
          <w:sz w:val="20"/>
        </w:rPr>
        <w:t>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w:t>
      </w:r>
      <w:r>
        <w:rPr>
          <w:rFonts w:ascii="Times New Roman;Times;serif" w:hAnsi="Times New Roman;Times;serif"/>
          <w:sz w:val="20"/>
        </w:rPr>
        <w:t> </w:t>
      </w:r>
    </w:p>
    <w:p>
      <w:pPr>
        <w:pStyle w:val="TextBody"/>
        <w:bidi w:val="0"/>
        <w:spacing w:before="0" w:after="0"/>
        <w:ind w:left="0" w:right="0" w:hanging="0"/>
        <w:jc w:val="center"/>
        <w:rPr/>
      </w:pPr>
      <w:r>
        <w:rPr/>
        <w:t>  </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Pursuant to the requirement set forth in Rule 13a-14(b) of the Securities Exchange Act of 1934, as amended (the “Exchange Act”), and Section 1350 of Chapter 63 of Title 18 of the U.S. Code (18 U.S.C. § 1350), Chih-Hsiang (Thompson) Lin, President and Chief Executive Officer of Applied Optoelectronics, Inc. (the “Company”), and Stefan J. Murry, Chief Financial Officer and Senior Vice President of the Company, each hereby certifies that, to the best of his knowledge:</w:t>
      </w:r>
    </w:p>
    <w:p>
      <w:pPr>
        <w:pStyle w:val="TextBody"/>
        <w:bidi w:val="0"/>
        <w:spacing w:before="0" w:after="0"/>
        <w:ind w:left="0" w:right="0" w:firstLine="72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5"/>
        <w:gridCol w:w="10000"/>
      </w:tblGrid>
      <w:tr>
        <w:trPr/>
        <w:tc>
          <w:tcPr>
            <w:tcW w:w="60" w:type="dxa"/>
            <w:tcBorders/>
            <w:vAlign w:val="center"/>
          </w:tcPr>
          <w:p>
            <w:pPr>
              <w:pStyle w:val="TableContents"/>
              <w:bidi w:val="0"/>
              <w:spacing w:before="0" w:after="283"/>
              <w:jc w:val="left"/>
              <w:rPr/>
            </w:pPr>
            <w:r>
              <w:rPr/>
              <w:t> </w:t>
            </w:r>
          </w:p>
        </w:tc>
        <w:tc>
          <w:tcPr>
            <w:tcW w:w="14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100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The Company’s Quarterly Report on Form 10-Q for the period ended </w:t>
            </w:r>
            <w:bookmarkStart w:id="26" w:name="led539606F20242211711043696668"/>
            <w:bookmarkEnd w:id="26"/>
            <w:r>
              <w:rPr>
                <w:rFonts w:ascii="Times New Roman;Times;serif" w:hAnsi="Times New Roman;Times;serif"/>
                <w:sz w:val="20"/>
              </w:rPr>
              <w:t>March 31, 2025, to which this Certification is attached as Exhibit 32.1 (the “Quarterly Report”) fully complies with the requirements of Section 13(a) or Section 15(d) of the Exchange Act; and</w:t>
            </w:r>
          </w:p>
        </w:tc>
      </w:tr>
    </w:tbl>
    <w:p>
      <w:pPr>
        <w:pStyle w:val="TextBody"/>
        <w:bidi w:val="0"/>
        <w:spacing w:before="0" w:after="0"/>
        <w:ind w:left="864" w:right="0" w:hanging="504"/>
        <w:jc w:val="both"/>
        <w:rPr/>
      </w:pPr>
      <w:r>
        <w:rPr/>
        <w:t>  </w:t>
      </w:r>
    </w:p>
    <w:tbl>
      <w:tblPr>
        <w:tblW w:w="10205" w:type="dxa"/>
        <w:jc w:val="left"/>
        <w:tblInd w:w="0" w:type="dxa"/>
        <w:tblLayout w:type="fixed"/>
        <w:tblCellMar>
          <w:top w:w="0" w:type="dxa"/>
          <w:left w:w="0" w:type="dxa"/>
          <w:bottom w:w="0" w:type="dxa"/>
          <w:right w:w="0" w:type="dxa"/>
        </w:tblCellMar>
      </w:tblPr>
      <w:tblGrid>
        <w:gridCol w:w="60"/>
        <w:gridCol w:w="159"/>
        <w:gridCol w:w="9986"/>
      </w:tblGrid>
      <w:tr>
        <w:trPr/>
        <w:tc>
          <w:tcPr>
            <w:tcW w:w="60" w:type="dxa"/>
            <w:tcBorders/>
            <w:vAlign w:val="center"/>
          </w:tcPr>
          <w:p>
            <w:pPr>
              <w:pStyle w:val="TableContents"/>
              <w:bidi w:val="0"/>
              <w:spacing w:before="0" w:after="283"/>
              <w:jc w:val="left"/>
              <w:rPr/>
            </w:pPr>
            <w:r>
              <w:rPr/>
              <w:t> </w:t>
            </w:r>
          </w:p>
        </w:tc>
        <w:tc>
          <w:tcPr>
            <w:tcW w:w="15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8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information contained in the Quarterly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In Witness Whereof, the undersigned have set their hands hereto as of the 8th day of May, 2025.</w:t>
      </w:r>
    </w:p>
    <w:p>
      <w:pPr>
        <w:pStyle w:val="TextBody"/>
        <w:bidi w:val="0"/>
        <w:spacing w:before="0" w:after="0"/>
        <w:ind w:left="0" w:right="0" w:hanging="0"/>
        <w:jc w:val="center"/>
        <w:rPr/>
      </w:pPr>
      <w:r>
        <w:rPr/>
        <w:t>  </w:t>
      </w:r>
    </w:p>
    <w:tbl>
      <w:tblPr>
        <w:tblW w:w="5230" w:type="dxa"/>
        <w:jc w:val="left"/>
        <w:tblInd w:w="0" w:type="dxa"/>
        <w:tblLayout w:type="fixed"/>
        <w:tblCellMar>
          <w:top w:w="0" w:type="dxa"/>
          <w:left w:w="0" w:type="dxa"/>
          <w:bottom w:w="28" w:type="dxa"/>
          <w:right w:w="0" w:type="dxa"/>
        </w:tblCellMar>
      </w:tblPr>
      <w:tblGrid>
        <w:gridCol w:w="3080"/>
        <w:gridCol w:w="240"/>
        <w:gridCol w:w="1910"/>
      </w:tblGrid>
      <w:tr>
        <w:trPr/>
        <w:tc>
          <w:tcPr>
            <w:tcW w:w="308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CHIH-HSIANG (THOMPSON) LIN</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19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STEFAN J. MURRY</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CHIH-HSIANG (THOMPSON) LIN</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STEFAN J. MURRY</w:t>
            </w:r>
          </w:p>
        </w:tc>
      </w:tr>
      <w:tr>
        <w:trPr/>
        <w:tc>
          <w:tcPr>
            <w:tcW w:w="308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240" w:type="dxa"/>
            <w:tcBorders/>
            <w:tcMar>
              <w:bottom w:w="0" w:type="dxa"/>
            </w:tcMar>
            <w:vAlign w:val="center"/>
          </w:tcPr>
          <w:p>
            <w:pPr>
              <w:pStyle w:val="TableContents"/>
              <w:bidi w:val="0"/>
              <w:spacing w:before="0" w:after="0"/>
              <w:ind w:left="0" w:right="0" w:hanging="0"/>
              <w:jc w:val="left"/>
              <w:rPr/>
            </w:pPr>
            <w:r>
              <w:rPr/>
              <w:t> </w:t>
            </w:r>
          </w:p>
        </w:tc>
        <w:tc>
          <w:tcPr>
            <w:tcW w:w="19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This certification accompanies the Quarterly Report to which it relates, is not deemed filed with the Securities and Exchange Commission and is not to be incorporated by reference into any filing of Applied Optoelectronics, Inc. under the Securities Act of 1933, as amended, or the Securities Exchange Act of 1934, as amended (whether made before or after the date of the Quarterly Report), irrespective of any general incorporation language contained in such filing.</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58114/000101968713004306/aaoi_10q-ex0301.htm" TargetMode="External"/><Relationship Id="rId3" Type="http://schemas.openxmlformats.org/officeDocument/2006/relationships/hyperlink" Target="http://www.sec.gov/Archives/edgar/data/1158114/000168316823006330/appopto_ex0301.htm" TargetMode="External"/><Relationship Id="rId4" Type="http://schemas.openxmlformats.org/officeDocument/2006/relationships/hyperlink" Target="http://www.sec.gov/Archives/edgar/data/1158114/000101968713004306/aaoi_10q-ex0302.htm" TargetMode="External"/><Relationship Id="rId5" Type="http://schemas.openxmlformats.org/officeDocument/2006/relationships/hyperlink" Target="http://www.sec.gov/Archives/edgar/data/1158114/000110465925030932/tm2511114d1_ex3-1.htm" TargetMode="External"/><Relationship Id="rId6" Type="http://schemas.openxmlformats.org/officeDocument/2006/relationships/hyperlink" Target="http://www.sec.gov/Archives/edgar/data/1158114/000110465915051289/a15-15715_1ex4d1.htm" TargetMode="External"/><Relationship Id="rId7" Type="http://schemas.openxmlformats.org/officeDocument/2006/relationships/hyperlink" Target="http://www.sec.gov/Archives/edgar/data/1158114/000110465923123656/tm2331117d2_ex4-1.htm" TargetMode="External"/><Relationship Id="rId8" Type="http://schemas.openxmlformats.org/officeDocument/2006/relationships/hyperlink" Target="http://www.sec.gov/Archives/edgar/data/1158114/000110465923123656/tm2331117d2_ex4-3.htm" TargetMode="External"/><Relationship Id="rId9" Type="http://schemas.openxmlformats.org/officeDocument/2006/relationships/hyperlink" Target="http://www.sec.gov/Archives/edgar/data/0001158114/000110465924131385/tm2431223d10_ex4-1.htm" TargetMode="External"/><Relationship Id="rId10" Type="http://schemas.openxmlformats.org/officeDocument/2006/relationships/hyperlink" Target="http://www.sec.gov/Archives/edgar/data/0001158114/000110465924131385/tm2431223d10_ex4-1.htm" TargetMode="External"/><Relationship Id="rId11" Type="http://schemas.openxmlformats.org/officeDocument/2006/relationships/hyperlink" Target="http://www.sec.gov/Archives/edgar/data/1158114/000110465924131385/tm2431223d10_ex4-3.htm" TargetMode="External"/><Relationship Id="rId12" Type="http://schemas.openxmlformats.org/officeDocument/2006/relationships/hyperlink" Target="http://www.sec.gov/Archives/edgar/data/1158114/000168316825001580/appliedopto_ex0401.htm" TargetMode="External"/><Relationship Id="rId13" Type="http://schemas.openxmlformats.org/officeDocument/2006/relationships/hyperlink" Target="http://www.sec.gov/Archives/edgar/data/1158114/000168316825001580/appliedopto_ex0401.htm" TargetMode="External"/><Relationship Id="rId14" Type="http://schemas.openxmlformats.org/officeDocument/2006/relationships/hyperlink" Target="http://www.sec.gov/Archives/edgar/data/1158114/000168316825001580/appliedopto_ex0401.htm" TargetMode="External"/><Relationship Id="rId15" Type="http://schemas.openxmlformats.org/officeDocument/2006/relationships/hyperlink" Target="http://www.sec.gov/Archives/edgar/data/1158114/000168316825001580/appliedopto_ex1001.htm" TargetMode="External"/><Relationship Id="rId16" Type="http://schemas.openxmlformats.org/officeDocument/2006/relationships/hyperlink" Target="http://www.sec.gov/Archives/edgar/data/1158114/000168316825001580/appliedopto_ex1001.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17231</Words>
  <Characters>93713</Characters>
  <CharactersWithSpaces>112811</CharactersWithSpaces>
  <Paragraphs>5919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