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Murry Stefan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377,605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376,926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375,938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375,168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surrendered to the Issuer to satisfy tax-withholding obligations upon the vesting of restricted stock unit award granted on June 26, 2023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surrendered to the Issuer to satisfy tax-withholding obligations upon the vesting of restricted stock unit award granted on April 29, 2024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surrendered to the Issuer to satisfy tax-withholding obligations upon the vesting of restricted stock unit award granted on April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shares surrendered to the Issuer to satisfy tax-withholding obligations upon the vesting of restricted stock unit award granted on February 9, 2026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Stefan J. Murry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7599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3854</Characters>
  <CharactersWithSpaces>4469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