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3900" w:right="1020" w:hanging="2864"/>
        <w:spacing w:after="0" w:line="491" w:lineRule="auto"/>
        <w:tabs>
          <w:tab w:leader="none" w:pos="12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__________ to </w:t>
      </w:r>
      <w:r>
        <w:rPr>
          <w:rFonts w:ascii="Times New Roman" w:cs="Times New Roman" w:eastAsia="Times New Roman" w:hAnsi="Times New Roman"/>
          <w:sz w:val="18"/>
          <w:szCs w:val="18"/>
          <w:color w:val="auto"/>
        </w:rPr>
        <w:t>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441" w:right="239" w:bottom="1440" w:gutter="0" w:footer="0" w:header="0"/>
        </w:sectPr>
      </w:pP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76-0533927</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441" w:right="2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13115 Jess Pirtle Blvd.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Sugar Land, TX 77478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ind w:left="5580" w:hanging="428"/>
        <w:spacing w:after="0"/>
        <w:tabs>
          <w:tab w:leader="none" w:pos="5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295-1800</w:t>
      </w:r>
    </w:p>
    <w:p>
      <w:pPr>
        <w:spacing w:after="0" w:line="31" w:lineRule="exact"/>
        <w:rPr>
          <w:rFonts w:ascii="Times New Roman" w:cs="Times New Roman" w:eastAsia="Times New Roman" w:hAnsi="Times New Roman"/>
          <w:sz w:val="18"/>
          <w:szCs w:val="18"/>
          <w:b w:val="1"/>
          <w:bCs w:val="1"/>
          <w:color w:val="auto"/>
        </w:rPr>
      </w:pPr>
    </w:p>
    <w:p>
      <w:pPr>
        <w:ind w:left="4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(Registrant’s telephone number)</w:t>
      </w:r>
    </w:p>
    <w:p>
      <w:pPr>
        <w:spacing w:after="0" w:line="207" w:lineRule="exact"/>
        <w:rPr>
          <w:sz w:val="24"/>
          <w:szCs w:val="24"/>
          <w:color w:val="auto"/>
        </w:rPr>
      </w:pPr>
    </w:p>
    <w:p>
      <w:pPr>
        <w:jc w:val="both"/>
        <w:ind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firstLine="41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41" w:right="239" w:bottom="1440" w:gutter="0" w:footer="0" w:header="0"/>
          <w:type w:val="continuous"/>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2" w:lineRule="exact"/>
        <w:rPr>
          <w:sz w:val="24"/>
          <w:szCs w:val="24"/>
          <w:color w:val="auto"/>
        </w:rPr>
      </w:pPr>
    </w:p>
    <w:p>
      <w:pPr>
        <w:sectPr>
          <w:pgSz w:w="11900" w:h="16838" w:orient="portrait"/>
          <w:cols w:equalWidth="0" w:num="4">
            <w:col w:w="2280" w:space="720"/>
            <w:col w:w="4180" w:space="720"/>
            <w:col w:w="2240" w:space="720"/>
            <w:col w:w="560"/>
          </w:cols>
          <w:pgMar w:left="240" w:top="441"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19" w:lineRule="exact"/>
        <w:rPr>
          <w:sz w:val="24"/>
          <w:szCs w:val="24"/>
          <w:color w:val="auto"/>
        </w:rPr>
      </w:pPr>
    </w:p>
    <w:p>
      <w:pPr>
        <w:sectPr>
          <w:pgSz w:w="11900" w:h="16838" w:orient="portrait"/>
          <w:cols w:equalWidth="0" w:num="4">
            <w:col w:w="2280" w:space="720"/>
            <w:col w:w="4180" w:space="720"/>
            <w:col w:w="2240" w:space="720"/>
            <w:col w:w="560"/>
          </w:cols>
          <w:pgMar w:left="240" w:top="441" w:right="239" w:bottom="1440" w:gutter="0" w:footer="0" w:header="0"/>
          <w:type w:val="continuous"/>
        </w:sect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as of May 4, 2016 there were 17,077,784 shares of the registrant’s Common Stock outstanding.</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Borders>
              <w:bottom w:val="single" w:sz="8" w:color="EEEEEE"/>
            </w:tcBorders>
          </w:tcPr>
          <w:p>
            <w:pPr>
              <w:spacing w:after="0"/>
              <w:rPr>
                <w:sz w:val="20"/>
                <w:szCs w:val="20"/>
                <w:color w:val="auto"/>
              </w:rPr>
            </w:pPr>
          </w:p>
        </w:tc>
        <w:tc>
          <w:tcPr>
            <w:tcW w:w="1380" w:type="dxa"/>
            <w:vAlign w:val="bottom"/>
            <w:tcBorders>
              <w:bottom w:val="single" w:sz="8" w:color="EEEEEE"/>
            </w:tcBorders>
          </w:tcPr>
          <w:p>
            <w:pPr>
              <w:spacing w:after="0"/>
              <w:rPr>
                <w:sz w:val="20"/>
                <w:szCs w:val="20"/>
                <w:color w:val="auto"/>
              </w:rPr>
            </w:pPr>
          </w:p>
        </w:tc>
        <w:tc>
          <w:tcPr>
            <w:tcW w:w="200" w:type="dxa"/>
            <w:vAlign w:val="bottom"/>
            <w:tcBorders>
              <w:bottom w:val="single" w:sz="8" w:color="EEEEEE"/>
            </w:tcBorders>
          </w:tcPr>
          <w:p>
            <w:pPr>
              <w:spacing w:after="0"/>
              <w:rPr>
                <w:sz w:val="20"/>
                <w:szCs w:val="20"/>
                <w:color w:val="auto"/>
              </w:rPr>
            </w:pPr>
          </w:p>
        </w:tc>
        <w:tc>
          <w:tcPr>
            <w:tcW w:w="8600" w:type="dxa"/>
            <w:vAlign w:val="bottom"/>
            <w:tcBorders>
              <w:bottom w:val="single" w:sz="8" w:color="EEEEEE"/>
            </w:tcBorders>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840" w:type="dxa"/>
            <w:vAlign w:val="bottom"/>
            <w:gridSpan w:val="4"/>
            <w:shd w:val="clear" w:color="auto" w:fill="EEEEEE"/>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Condensed Consolidated Financial Statements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2016 (Unaudited) and December 31, 2015</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 Months ended March 31, 2016 and 2015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 Months Ended March 31, 2016 and 2015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Three Months Ended March 31, 2016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2016 and 2015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2.</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3.</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4.</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1.</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w w:val="99"/>
              </w:rPr>
              <w:t>Item 1A.</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2.</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3.</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4.</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5.</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Item 6.</w:t>
            </w: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180" w:type="dxa"/>
            <w:vAlign w:val="bottom"/>
            <w:gridSpan w:val="3"/>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5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gridSpan w:val="3"/>
          </w:tcPr>
          <w:p>
            <w:pPr>
              <w:ind w:left="500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45,528</w:t>
            </w:r>
          </w:p>
        </w:tc>
        <w:tc>
          <w:tcPr>
            <w:tcW w:w="700" w:type="dxa"/>
            <w:vAlign w:val="bottom"/>
            <w:gridSpan w:val="2"/>
            <w:shd w:val="clear" w:color="auto" w:fill="EEEEEE"/>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28,074</w:t>
            </w: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4,719</w:t>
            </w: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7,960</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7,886</w:t>
            </w: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1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34,868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38,775</w:t>
            </w: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60,258</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66,238</w:t>
            </w:r>
          </w:p>
        </w:tc>
      </w:tr>
      <w:tr>
        <w:trPr>
          <w:trHeight w:val="23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8,236</w:t>
            </w:r>
          </w:p>
        </w:tc>
      </w:tr>
      <w:tr>
        <w:trPr>
          <w:trHeight w:val="210"/>
        </w:trPr>
        <w:tc>
          <w:tcPr>
            <w:tcW w:w="77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160,479</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153,928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123,656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109,699</w:t>
            </w: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1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r>
      <w:tr>
        <w:trPr>
          <w:trHeight w:val="230"/>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6,915</w:t>
            </w:r>
          </w:p>
        </w:tc>
        <w:tc>
          <w:tcPr>
            <w:tcW w:w="1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5,094</w:t>
            </w:r>
          </w:p>
        </w:tc>
      </w:tr>
      <w:tr>
        <w:trPr>
          <w:trHeight w:val="263"/>
        </w:trPr>
        <w:tc>
          <w:tcPr>
            <w:tcW w:w="778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295,861</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273,475</w:t>
            </w:r>
          </w:p>
        </w:tc>
        <w:tc>
          <w:tcPr>
            <w:tcW w:w="100" w:type="dxa"/>
            <w:vAlign w:val="bottom"/>
            <w:tcBorders>
              <w:bottom w:val="single" w:sz="8" w:color="EEEEEE"/>
            </w:tcBorders>
          </w:tcPr>
          <w:p>
            <w:pPr>
              <w:spacing w:after="0"/>
              <w:rPr>
                <w:sz w:val="22"/>
                <w:szCs w:val="22"/>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Current portion of notes payable and long-term debt</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40,972</w:t>
            </w:r>
          </w:p>
        </w:tc>
        <w:tc>
          <w:tcPr>
            <w:tcW w:w="700" w:type="dxa"/>
            <w:vAlign w:val="bottom"/>
            <w:gridSpan w:val="2"/>
            <w:shd w:val="clear" w:color="auto" w:fill="EEEEEE"/>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30,908</w:t>
            </w: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28,668</w:t>
            </w: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1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2,411</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r>
      <w:tr>
        <w:trPr>
          <w:trHeight w:val="23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9,308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11,506</w:t>
            </w:r>
          </w:p>
        </w:tc>
      </w:tr>
      <w:tr>
        <w:trPr>
          <w:trHeight w:val="210"/>
        </w:trPr>
        <w:tc>
          <w:tcPr>
            <w:tcW w:w="77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77,804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74,080</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and long-term debt, less current portion</w:t>
            </w:r>
          </w:p>
        </w:tc>
        <w:tc>
          <w:tcPr>
            <w:tcW w:w="1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52,178</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33,997</w:t>
            </w:r>
          </w:p>
        </w:tc>
      </w:tr>
      <w:tr>
        <w:trPr>
          <w:trHeight w:val="210"/>
        </w:trPr>
        <w:tc>
          <w:tcPr>
            <w:tcW w:w="778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129,982</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108,077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80" w:type="dxa"/>
            <w:vAlign w:val="bottom"/>
            <w:shd w:val="clear" w:color="auto" w:fill="EEEEEE"/>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5,000 shares authorized; no shares issued and outstanding at March 31, 2016 and</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78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December 31, 2015, $0.001 par value</w:t>
            </w: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45,000 shares authorized;17,070 and 16,839 shares issued and outstanding at</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March 31, 2016 and at December 31, 2015, $0.001 par value</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7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234,229</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233,336</w:t>
            </w: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77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(69,577)</w:t>
            </w:r>
          </w:p>
        </w:tc>
        <w:tc>
          <w:tcPr>
            <w:tcW w:w="16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(68,247)</w:t>
            </w:r>
          </w:p>
        </w:tc>
      </w:tr>
      <w:tr>
        <w:trPr>
          <w:trHeight w:val="210"/>
        </w:trPr>
        <w:tc>
          <w:tcPr>
            <w:tcW w:w="778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165,879</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165,398</w:t>
            </w:r>
          </w:p>
        </w:tc>
        <w:tc>
          <w:tcPr>
            <w:tcW w:w="100" w:type="dxa"/>
            <w:vAlign w:val="bottom"/>
            <w:tcBorders>
              <w:bottom w:val="single" w:sz="8" w:color="EEEEEE"/>
            </w:tcBorders>
          </w:tcPr>
          <w:p>
            <w:pPr>
              <w:spacing w:after="0"/>
              <w:rPr>
                <w:sz w:val="18"/>
                <w:szCs w:val="18"/>
                <w:color w:val="auto"/>
              </w:rPr>
            </w:pPr>
          </w:p>
        </w:tc>
      </w:tr>
      <w:tr>
        <w:trPr>
          <w:trHeight w:val="223"/>
        </w:trPr>
        <w:tc>
          <w:tcPr>
            <w:tcW w:w="7780" w:type="dxa"/>
            <w:vAlign w:val="bottom"/>
            <w:tcBorders>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295,861</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540" w:type="dxa"/>
            <w:vAlign w:val="bottom"/>
            <w:tcBorders>
              <w:bottom w:val="single" w:sz="8" w:color="auto"/>
            </w:tcBorders>
            <w:shd w:val="clear" w:color="auto" w:fill="EEEEEE"/>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273,475</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20" w:type="dxa"/>
            <w:vAlign w:val="bottom"/>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50,422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36,169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20,183</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8,396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5,733</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EEEEEE"/>
          </w:tcPr>
          <w:p>
            <w:pPr>
              <w:spacing w:after="0"/>
              <w:rPr>
                <w:sz w:val="18"/>
                <w:szCs w:val="18"/>
                <w:color w:val="auto"/>
              </w:rPr>
            </w:pPr>
          </w:p>
        </w:tc>
        <w:tc>
          <w:tcPr>
            <w:tcW w:w="12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00" w:type="dxa"/>
            <w:vAlign w:val="bottom"/>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gridSpan w:val="2"/>
            <w:shd w:val="clear" w:color="auto" w:fill="EEEEEE"/>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3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16,930,261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14,844,211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16,930,261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14,844,211</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CONDENSED CONSOLIDATED STATEMENTS OF COMPREHENSIVE INCOME (Unaudited,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top w:val="single" w:sz="8" w:color="auto"/>
            </w:tcBorders>
            <w:shd w:val="clear" w:color="auto" w:fill="EEEEEE"/>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(1,330)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currency translation adjustment, net of tax</w:t>
            </w:r>
          </w:p>
        </w:tc>
        <w:tc>
          <w:tcPr>
            <w:tcW w:w="10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60" w:type="dxa"/>
            <w:vAlign w:val="bottom"/>
            <w:tcBorders>
              <w:top w:val="single" w:sz="8" w:color="auto"/>
              <w:bottom w:val="single" w:sz="8" w:color="auto"/>
            </w:tcBorders>
            <w:shd w:val="clear" w:color="auto" w:fill="EEEEEE"/>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234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87"/>
        </w:trPr>
        <w:tc>
          <w:tcPr>
            <w:tcW w:w="3340" w:type="dxa"/>
            <w:vAlign w:val="bottom"/>
          </w:tcPr>
          <w:p>
            <w:pPr>
              <w:spacing w:after="0"/>
              <w:rPr>
                <w:sz w:val="16"/>
                <w:szCs w:val="16"/>
                <w:color w:val="auto"/>
              </w:rPr>
            </w:pPr>
          </w:p>
        </w:tc>
        <w:tc>
          <w:tcPr>
            <w:tcW w:w="1400" w:type="dxa"/>
            <w:vAlign w:val="bottom"/>
            <w:gridSpan w:val="2"/>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460" w:type="dxa"/>
            <w:vAlign w:val="bottom"/>
            <w:gridSpan w:val="4"/>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80" w:type="dxa"/>
            <w:vAlign w:val="bottom"/>
            <w:gridSpan w:val="3"/>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124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334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22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33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January 1, 2016</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240" w:type="dxa"/>
            <w:vAlign w:val="bottom"/>
            <w:tcBorders>
              <w:top w:val="single" w:sz="8" w:color="EEEEEE"/>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233,336</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(68,247)</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165,398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Issuance of shares under equity plans</w:t>
            </w: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23"/>
        </w:trPr>
        <w:tc>
          <w:tcPr>
            <w:tcW w:w="33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March 31, 2016</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234,229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(69,577</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165,879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Applied Optoelectronics,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(1,330)</w:t>
            </w:r>
          </w:p>
        </w:tc>
        <w:tc>
          <w:tcPr>
            <w:tcW w:w="1180" w:type="dxa"/>
            <w:vAlign w:val="bottom"/>
            <w:gridSpan w:val="2"/>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2,957</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Bank acceptance receivable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(10,141)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1,415</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6"/>
        </w:trPr>
        <w:tc>
          <w:tcPr>
            <w:tcW w:w="7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(2,238)</w:t>
            </w:r>
          </w:p>
        </w:tc>
        <w:tc>
          <w:tcPr>
            <w:tcW w:w="16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(13,833</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Change in restricted cash for construction in progress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(16,215)</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Proceeds from disposal of equipment</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 and deferred charges</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(1,706)</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200" w:type="dxa"/>
            <w:vAlign w:val="bottom"/>
            <w:tcBorders>
              <w:bottom w:val="single" w:sz="8" w:color="EEEEEE"/>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(16,407</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notes payable and long-term debt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Principal payments of long-term debt and notes payable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line of credit borrowings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31,149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25,091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Repayments of line of credit borrowings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(23,114)</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(16,253)</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bank acceptance payable</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Repayments of bank acceptance payable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30"/>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26,478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EEEEEE"/>
            </w:tcBorders>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Borders>
              <w:bottom w:val="single" w:sz="8" w:color="EEEEEE"/>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7"/>
              </w:rPr>
              <w:t>(22,266)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28,074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32,175</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top w:val="single" w:sz="8" w:color="auto"/>
              <w:bottom w:val="single" w:sz="8" w:color="auto"/>
            </w:tcBorders>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45,528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Cash paid for:</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Interest, net of capitalized amounts</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180" w:type="dxa"/>
            <w:vAlign w:val="bottom"/>
            <w:gridSpan w:val="2"/>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shd w:val="clear" w:color="auto" w:fill="EEEEEE"/>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ind w:left="260" w:right="2740"/>
        <w:spacing w:after="0" w:line="278" w:lineRule="auto"/>
        <w:rPr>
          <w:sz w:val="20"/>
          <w:szCs w:val="20"/>
          <w:color w:val="auto"/>
        </w:rPr>
      </w:pPr>
      <w:r>
        <w:rPr>
          <w:rFonts w:ascii="Times New Roman" w:cs="Times New Roman" w:eastAsia="Times New Roman" w:hAnsi="Times New Roman"/>
          <w:sz w:val="18"/>
          <w:szCs w:val="18"/>
          <w:b w:val="1"/>
          <w:bCs w:val="1"/>
          <w:color w:val="auto"/>
        </w:rPr>
        <w:t>Applied Optoelectronics, Inc. and Subsidiaries NOTES TO CONDENSED CONSOLIDATED FINANCIAL STATEMENTS (Unaudited)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internet data centers, cable television, and fiber-to-the-home. The Company designs and manufactures a wide range of optical communications products at varying levels of integration, from components, subassemblies and modules to complete turn-key equipment.</w:t>
      </w:r>
    </w:p>
    <w:p>
      <w:pPr>
        <w:spacing w:after="0" w:line="184"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products. The Company operates a division in Taipei, Taiwan that primarily manufactures transceivers for both the data center and fiber-to-the-home (“FTTH”) markets and performs research and development activities for the transceiver products. The Company operates in Ningbo, China through its wholly-owned subsidiary Prime World International Holdings, Ltd. (incorporated in the British Virgin Islands). Prime World International Holdings, Ltd. is the sole parent of Global Technology, Inc. (incorporated in the People’s Republic of China). Through Global Technology Inc., the Company primarily manufactures Cable TV Broadband (“CATV”) systems and equipment and performs research and development activities for the CATV products.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Statements</w:t>
      </w:r>
    </w:p>
    <w:p>
      <w:pPr>
        <w:spacing w:after="0" w:line="227"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as of March 31, 2016 and December 31, 2015 and for the three months ended March 31, 2016 and March 31, 2015,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2015. The results of operations for the three months ended March 31, 2016 are not necessarily indicative of the results expected for the entire fiscal year. All significant intercompany accounts and transactions have been eliminated.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for the three months ended March 31, 2016, as compared to the significant accounting policies described in its 2015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to simplify several aspects of accounting for share-based payment transactions, including the following areas: accounting for excess tax benefits and tax deficiencies; classifying excess tax benefits on the statement of cash flows; accounting for forfeitures; classifying awards that permit share repurchases to satisfy statutory tax withholding requirements; classifying tax payments on behalf of employees on the statement of cash flows; and, for nonpublic entities only, determining the expected term and electing the intrinsic value measurement alternative for stock option awards. The new guidance is effective for public business entities in fiscal years beginning after December 15, 2016, and in the interim periods within those fiscal years. The guidance requires a mix of prospective, modified retrospective and retrospective transition. The Company is evaluating the impact of the accounting standard on its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8" w:name="page9"/>
    <w:bookmarkEnd w:id="8"/>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February 25, 2016, the FASB released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complete its project to overhaul lease accounting. The ASU codifies ASC 842, Leases, which will replace the guidance in ASC 840. The new guidance will require lessees to recognize most leases on the balance sheet for capital and operating leases. The new guidance is effective for public business entities in fiscal years beginning after December 15, 2018. The Company is evaluating the impact of the accounting standard on its financial statements.</w:t>
      </w:r>
    </w:p>
    <w:p>
      <w:pPr>
        <w:spacing w:after="0" w:line="180"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FASB has issued ASU No. 2016-01, </w:t>
      </w:r>
      <w:r>
        <w:rPr>
          <w:rFonts w:ascii="Times New Roman" w:cs="Times New Roman" w:eastAsia="Times New Roman" w:hAnsi="Times New Roman"/>
          <w:sz w:val="18"/>
          <w:szCs w:val="18"/>
          <w:i w:val="1"/>
          <w:iCs w:val="1"/>
          <w:color w:val="auto"/>
        </w:rPr>
        <w:t>Financial Instruments – Overall (Subtopic 825-10):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The new guidance is intended to improve the recognition and measurement of financial instruments. The ASU affects public and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not-for-profit organizations, and employee benefit plans that hold financial assets or owe financial liabilities. The new guidance is effective for public companies for fiscal years beginning after December 15, 2017, including interim periods within those fiscal years. The Company is evaluating the impact of the accounting standard on its financial statements.</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xml:space="preserve"> during November 2015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simplifies the presentation of deferred income taxes. This ASU provides presentation requirements to classify deferred tax assets and liabilities as noncurrent in a statement of financial position. The standard is effective for fiscal years beginning after December 15, 2016, including interim periods within that reporting period. Early adoption is permitted for any interim and annual financial statements that have not yet been issued. The ASU may be applied either prospectively to all deferred tax liabilities and assets or retrospectively to all periods presented. The Company early adopted this standard effective December 31, 2015 on a retrospective basis which resulted in a reclassification of our net current deferred tax asset to the net non-current deferred tax asset as of December 31, 2015. The adoption of this ASU had no impact on the balance sheet or income statement as the Company had a full valuation allowance.</w:t>
      </w:r>
    </w:p>
    <w:p>
      <w:pPr>
        <w:spacing w:after="0" w:line="18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FASB has issued ASU No. 2015-11,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in July 2015 to require entity to measure inventory at the lower of cost or market. Market could be replacement cost, net realizable value, or net realizable value less an approximately normal profit margin. The Company early adopted this ASU which had no material impact on the financial statements.</w:t>
      </w:r>
    </w:p>
    <w:p>
      <w:pPr>
        <w:spacing w:after="0" w:line="17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2015-03, </w:t>
      </w:r>
      <w:r>
        <w:rPr>
          <w:rFonts w:ascii="Times New Roman" w:cs="Times New Roman" w:eastAsia="Times New Roman" w:hAnsi="Times New Roman"/>
          <w:sz w:val="18"/>
          <w:szCs w:val="18"/>
          <w:i w:val="1"/>
          <w:iCs w:val="1"/>
          <w:color w:val="auto"/>
        </w:rPr>
        <w:t>Interest - Imputation of Interest (Subtopic 835-30): Simplifying the Presentation of Debt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Costs, </w:t>
      </w:r>
      <w:r>
        <w:rPr>
          <w:rFonts w:ascii="Times New Roman" w:cs="Times New Roman" w:eastAsia="Times New Roman" w:hAnsi="Times New Roman"/>
          <w:sz w:val="18"/>
          <w:szCs w:val="18"/>
          <w:color w:val="auto"/>
        </w:rPr>
        <w:t>which requires the presentation of debt issuance costs related to a recognized debt liability as a direct deduction from the carrying amount of that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ASU 2015-03 does not address presentation or subsequent measurement of debt issuance costs related to line-of-credit arrangements. Given the absence of authoritative guidance within ASU 2015-03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early adopted this ASU which had no material impact on the financial statements.</w:t>
      </w:r>
    </w:p>
    <w:p>
      <w:pPr>
        <w:spacing w:after="0" w:line="183"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The Company is evaluating the impact of the accounting standard on its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Financial Instruments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financial instruments measured at fair value on a recurring basis for the periods indicated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As of March 31, 2016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5,006</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4,719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investments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58,494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EEEEEE"/>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58,494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Bank acceptance payable</w:t>
            </w: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2,411</w:t>
            </w:r>
          </w:p>
        </w:tc>
        <w:tc>
          <w:tcPr>
            <w:tcW w:w="820" w:type="dxa"/>
            <w:vAlign w:val="bottom"/>
            <w:shd w:val="clear" w:color="auto" w:fill="EEEEEE"/>
          </w:tcPr>
          <w:p>
            <w:pPr>
              <w:spacing w:after="0"/>
              <w:rPr>
                <w:sz w:val="19"/>
                <w:szCs w:val="19"/>
                <w:color w:val="auto"/>
              </w:rPr>
            </w:pPr>
          </w:p>
        </w:tc>
        <w:tc>
          <w:tcPr>
            <w:tcW w:w="32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 amounts of accounts receivable, prepaid expenses and other current assets, borrowings from our credit facility, accounts payable, accrued expenses and other current liabilities approximate fair value because of the short-term maturity of these instruments.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units/awards and warrants outstanding during the period.</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income (loss) per share for the periods indicated (in thousands, except per share amounts):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Numerator:</w:t>
            </w:r>
          </w:p>
        </w:tc>
        <w:tc>
          <w:tcPr>
            <w:tcW w:w="60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w:t>
            </w:r>
          </w:p>
        </w:tc>
        <w:tc>
          <w:tcPr>
            <w:tcW w:w="12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per share</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of dilutive securities</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880" w:type="dxa"/>
            <w:vAlign w:val="bottom"/>
            <w:tcBorders>
              <w:top w:val="single" w:sz="8" w:color="EEEEEE"/>
            </w:tcBorders>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gridSpan w:val="2"/>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shd w:val="clear" w:color="auto" w:fill="EEEEEE"/>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34"/>
        </w:trPr>
        <w:tc>
          <w:tcPr>
            <w:tcW w:w="2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2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bl>
    <w:p>
      <w:pPr>
        <w:spacing w:after="0" w:line="1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as their effect would have been anti-dilutive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62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Borders>
              <w:bottom w:val="single" w:sz="8" w:color="EEEEEE"/>
            </w:tcBorders>
          </w:tcPr>
          <w:p>
            <w:pPr>
              <w:spacing w:after="0"/>
              <w:rPr>
                <w:sz w:val="19"/>
                <w:szCs w:val="19"/>
                <w:color w:val="auto"/>
              </w:rPr>
            </w:pPr>
          </w:p>
        </w:tc>
        <w:tc>
          <w:tcPr>
            <w:tcW w:w="2220" w:type="dxa"/>
            <w:vAlign w:val="bottom"/>
            <w:tcBorders>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Borders>
              <w:top w:val="single" w:sz="8" w:color="auto"/>
              <w:bottom w:val="single" w:sz="8" w:color="EEEEEE"/>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2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units/awards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Borders>
              <w:top w:val="single" w:sz="8" w:color="EEEEEE"/>
              <w:bottom w:val="single" w:sz="8" w:color="EEEEEE"/>
            </w:tcBorders>
            <w:shd w:val="clear" w:color="auto" w:fill="EEEEEE"/>
          </w:tcPr>
          <w:p>
            <w:pPr>
              <w:spacing w:after="0"/>
              <w:rPr>
                <w:sz w:val="19"/>
                <w:szCs w:val="19"/>
                <w:color w:val="auto"/>
              </w:rPr>
            </w:pPr>
          </w:p>
        </w:tc>
        <w:tc>
          <w:tcPr>
            <w:tcW w:w="22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2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10</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for the periods indicated (in thousands):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10"/>
        </w:trPr>
        <w:tc>
          <w:tcPr>
            <w:tcW w:w="1160" w:type="dxa"/>
            <w:vAlign w:val="bottom"/>
          </w:tcPr>
          <w:p>
            <w:pPr>
              <w:spacing w:after="0"/>
              <w:rPr>
                <w:sz w:val="18"/>
                <w:szCs w:val="18"/>
                <w:color w:val="auto"/>
              </w:rPr>
            </w:pPr>
          </w:p>
        </w:tc>
        <w:tc>
          <w:tcPr>
            <w:tcW w:w="52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 and sub-assemblies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30,766</w:t>
            </w:r>
          </w:p>
        </w:tc>
        <w:tc>
          <w:tcPr>
            <w:tcW w:w="10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00" w:type="dxa"/>
            <w:vAlign w:val="bottom"/>
            <w:shd w:val="clear" w:color="auto" w:fill="EEEEEE"/>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lower of cost or market adjustment expensed for inventory for the three months ended March 31, 2016 and 2015 was $0.4 million and $0.6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&amp;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December 31, 2015</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97,167</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88,882</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EEEEEE"/>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134,692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125,331</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(40,972)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(37,970)</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93,720</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87,361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7"/>
          <w:szCs w:val="17"/>
          <w:color w:val="auto"/>
        </w:rPr>
        <w:t>For the three months ended March 31, 2016 and 2015, depreciation expense of property, plant and equipment was $2.8 million and $1.9 million, respectively. Among them, $1.9 million and $1.1 million were recorded as cost of sales for the three months ended March 31, 2016 and 2015, respectively.</w:t>
      </w:r>
    </w:p>
    <w:p>
      <w:pPr>
        <w:spacing w:after="0" w:line="13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At March 31, 2016 and December 31, 2015, there was $0.2 million and $0.1 million of capitalized interest recorded in construction in progress,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87"/>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8"/>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7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20" w:type="dxa"/>
            <w:vAlign w:val="bottom"/>
            <w:tcBorders>
              <w:top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7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6"/>
        </w:trPr>
        <w:tc>
          <w:tcPr>
            <w:tcW w:w="5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11" w:name="page12"/>
    <w:bookmarkEnd w:id="11"/>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r>
      <w:tr>
        <w:trPr>
          <w:trHeight w:val="210"/>
        </w:trPr>
        <w:tc>
          <w:tcPr>
            <w:tcW w:w="47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20" w:type="dxa"/>
            <w:vAlign w:val="bottom"/>
            <w:tcBorders>
              <w:top w:val="single" w:sz="8" w:color="EEEEEE"/>
            </w:tcBorders>
            <w:shd w:val="clear" w:color="auto" w:fill="EEEEEE"/>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r>
      <w:tr>
        <w:trPr>
          <w:trHeight w:val="223"/>
        </w:trPr>
        <w:tc>
          <w:tcPr>
            <w:tcW w:w="47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2016 and 2015, amortization expense for intangible assets, included in general and administrative expenses on the income statement, was $110,000 and $100,000, respectively. The remaining weighted average amortization period for intangible assets is approximately 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Payable and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60" w:type="dxa"/>
            <w:vAlign w:val="bottom"/>
          </w:tcPr>
          <w:p>
            <w:pPr>
              <w:spacing w:after="0"/>
              <w:rPr>
                <w:sz w:val="20"/>
                <w:szCs w:val="20"/>
                <w:color w:val="auto"/>
              </w:rPr>
            </w:pP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178"/>
        </w:trPr>
        <w:tc>
          <w:tcPr>
            <w:tcW w:w="7540" w:type="dxa"/>
            <w:vAlign w:val="bottom"/>
            <w:tcBorders>
              <w:top w:val="single" w:sz="8" w:color="EEEEEE"/>
            </w:tcBorders>
            <w:shd w:val="clear" w:color="auto" w:fill="EEEEEE"/>
          </w:tcPr>
          <w:p>
            <w:pPr>
              <w:spacing w:after="0" w:line="178" w:lineRule="exact"/>
              <w:rPr>
                <w:sz w:val="20"/>
                <w:szCs w:val="20"/>
                <w:color w:val="auto"/>
              </w:rPr>
            </w:pPr>
            <w:r>
              <w:rPr>
                <w:rFonts w:ascii="Times New Roman" w:cs="Times New Roman" w:eastAsia="Times New Roman" w:hAnsi="Times New Roman"/>
                <w:sz w:val="18"/>
                <w:szCs w:val="18"/>
                <w:color w:val="auto"/>
              </w:rPr>
              <w:t>Revolving line of credit with a U.S. bank up to $25,000 with interest at LIBOR plus 2.75% or 3%,</w:t>
            </w:r>
          </w:p>
        </w:tc>
        <w:tc>
          <w:tcPr>
            <w:tcW w:w="240" w:type="dxa"/>
            <w:vAlign w:val="bottom"/>
            <w:tcBorders>
              <w:top w:val="single" w:sz="8" w:color="EEEEEE"/>
            </w:tcBorders>
            <w:shd w:val="clear" w:color="auto" w:fill="EEEEEE"/>
          </w:tcPr>
          <w:p>
            <w:pPr>
              <w:spacing w:after="0"/>
              <w:rPr>
                <w:sz w:val="15"/>
                <w:szCs w:val="15"/>
                <w:color w:val="auto"/>
              </w:rPr>
            </w:pPr>
          </w:p>
        </w:tc>
        <w:tc>
          <w:tcPr>
            <w:tcW w:w="140" w:type="dxa"/>
            <w:vAlign w:val="bottom"/>
            <w:tcBorders>
              <w:top w:val="single" w:sz="8" w:color="auto"/>
            </w:tcBorders>
            <w:shd w:val="clear" w:color="auto" w:fill="EEEEEE"/>
          </w:tcPr>
          <w:p>
            <w:pPr>
              <w:spacing w:after="0"/>
              <w:rPr>
                <w:sz w:val="15"/>
                <w:szCs w:val="15"/>
                <w:color w:val="auto"/>
              </w:rPr>
            </w:pPr>
          </w:p>
        </w:tc>
        <w:tc>
          <w:tcPr>
            <w:tcW w:w="146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540" w:type="dxa"/>
            <w:vAlign w:val="bottom"/>
            <w:tcBorders>
              <w:top w:val="single" w:sz="8" w:color="auto"/>
            </w:tcBorders>
            <w:shd w:val="clear" w:color="auto" w:fill="EEEEEE"/>
          </w:tcPr>
          <w:p>
            <w:pPr>
              <w:spacing w:after="0"/>
              <w:rPr>
                <w:sz w:val="15"/>
                <w:szCs w:val="15"/>
                <w:color w:val="auto"/>
              </w:rPr>
            </w:pPr>
          </w:p>
        </w:tc>
        <w:tc>
          <w:tcPr>
            <w:tcW w:w="10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maturing June 30, 2018</w:t>
            </w:r>
          </w:p>
        </w:tc>
        <w:tc>
          <w:tcPr>
            <w:tcW w:w="3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700" w:type="dxa"/>
            <w:vAlign w:val="bottom"/>
            <w:gridSpan w:val="2"/>
            <w:shd w:val="clear" w:color="auto" w:fill="EEEEEE"/>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LIBOR plus 2.75%,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maturing July 31, 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Term loan with a U.S. bank with monthly payments of principal and interest at LIBOR plus 2.75%,</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maturing June 30, 2020</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8,600</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Construction loan with a U.S. bank with monthly payments of principal and interest at LIBOR plus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2.75%, maturing January 26, 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14,679</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8,588</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$10,333 with interest based on the bank's corporate</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rate index+ 1.5%, or 2.40% maturing on November 30, 2016</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6,118</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$6,600 with interest at Taiwan deposit index plus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0.41% or LIBOR plus 1.7% maturing on February 6, 2017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4,160</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Taiwan bank up to $5,000 with interest at Taiwan Time Deposit Interest</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Rate Index plus 1% or LIBOR plus 1% maturing on November 27, 2016</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4,622</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the Taiwan branch of a China bank up to $10,000 with interest at LIBOR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plus 1.7% or Taiwan Interbank Offered Rate plus 0.9% , maturing March 15, 2017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9,590</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9,418</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finance company due in monthly installments with 4.5% interest, maturing May 27,</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2,690</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finance company due in monthly installments with 4.5% interest, maturing June 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1,746</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198"/>
        </w:trPr>
        <w:tc>
          <w:tcPr>
            <w:tcW w:w="75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Note payable to a finance company due in monthly installments with 4% interest, maturing March 31,</w:t>
            </w: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7,759</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Revolving line of credit with a China bank up to $4,734 with interest of 3.15% for 3-month term which</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mature between April 2016 to June 2016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4,412</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10"/>
        </w:trPr>
        <w:tc>
          <w:tcPr>
            <w:tcW w:w="7540" w:type="dxa"/>
            <w:vAlign w:val="bottom"/>
            <w:tcBorders>
              <w:top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93,150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(40,972)</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(30,908)</w:t>
            </w:r>
          </w:p>
        </w:tc>
        <w:tc>
          <w:tcPr>
            <w:tcW w:w="0" w:type="dxa"/>
            <w:vAlign w:val="bottom"/>
          </w:tcPr>
          <w:p>
            <w:pPr>
              <w:spacing w:after="0"/>
              <w:rPr>
                <w:sz w:val="1"/>
                <w:szCs w:val="1"/>
                <w:color w:val="auto"/>
              </w:rPr>
            </w:pPr>
          </w:p>
        </w:tc>
      </w:tr>
      <w:tr>
        <w:trPr>
          <w:trHeight w:val="223"/>
        </w:trPr>
        <w:tc>
          <w:tcPr>
            <w:tcW w:w="754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Times New Roman" w:cs="Times New Roman" w:eastAsia="Times New Roman" w:hAnsi="Times New Roman"/>
                <w:sz w:val="18"/>
                <w:szCs w:val="18"/>
                <w:color w:val="auto"/>
              </w:rPr>
              <w:t>Non-current portion</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40" w:type="dxa"/>
            <w:vAlign w:val="bottom"/>
            <w:tcBorders>
              <w:top w:val="single" w:sz="8" w:color="auto"/>
              <w:bottom w:val="single" w:sz="8" w:color="auto"/>
            </w:tcBorders>
            <w:shd w:val="clear" w:color="auto" w:fill="EEEEEE"/>
          </w:tcPr>
          <w:p>
            <w:pPr>
              <w:jc w:val="right"/>
              <w:ind w:right="37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b w:val="1"/>
                <w:bCs w:val="1"/>
                <w:color w:val="auto"/>
              </w:rPr>
              <w:t>Bank Acceptance Notes Payable</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540" w:type="dxa"/>
            <w:vAlign w:val="bottom"/>
            <w:shd w:val="clear" w:color="auto" w:fill="EEEEEE"/>
          </w:tcPr>
          <w:p>
            <w:pPr>
              <w:spacing w:after="0" w:line="191" w:lineRule="exact"/>
              <w:rPr>
                <w:sz w:val="20"/>
                <w:szCs w:val="20"/>
                <w:color w:val="auto"/>
              </w:rPr>
            </w:pPr>
            <w:r>
              <w:rPr>
                <w:rFonts w:ascii="Times New Roman" w:cs="Times New Roman" w:eastAsia="Times New Roman" w:hAnsi="Times New Roman"/>
                <w:sz w:val="18"/>
                <w:szCs w:val="18"/>
                <w:color w:val="auto"/>
              </w:rPr>
              <w:t>Bank acceptance notes issued to vendors with a zero percent interest rate, a 30% guarantee deposit</w:t>
            </w:r>
          </w:p>
        </w:tc>
        <w:tc>
          <w:tcPr>
            <w:tcW w:w="2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4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of $723, and maturity dates ranging from April 2016 to September 2016</w:t>
            </w: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2,411</w:t>
            </w:r>
          </w:p>
        </w:tc>
        <w:tc>
          <w:tcPr>
            <w:tcW w:w="16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current portion of long-term debt is the amount payable within one year of the balance sheet date of March 31, 2016. The one-month LIBOR rate was 0.4385% on March 31, 2016.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Maturities of long-term debt are as follows for the future one-year periods ending March 31 (in thousands):</w:t>
      </w:r>
    </w:p>
    <w:p>
      <w:pPr>
        <w:spacing w:after="0" w:line="244"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2017</w:t>
            </w:r>
          </w:p>
        </w:tc>
        <w:tc>
          <w:tcPr>
            <w:tcW w:w="600" w:type="dxa"/>
            <w:vAlign w:val="bottom"/>
            <w:gridSpan w:val="2"/>
            <w:shd w:val="clear" w:color="auto" w:fill="EEEEEE"/>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40,972</w:t>
            </w:r>
          </w:p>
        </w:tc>
        <w:tc>
          <w:tcPr>
            <w:tcW w:w="1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14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2021 thereafter</w:t>
            </w:r>
          </w:p>
        </w:tc>
        <w:tc>
          <w:tcPr>
            <w:tcW w:w="20" w:type="dxa"/>
            <w:vAlign w:val="bottom"/>
            <w:shd w:val="clear" w:color="auto" w:fill="EEEEEE"/>
          </w:tcPr>
          <w:p>
            <w:pPr>
              <w:spacing w:after="0"/>
              <w:rPr>
                <w:sz w:val="19"/>
                <w:szCs w:val="19"/>
                <w:color w:val="auto"/>
              </w:rPr>
            </w:pPr>
          </w:p>
        </w:tc>
        <w:tc>
          <w:tcPr>
            <w:tcW w:w="58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4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93,150</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On June 30, 2015, the Company entered into a credit agreement with East West Bank and Comerica Bank, a second lien deed of trust, multiple security agreements and promissory notes evidencing two credit facilities and a term loan. The credit agreement included a $25.0 million revolving line of credit which matures on June 30, 2018 and a $10.0 million term loan maturing on June 30, 2020. The interest rate on these loans is the LIBOR Borrowing Rate plus 2.75% or 3.0%. As of March 31, 2016, $25.0 million was outstanding under the revolving line of credit. As of March 31, 2016, $8.6 million was outstanding under the term loans.</w:t>
      </w:r>
    </w:p>
    <w:p>
      <w:pPr>
        <w:spacing w:after="0" w:line="18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has with East West Bank a term loan of $5.0 million with monthly payments of principal and interest that matures on July 31, 2019. As of March 31, 2016, the outstanding balance was $3.8 million.</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January 26, 2015, the Company entered into a construction loan agreement with East West Bank for up to $22.0 million dollars to finance the construction of its campus expansion plan in Sugar Land, Texas. Upon signing the agreement, the Company deposited $11.0 million into a restricted bank account for owner’s contribution of construction costs.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loan agreement, the loan bears interest, at an annual rate based on the one-month LIBOR Borrowing Rate plus 2.75%. As of March 31, 2016, there was $14.7 million outstanding under this loan agreement and there was zero balance in the restricted bank account.</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loan and security agreements with East West Bank and Comerica Bank require the Company to maintain certain financial covenants, including a minimum current ratio, maximum leverage ratio and minimum annual EBITDA. As of March 31, 2016, the Company was in compliance with all covenants contained in these agreements.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February 19, 2016, the Company’s Taiwan branch renewed and increased its credit facility originally dated January 6, 2015 with CTBC Bank Co. Ltd. in Taipei, Taiwan for 320 million New Taiwan dollars, or approximately $10.3 million, one year revolving credit facility. The obligations under the credit facility are unsecured up to $6.3 million; the remaining $4.0 million is secured by our certificate of deposit with the bank. Borrowings under the credit facility bear interest at a rate based on the bank’s corporate interest rate index plus 1.5% for the unsecured portion of the credit facility and bank’s corporate interest rate index plus 0.93% for the secured portion of the credit facility, adjusted monthly. As of the execution of the credit facility the bank’s corporate interest rate index is 0.91%. As of March 31, 2016, $6.1 million was outstanding under this credit facility.</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April 8, 2016, the Company renewed its 90 million New Taiwan dollars and 120 million New Taiwan dollars, one year revolving credit facilities, originally dated March 9, 2015, with E. Sun Commercial Bank Co., Ltd. in Taipei, Taiwan. Borrowings under the 90 million New Taiwan dollars credit facility will bear interest at a rate equal to the London Interbank Offered Rate (LIBOR) plus 1.7% divided by 0.946. The Company’s obligations under the 90 million New Taiwan dollars credit facility are secured by the Company’s certificates of deposit with the bank. Borrowings under the 120 million New Taiwan dollars credit facility will bear interest at a rate equal to the bank’s personal monthly time deposit interest rate plus 0.480%. The bank’s personal monthly time deposit interest rate is currently 1.22%. As of March 31, 2016, $4.2 million was outstanding under this credit facility.</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December 22, 2015, the Company’s Taiwan branch renewed its $4.0 million credit facility, originally dated December 20, 2013, and entered into a $2.0 million, one year revolving credit facility agreement with Mega International Commercial Bank (“Mega Bank”). Obligations under the credit facilities are secured by certificate of deposit with Mega Bank. Borrowings under the $4.0 million credit facility bear interest at a rate not less than the LIBOR borrowing rate plus 1.0%, divided by 0.946 for U.S. and other currency borrowings; New Taiwan dollars borrowings bear interest at a rate equal to the bank’s base lending rate plus 0.76%. Borrowings under the $2.0 million credit facility bear interest at a rate not less than the LIBOR borrowing rate plus 1.2%, divided by 0.946 for U.S. dollar borrowings; New Taiwan dollars borrowings bear interest at a rate equal to the bank’s base lending rate plus 0.76% but shall not be less than 1.90%; and other currency borrowings shall bear interest at a rate at the bank’s based lending rate plus 1.0%, divided by 0.946. As of March 31, 2016, $4.6 million was outstanding under this credit facility.</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April 22, 2016, the Company’s Taiwan branch entered into a comprehensive credit line agreement originally dated April 1, 2015, with the Taipei branch of China Construction Bank, providing a revolving credit line of $10 million, maturing on March 15, 2017. Borrowings under the credit line agreement are secured by a standby letter of credit issued by the China branch of the bank under existing agreements between the bank and our China subsidiary. Borrowings under the credit line agreement reduce the amounts available under the existing credit line between the bank and the Company’s China subsidiary and cannot exceed 97% of the amount of the standby letter of credit issued by the China branch of the bank. Borrowings under the credit line agreement bear interest at a rate negotiated separately for each drawing depending on the nature of the borrowings. As of March 31, 2016, $9.6 million was outstanding under this credit facility.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June 30, 2015, the Company’s Taiwan branch entered into a purchase and sale contract and a finance lease agreement together with the sale contract with Chailease Finance Co, Ltd. (“Chailease”) in connection with certain equipment, structured as a sale lease-back transaction. Pursuant to the sale contract, the Company sold certain equipment to Chailease for a purchase price of 115,240,903 New Taiwan dollars and simultaneously leased the equipment back from Chailease pursuant to the finance lease agreement. The monthly lease payments range from 2,088,804 New Taiwan dollar to 2,364,650 New Taiwan dollars during the term of the finance lease agreement, including an initial payment in an amount of 40,240,903 New Taiwan dollars. The finance lease agreement has a three year term, with monthly lease payments, maturing on May 27 and June 30, 2018 respectively. The title to the equipment will be transferred to the Company upon the expiration of the finance lease agreement. As of March 31, 2016, $4.4 million was outstanding under this finance lease agreement.</w:t>
      </w:r>
    </w:p>
    <w:p>
      <w:pPr>
        <w:spacing w:after="0" w:line="18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March 31, 2016, the Company’s Taiwan branch entered into a purchase and sale contract and a finance lease agreement together with the sale contract with Chailease in connection with certain equipment, structured as a sale lease-back transaction. Pursuant to the sale contract, the Company sold certain equipment to Chailease for a purchase price of 312,927,180 New Taiwan dollars and simultaneously leased the equipment back from Chailease pursuant to the finance lease agreement. The finance lease agreement has a three year term with monthly lease payments range from 6,772,500 New Taiwan dollar to 7,788,333 New Taiwan dollars during the term of the finance lease agreement, including an initial payment in an amount of 62,927,180 New Taiwan dollars. Based on the lease payments made under the finance lease agreement, the annual interest rate is calculated to be 4.0%. The title to the equipment will be transferred to the Company upon the expiration of the finance lease agreement. As of March 31, 2016, $7.8 million was outstanding under this finance lease agreement.</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of March 31, 2016, the Company’s China subsidiary had credit facilities with China Construction Bank totaling $4.7 million, which can be drawn in U.S. currency, RMB currency, issuing bank acceptance notes to vendors with different interest rates or issuing standby letters of credit. As of March 31, 2016, the Company’s China subsidiary used $10.0 million of its credit facility and issued standby letters of credit as collateral for the Company’s Taiwan branch line of credit with China Construction Bank. As of March 31, 2016, the Company had a U.S. currency based loan of $4.4 million outstanding under various notes with three-month terms, maturing from April to June 2016 with effective interest rate of 3.15%. The outstanding balances of bank acceptance notes issued to vendors were $2.4 million with zero interest rate as of March 31, 2016.</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2016, the Company had $15.7 million of unused borrowing capacity.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2016, there was $11.4 million of restricted cash, investments or security deposit associated mainly with the loan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30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00" w:type="dxa"/>
            <w:vAlign w:val="bottom"/>
            <w:tcBorders>
              <w:top w:val="single" w:sz="8" w:color="EEEEEE"/>
            </w:tcBorders>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Accrued rent</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Accrued state and local taxes</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2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3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300" w:type="dxa"/>
            <w:vAlign w:val="bottom"/>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1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Other Income and Expense</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Other income and (expense) consisted of the following for the periods indicated (in thousands):</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20" w:type="dxa"/>
            <w:vAlign w:val="bottom"/>
            <w:tcBorders>
              <w:bottom w:val="single" w:sz="8" w:color="auto"/>
            </w:tcBorders>
            <w:gridSpan w:val="5"/>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1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138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Realized foreign exchange gain (loss)</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Government subsidy income</w:t>
            </w:r>
          </w:p>
        </w:tc>
        <w:tc>
          <w:tcPr>
            <w:tcW w:w="13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EEEEEE"/>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gain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380" w:type="dxa"/>
            <w:vAlign w:val="bottom"/>
            <w:shd w:val="clear" w:color="auto" w:fill="EEEEEE"/>
          </w:tcPr>
          <w:p>
            <w:pPr>
              <w:spacing w:after="0"/>
              <w:rPr>
                <w:sz w:val="19"/>
                <w:szCs w:val="19"/>
                <w:color w:val="auto"/>
              </w:rPr>
            </w:pPr>
          </w:p>
        </w:tc>
        <w:tc>
          <w:tcPr>
            <w:tcW w:w="114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EEEEEE"/>
          </w:tcPr>
          <w:p>
            <w:pPr>
              <w:spacing w:after="0"/>
              <w:rPr>
                <w:sz w:val="19"/>
                <w:szCs w:val="19"/>
                <w:color w:val="auto"/>
              </w:rPr>
            </w:pPr>
          </w:p>
        </w:tc>
        <w:tc>
          <w:tcPr>
            <w:tcW w:w="120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1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1998 Share Incentive Plan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2000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2004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2006 Share Incentive Plan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Equity Incentive Plan (“2013 Plan”)</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issued stock options, restricted stock awards (“RSAs”) and restricted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Options have been granted to the Company’s employees under the five incentive plans and generally become exercisable as to 25% of the shares on the first anniversary date following the date of grant and 12.5% on a semi-annual basis thereafter. All options expire ten years after the date of grant.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Average Share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Price on Date</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Exercise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33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January 1, 2016</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5.07</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3"/>
        </w:trPr>
        <w:tc>
          <w:tcPr>
            <w:tcW w:w="33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Outstanding, March 31, 2016</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EEEEE"/>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EEEEE"/>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w:t>
            </w:r>
          </w:p>
        </w:tc>
        <w:tc>
          <w:tcPr>
            <w:tcW w:w="1240" w:type="dxa"/>
            <w:vAlign w:val="bottom"/>
            <w:tcBorders>
              <w:bottom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6.958</w:t>
            </w:r>
          </w:p>
        </w:tc>
        <w:tc>
          <w:tcPr>
            <w:tcW w:w="24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7,515</w:t>
            </w:r>
          </w:p>
        </w:tc>
        <w:tc>
          <w:tcPr>
            <w:tcW w:w="0" w:type="dxa"/>
            <w:vAlign w:val="bottom"/>
          </w:tcPr>
          <w:p>
            <w:pPr>
              <w:spacing w:after="0"/>
              <w:rPr>
                <w:sz w:val="1"/>
                <w:szCs w:val="1"/>
                <w:color w:val="auto"/>
              </w:rPr>
            </w:pPr>
          </w:p>
        </w:tc>
      </w:tr>
      <w:tr>
        <w:trPr>
          <w:trHeight w:val="197"/>
        </w:trPr>
        <w:tc>
          <w:tcPr>
            <w:tcW w:w="3340" w:type="dxa"/>
            <w:vAlign w:val="bottom"/>
            <w:tcBorders>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Exercisable, March 31, 2016</w:t>
            </w:r>
          </w:p>
        </w:tc>
        <w:tc>
          <w:tcPr>
            <w:tcW w:w="116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891</w:t>
            </w:r>
          </w:p>
        </w:tc>
        <w:tc>
          <w:tcPr>
            <w:tcW w:w="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EEEEE"/>
            </w:tcBorders>
            <w:gridSpan w:val="2"/>
            <w:shd w:val="clear" w:color="auto" w:fill="EEEEEE"/>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EEEEE"/>
            </w:tcBorders>
            <w:gridSpan w:val="2"/>
            <w:shd w:val="clear" w:color="auto" w:fill="EEEEEE"/>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4.32</w:t>
            </w:r>
          </w:p>
        </w:tc>
        <w:tc>
          <w:tcPr>
            <w:tcW w:w="124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6.768</w:t>
            </w:r>
          </w:p>
        </w:tc>
        <w:tc>
          <w:tcPr>
            <w:tcW w:w="240" w:type="dxa"/>
            <w:vAlign w:val="bottom"/>
            <w:tcBorders>
              <w:bottom w:val="single" w:sz="8" w:color="EEEEEE"/>
            </w:tcBorders>
            <w:gridSpan w:val="2"/>
            <w:shd w:val="clear" w:color="auto" w:fill="EEEEEE"/>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6.947</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7,389</w:t>
            </w: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1,267</w:t>
            </w: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2016, there was approximately $1.8 million of unrecognized stock option expense, net of estimated forfeitures, which is expected to be recognized over 1.43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Units/Awards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RSU/RSA activity (in thousands, except per share data):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 Price on Date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of Release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Released</w:t>
            </w:r>
          </w:p>
        </w:tc>
        <w:tc>
          <w:tcPr>
            <w:tcW w:w="182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16.37</w:t>
            </w: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March 31, 2016</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EEEEEE"/>
              <w:bottom w:val="single" w:sz="8" w:color="EEEEEE"/>
            </w:tcBorders>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15.21</w:t>
            </w:r>
          </w:p>
        </w:tc>
        <w:tc>
          <w:tcPr>
            <w:tcW w:w="500" w:type="dxa"/>
            <w:vAlign w:val="bottom"/>
            <w:tcBorders>
              <w:top w:val="single" w:sz="8" w:color="EEEEEE"/>
              <w:bottom w:val="single" w:sz="8" w:color="EEEEEE"/>
            </w:tcBorders>
            <w:gridSpan w:val="2"/>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March 31, 2016</w:t>
            </w: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19.45</w:t>
            </w:r>
          </w:p>
        </w:tc>
        <w:tc>
          <w:tcPr>
            <w:tcW w:w="50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line="20" w:lineRule="exact"/>
              <w:rPr>
                <w:sz w:val="1"/>
                <w:szCs w:val="1"/>
                <w:color w:val="auto"/>
              </w:rPr>
            </w:pPr>
          </w:p>
        </w:tc>
      </w:tr>
      <w:tr>
        <w:trPr>
          <w:trHeight w:val="237"/>
        </w:trPr>
        <w:tc>
          <w:tcPr>
            <w:tcW w:w="3900" w:type="dxa"/>
            <w:vAlign w:val="bottom"/>
            <w:tcBorders>
              <w:bottom w:val="single" w:sz="8" w:color="EEEEEE"/>
            </w:tcBorders>
            <w:vMerge w:val="continue"/>
          </w:tcPr>
          <w:p>
            <w:pPr>
              <w:spacing w:after="0"/>
              <w:rPr>
                <w:sz w:val="20"/>
                <w:szCs w:val="20"/>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EEEEEE"/>
            </w:tcBorders>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100" w:type="dxa"/>
            <w:vAlign w:val="bottom"/>
            <w:tcBorders>
              <w:bottom w:val="single" w:sz="8" w:color="EEEEEE"/>
            </w:tcBorders>
          </w:tcPr>
          <w:p>
            <w:pPr>
              <w:spacing w:after="0"/>
              <w:rPr>
                <w:sz w:val="20"/>
                <w:szCs w:val="20"/>
                <w:color w:val="auto"/>
              </w:rPr>
            </w:pPr>
          </w:p>
        </w:tc>
        <w:tc>
          <w:tcPr>
            <w:tcW w:w="1500" w:type="dxa"/>
            <w:vAlign w:val="bottom"/>
            <w:tcBorders>
              <w:bottom w:val="single" w:sz="8" w:color="EEEEEE"/>
            </w:tcBorders>
          </w:tcPr>
          <w:p>
            <w:pPr>
              <w:spacing w:after="0"/>
              <w:rPr>
                <w:sz w:val="20"/>
                <w:szCs w:val="20"/>
                <w:color w:val="auto"/>
              </w:rPr>
            </w:pPr>
          </w:p>
        </w:tc>
        <w:tc>
          <w:tcPr>
            <w:tcW w:w="180" w:type="dxa"/>
            <w:vAlign w:val="bottom"/>
            <w:tcBorders>
              <w:bottom w:val="single" w:sz="8" w:color="EEEEEE"/>
            </w:tcBorders>
          </w:tcPr>
          <w:p>
            <w:pPr>
              <w:spacing w:after="0"/>
              <w:rPr>
                <w:sz w:val="20"/>
                <w:szCs w:val="20"/>
                <w:color w:val="auto"/>
              </w:rPr>
            </w:pPr>
          </w:p>
        </w:tc>
        <w:tc>
          <w:tcPr>
            <w:tcW w:w="260" w:type="dxa"/>
            <w:vAlign w:val="bottom"/>
            <w:tcBorders>
              <w:bottom w:val="single" w:sz="8" w:color="EEEEEE"/>
            </w:tcBorders>
            <w:gridSpan w:val="2"/>
            <w:vMerge w:val="continue"/>
          </w:tcPr>
          <w:p>
            <w:pPr>
              <w:spacing w:after="0"/>
              <w:rPr>
                <w:sz w:val="20"/>
                <w:szCs w:val="20"/>
                <w:color w:val="auto"/>
              </w:rPr>
            </w:pPr>
          </w:p>
        </w:tc>
        <w:tc>
          <w:tcPr>
            <w:tcW w:w="1660" w:type="dxa"/>
            <w:vAlign w:val="bottom"/>
            <w:tcBorders>
              <w:bottom w:val="single" w:sz="8" w:color="EEEEEE"/>
            </w:tcBorders>
            <w:gridSpan w:val="2"/>
            <w:vMerge w:val="continue"/>
          </w:tcPr>
          <w:p>
            <w:pPr>
              <w:spacing w:after="0"/>
              <w:rPr>
                <w:sz w:val="20"/>
                <w:szCs w:val="20"/>
                <w:color w:val="auto"/>
              </w:rPr>
            </w:pPr>
          </w:p>
        </w:tc>
        <w:tc>
          <w:tcPr>
            <w:tcW w:w="500" w:type="dxa"/>
            <w:vAlign w:val="bottom"/>
            <w:tcBorders>
              <w:bottom w:val="single" w:sz="8" w:color="EEEEEE"/>
            </w:tcBorders>
            <w:gridSpan w:val="2"/>
            <w:vMerge w:val="continue"/>
          </w:tcPr>
          <w:p>
            <w:pPr>
              <w:spacing w:after="0"/>
              <w:rPr>
                <w:sz w:val="20"/>
                <w:szCs w:val="20"/>
                <w:color w:val="auto"/>
              </w:rPr>
            </w:pPr>
          </w:p>
        </w:tc>
        <w:tc>
          <w:tcPr>
            <w:tcW w:w="1360" w:type="dxa"/>
            <w:vAlign w:val="bottom"/>
            <w:tcBorders>
              <w:bottom w:val="single" w:sz="8" w:color="EEEEEE"/>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00" w:type="dxa"/>
            <w:vAlign w:val="bottom"/>
            <w:tcBorders>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60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22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50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gridSpan w:val="2"/>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EEEEEE"/>
            </w:tcBorders>
            <w:gridSpan w:val="2"/>
            <w:shd w:val="clear" w:color="auto" w:fill="EEEEEE"/>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15.20</w:t>
            </w:r>
          </w:p>
        </w:tc>
        <w:tc>
          <w:tcPr>
            <w:tcW w:w="500" w:type="dxa"/>
            <w:vAlign w:val="bottom"/>
            <w:tcBorders>
              <w:bottom w:val="single" w:sz="8" w:color="EEEEEE"/>
            </w:tcBorders>
            <w:gridSpan w:val="2"/>
            <w:shd w:val="clear" w:color="auto" w:fill="EEEEEE"/>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EEEEE"/>
            </w:tcBorders>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8,127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2016, there was $7.6 million of unrecognized compensation expense related to these RSUs and RSAs. This expense is expected to be recognized over 3.72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Employee share-based compensation expenses recognized for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Share-Based compensation - by expense type</w:t>
            </w:r>
          </w:p>
        </w:tc>
        <w:tc>
          <w:tcPr>
            <w:tcW w:w="11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sales</w:t>
            </w:r>
          </w:p>
        </w:tc>
        <w:tc>
          <w:tcPr>
            <w:tcW w:w="226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1220" w:type="dxa"/>
            <w:vAlign w:val="bottom"/>
            <w:gridSpan w:val="2"/>
          </w:tcPr>
          <w:p>
            <w:pPr>
              <w:jc w:val="right"/>
              <w:ind w:right="108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105"/>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b w:val="1"/>
                <w:bCs w:val="1"/>
                <w:color w:val="auto"/>
              </w:rPr>
              <w:t>2015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Share-Based compensation - by award type</w:t>
            </w:r>
          </w:p>
        </w:tc>
        <w:tc>
          <w:tcPr>
            <w:tcW w:w="118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Employee stock options</w:t>
            </w:r>
          </w:p>
        </w:tc>
        <w:tc>
          <w:tcPr>
            <w:tcW w:w="232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Pr>
          <w:p>
            <w:pPr>
              <w:spacing w:after="0"/>
              <w:rPr>
                <w:sz w:val="18"/>
                <w:szCs w:val="18"/>
                <w:color w:val="auto"/>
              </w:rPr>
            </w:pPr>
          </w:p>
        </w:tc>
        <w:tc>
          <w:tcPr>
            <w:tcW w:w="1220" w:type="dxa"/>
            <w:vAlign w:val="bottom"/>
            <w:gridSpan w:val="2"/>
          </w:tcPr>
          <w:p>
            <w:pPr>
              <w:jc w:val="right"/>
              <w:ind w:right="108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Restricted stock units/awards</w:t>
            </w:r>
          </w:p>
        </w:tc>
        <w:tc>
          <w:tcPr>
            <w:tcW w:w="118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the issuance of up to 5,000,000 shares of preferred stock under the Company’s Amended and Restated Certificate of Incorporation.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Public Offerings of Common Stock</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On June 3, 2015, the Company filed a Securities Registration Statement on Form S-3 (the “Form S-3”) with the Securities and Exchange Commission effective June 23, 2015, providing for the public offer and sale of certain securities of the Company from time to time, at its discretion, up to an aggregate amount of $140 million. In connection with the Company’s Form S-3, the Company entered into an Equity Distribution Agreement with Raymond James &amp; Associates, Inc. (the “sales agent”) pursuant to which the Company may issue and sell shares of the Company’s stock having an aggregate offering price of up to $40 million (the “ATM Offering”) from time to time through the sales agent. On July 16, 2015, the Company commenced sales of common stock through the ATM Offering, and as of March 31, 2016, the Company has sold 1.9 million shares under the ATM Offering at a weighted average price of $21.54 per share, providing proceeds of $38.6 million, net of expenses and underwriting discounts and commissions.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Geographic Information</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76" w:lineRule="exact"/>
        <w:rPr>
          <w:sz w:val="20"/>
          <w:szCs w:val="20"/>
          <w:color w:val="auto"/>
        </w:rPr>
      </w:pPr>
    </w:p>
    <w:p>
      <w:pPr>
        <w:jc w:val="both"/>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19"/>
                <w:szCs w:val="19"/>
                <w:color w:val="auto"/>
              </w:rPr>
            </w:pPr>
          </w:p>
        </w:tc>
        <w:tc>
          <w:tcPr>
            <w:tcW w:w="14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21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316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1400" w:type="dxa"/>
            <w:vAlign w:val="bottom"/>
            <w:gridSpan w:val="2"/>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Taiwan</w:t>
            </w:r>
          </w:p>
        </w:tc>
        <w:tc>
          <w:tcPr>
            <w:tcW w:w="21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60" w:type="dxa"/>
            <w:vAlign w:val="bottom"/>
            <w:tcBorders>
              <w:bottom w:val="single" w:sz="8" w:color="EEEEEE"/>
            </w:tcBorders>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212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300" w:type="dxa"/>
            <w:vAlign w:val="bottom"/>
            <w:tcBorders>
              <w:bottom w:val="single" w:sz="8" w:color="EEEEEE"/>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60" w:type="dxa"/>
            <w:vAlign w:val="bottom"/>
            <w:tcBorders>
              <w:bottom w:val="single" w:sz="8" w:color="EEEEEE"/>
            </w:tcBorders>
            <w:shd w:val="clear" w:color="auto" w:fill="EEEEEE"/>
          </w:tcPr>
          <w:p>
            <w:pPr>
              <w:spacing w:after="0"/>
              <w:rPr>
                <w:sz w:val="19"/>
                <w:szCs w:val="19"/>
                <w:color w:val="auto"/>
              </w:rPr>
            </w:pPr>
          </w:p>
        </w:tc>
        <w:tc>
          <w:tcPr>
            <w:tcW w:w="212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50,422</w:t>
            </w:r>
          </w:p>
        </w:tc>
        <w:tc>
          <w:tcPr>
            <w:tcW w:w="30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As of the period ended</w:t>
            </w:r>
          </w:p>
        </w:tc>
      </w:tr>
      <w:tr>
        <w:trPr>
          <w:trHeight w:val="201"/>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33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3380" w:type="dxa"/>
            <w:vAlign w:val="bottom"/>
            <w:tcBorders>
              <w:bottom w:val="single" w:sz="8" w:color="EEEEEE"/>
            </w:tcBorders>
          </w:tcPr>
          <w:p>
            <w:pPr>
              <w:spacing w:after="0"/>
              <w:rPr>
                <w:sz w:val="20"/>
                <w:szCs w:val="20"/>
                <w:color w:val="auto"/>
              </w:rPr>
            </w:pPr>
          </w:p>
        </w:tc>
        <w:tc>
          <w:tcPr>
            <w:tcW w:w="210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EEEEEE"/>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2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2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Taiwan</w:t>
            </w:r>
          </w:p>
        </w:tc>
        <w:tc>
          <w:tcPr>
            <w:tcW w:w="2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48,447</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80" w:type="dxa"/>
            <w:vAlign w:val="bottom"/>
            <w:tcBorders>
              <w:bottom w:val="single" w:sz="8" w:color="EEEEEE"/>
            </w:tcBorders>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210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27,723</w:t>
            </w:r>
          </w:p>
        </w:tc>
        <w:tc>
          <w:tcPr>
            <w:tcW w:w="3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EEEEEE"/>
            </w:tcBorders>
            <w:shd w:val="clear" w:color="auto" w:fill="EEEEEE"/>
          </w:tcPr>
          <w:p>
            <w:pPr>
              <w:spacing w:after="0"/>
              <w:rPr>
                <w:sz w:val="19"/>
                <w:szCs w:val="19"/>
                <w:color w:val="auto"/>
              </w:rPr>
            </w:pPr>
          </w:p>
        </w:tc>
        <w:tc>
          <w:tcPr>
            <w:tcW w:w="21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128,467</w:t>
            </w:r>
          </w:p>
        </w:tc>
        <w:tc>
          <w:tcPr>
            <w:tcW w:w="3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114,453</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April 8, 2016, the Company renewed its 90 million New Taiwan dollars and 120 million New Taiwan dollars, one year revolving credit facilities, originally dated March 9, 2015, with E. Sun Commercial Bank Co., Ltd. in Taipei, Taiwan. Borrowings under the 90 million New Taiwan dollars credit facility will bear interest at a rate equal to the London Interbank Offered Rate (LIBOR) plus 1.7% divided by 0.946. The Company’s obligations under the 90 million New Taiwan dollars credit facility are secured by the Company’s certificates of deposit with the bank. Borrowings under the 120 million New Taiwan dollars credit facility will bear interest at a rate equal to the bank’s personal monthly time deposit interest rate plus 0.480%. The bank’s personal monthly time deposit interest rate is currently 1.22%.</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April 22, 2016, the Company’s Taiwan branch entered into a comprehensive credit line agreement originally dated April 1, 2015, with the Taipei branch of China Construction Bank, providing a revolving credit line of $10 million, maturing on March 15, 2017. Borrowings under the credit line agreement are secured by a standby letter of credit issued by the China branch of the bank under existing agreements between the bank and its China subsidiary. Borrowings under the credit line agreement reduce the amounts available under the existing credit line between the bank and the Company’s China subsidiary and cannot exceed 97% of the amount of the standby letter of credit issued by the China branch of the bank. Borrowings under the credit line agreement bear interest at a rate negotiated separately for each drawing depending on the nature of the borrowings.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March 31, 2016 and the audited consolidated financial statements and notes thereto and management’s discussion and analysis of financial condition and results of operations for the fiscal year ended December 31, 2015 included in our Annual Report on Form 10-K. References to “Applied Optoelectronics” “we,” “our” and “us” are to Applied Optoelectronics, Inc. and its subsidiaries unless otherwise specified or the context otherwise requires.</w:t>
      </w:r>
    </w:p>
    <w:p>
      <w:pPr>
        <w:spacing w:after="0" w:line="16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w:t>
      </w:r>
      <w:r>
        <w:rPr>
          <w:rFonts w:ascii="Times New Roman" w:cs="Times New Roman" w:eastAsia="Times New Roman" w:hAnsi="Times New Roman"/>
          <w:sz w:val="18"/>
          <w:szCs w:val="18"/>
          <w:color w:val="auto"/>
        </w:rPr>
        <w:t>"believe," "may,"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"continue," "anticipate," "intend," "should," "could," "would," "target," "seek," "aim," "believe," "predicts," "think," "objectives," "optimistic," "new," "goal," "strategy," "potential," "is likely," "will," "expect," "plan" "project," "permit" or by other similar expressions that convey uncertainty of future events or outcomes </w:t>
      </w:r>
      <w:r>
        <w:rPr>
          <w:rFonts w:ascii="Times New Roman" w:cs="Times New Roman" w:eastAsia="Times New Roman" w:hAnsi="Times New Roman"/>
          <w:sz w:val="18"/>
          <w:szCs w:val="18"/>
          <w:i w:val="1"/>
          <w:iCs w:val="1"/>
          <w:color w:val="auto"/>
        </w:rPr>
        <w:t>are intended to identify forward-looking statements.</w:t>
      </w:r>
    </w:p>
    <w:p>
      <w:pPr>
        <w:spacing w:after="0" w:line="18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 leading, vertically integrated provider of fiber-optic networking products, primarily for three networking end-markets: internet data center, cable television, or CATV, and fiber-to-the-home, or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8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have three manufacturing sites: Sugar Land, Texas, Ningbo, China and Taipei, Taiwan. Our research and development functions are partnered with our manufacturing locations and we have an additional research and development center in Lawrenceville, Georgia. In our Sugar Land facility, we manufacture laser chips (utilizing our MBE process),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facility conducts testing on the components, modules or subsystems it manufactures and each facility is certified to ISO 9001:2008. Our China and Taiwan facilities are both certified to ISO 14001:2004.</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and internet data center customers. Throughout our sales cycle, we work closely with our customers to achieve design wins that we believe provide long-lasting relationships and promotes higher customer retention.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13115 Jess Pirtle Blvd., Sugar Land, TX 77478, and our telephone number is (281) 295-1800.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 forth our consolidated results of operations for the periods presented and as a percentage of our revenue for those periods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0"/>
        </w:trPr>
        <w:tc>
          <w:tcPr>
            <w:tcW w:w="390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210"/>
        </w:trPr>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40" w:type="dxa"/>
            <w:vAlign w:val="bottom"/>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50,422</w:t>
            </w: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30,234</w:t>
            </w:r>
          </w:p>
        </w:tc>
        <w:tc>
          <w:tcPr>
            <w:tcW w:w="52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EEEEEE"/>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1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36,169</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20,183</w:t>
            </w:r>
          </w:p>
        </w:tc>
        <w:tc>
          <w:tcPr>
            <w:tcW w:w="5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36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34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8,396</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4,805</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8"/>
                <w:szCs w:val="18"/>
                <w:color w:val="auto"/>
              </w:rPr>
            </w:pPr>
          </w:p>
        </w:tc>
        <w:tc>
          <w:tcPr>
            <w:tcW w:w="1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1,680</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1,559</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3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5,733</w:t>
            </w: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5,003</w:t>
            </w:r>
          </w:p>
        </w:tc>
        <w:tc>
          <w:tcPr>
            <w:tcW w:w="5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0"/>
        </w:trPr>
        <w:tc>
          <w:tcPr>
            <w:tcW w:w="39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360" w:type="dxa"/>
            <w:vAlign w:val="bottom"/>
            <w:tcBorders>
              <w:bottom w:val="single" w:sz="8" w:color="EEEEEE"/>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34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EEEEEE"/>
            </w:tcBorders>
          </w:tcPr>
          <w:p>
            <w:pPr>
              <w:spacing w:after="0"/>
              <w:rPr>
                <w:sz w:val="18"/>
                <w:szCs w:val="18"/>
                <w:color w:val="auto"/>
              </w:rPr>
            </w:pPr>
          </w:p>
        </w:tc>
      </w:tr>
      <w:tr>
        <w:trPr>
          <w:trHeight w:val="210"/>
        </w:trPr>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EEEEEE"/>
          </w:tcPr>
          <w:p>
            <w:pPr>
              <w:spacing w:after="0"/>
              <w:rPr>
                <w:sz w:val="18"/>
                <w:szCs w:val="18"/>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EEEEEE"/>
          </w:tcPr>
          <w:p>
            <w:pPr>
              <w:spacing w:after="0"/>
              <w:rPr>
                <w:sz w:val="18"/>
                <w:szCs w:val="18"/>
                <w:color w:val="auto"/>
              </w:rPr>
            </w:pPr>
          </w:p>
        </w:tc>
        <w:tc>
          <w:tcPr>
            <w:tcW w:w="5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20" w:type="dxa"/>
            <w:vAlign w:val="bottom"/>
            <w:tcBorders>
              <w:bottom w:val="single" w:sz="8" w:color="auto"/>
            </w:tcBorders>
            <w:shd w:val="clear" w:color="auto" w:fill="EEEEEE"/>
          </w:tcPr>
          <w:p>
            <w:pPr>
              <w:spacing w:after="0"/>
              <w:rPr>
                <w:sz w:val="18"/>
                <w:szCs w:val="18"/>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340" w:type="dxa"/>
            <w:vAlign w:val="bottom"/>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EEEEEE"/>
          </w:tcPr>
          <w:p>
            <w:pPr>
              <w:spacing w:after="0"/>
              <w:rPr>
                <w:sz w:val="18"/>
                <w:szCs w:val="18"/>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(401)</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5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39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334</w:t>
            </w:r>
          </w:p>
        </w:tc>
        <w:tc>
          <w:tcPr>
            <w:tcW w:w="104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692</w:t>
            </w:r>
          </w:p>
        </w:tc>
        <w:tc>
          <w:tcPr>
            <w:tcW w:w="5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10"/>
              <w:spacing w:after="0"/>
              <w:rPr>
                <w:sz w:val="20"/>
                <w:szCs w:val="20"/>
                <w:color w:val="auto"/>
              </w:rPr>
            </w:pPr>
            <w:r>
              <w:rPr>
                <w:rFonts w:ascii="Times New Roman" w:cs="Times New Roman" w:eastAsia="Times New Roman" w:hAnsi="Times New Roman"/>
                <w:sz w:val="18"/>
                <w:szCs w:val="18"/>
                <w:color w:val="auto"/>
              </w:rPr>
              <w:t>(1,522)</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(675)</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19"/>
                <w:szCs w:val="19"/>
                <w:color w:val="auto"/>
              </w:rPr>
            </w:pPr>
          </w:p>
        </w:tc>
        <w:tc>
          <w:tcPr>
            <w:tcW w:w="1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192</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shd w:val="clear" w:color="auto" w:fill="EE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We generate revenue through the sale of our products to equipment providers and network operators for the internet data center, CATV, and FTTH markets. We derive a significant portion of our revenue from our top ten customers, and we anticipate that we will continue to do so for the foreseeable future. Growth in the first three months of 2016 was driven primarily by increasing revenue from our internet date center, and we also anticipate that our revenue derived from this market will continue to increase as a percentage of our revenue as we further penetrate and extend our products into this market. The following charts provide the revenue contribution from each of the markets we served for the three months ended March 31, 2016 and 2015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62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bottom w:val="single" w:sz="8" w:color="EEEEEE"/>
            </w:tcBorders>
          </w:tcPr>
          <w:p>
            <w:pPr>
              <w:spacing w:after="0"/>
              <w:rPr>
                <w:sz w:val="19"/>
                <w:szCs w:val="19"/>
                <w:color w:val="auto"/>
              </w:rPr>
            </w:pPr>
          </w:p>
        </w:tc>
        <w:tc>
          <w:tcPr>
            <w:tcW w:w="2840" w:type="dxa"/>
            <w:vAlign w:val="bottom"/>
            <w:tcBorders>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Borders>
              <w:top w:val="single" w:sz="8" w:color="auto"/>
              <w:bottom w:val="single" w:sz="8" w:color="EEEEEE"/>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284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4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EEEEEE"/>
          </w:tcPr>
          <w:p>
            <w:pPr>
              <w:spacing w:after="0"/>
              <w:rPr>
                <w:sz w:val="18"/>
                <w:szCs w:val="18"/>
                <w:color w:val="auto"/>
              </w:rPr>
            </w:pPr>
          </w:p>
        </w:tc>
        <w:tc>
          <w:tcPr>
            <w:tcW w:w="16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EEEEEE"/>
              <w:bottom w:val="single" w:sz="8" w:color="EEEEEE"/>
            </w:tcBorders>
            <w:shd w:val="clear" w:color="auto" w:fill="EEEEEE"/>
          </w:tcPr>
          <w:p>
            <w:pPr>
              <w:spacing w:after="0"/>
              <w:rPr>
                <w:sz w:val="19"/>
                <w:szCs w:val="19"/>
                <w:color w:val="auto"/>
              </w:rPr>
            </w:pPr>
          </w:p>
        </w:tc>
        <w:tc>
          <w:tcPr>
            <w:tcW w:w="284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4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0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CATV</w:t>
            </w:r>
          </w:p>
        </w:tc>
        <w:tc>
          <w:tcPr>
            <w:tcW w:w="1040" w:type="dxa"/>
            <w:vAlign w:val="bottom"/>
            <w:tcBorders>
              <w:top w:val="single" w:sz="8" w:color="auto"/>
            </w:tcBorders>
            <w:shd w:val="clear" w:color="auto" w:fill="EEEEEE"/>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3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3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Data Center</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38,980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16,316</w:t>
            </w:r>
          </w:p>
        </w:tc>
        <w:tc>
          <w:tcPr>
            <w:tcW w:w="2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22,664</w:t>
            </w: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w:t>
            </w:r>
          </w:p>
        </w:tc>
      </w:tr>
      <w:tr>
        <w:trPr>
          <w:trHeight w:val="216"/>
        </w:trPr>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FTTH</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299</w:t>
            </w: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245.1%</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1,782</w:t>
            </w:r>
          </w:p>
        </w:tc>
        <w:tc>
          <w:tcPr>
            <w:tcW w:w="280" w:type="dxa"/>
            <w:vAlign w:val="bottom"/>
          </w:tcPr>
          <w:p>
            <w:pPr>
              <w:spacing w:after="0"/>
              <w:rPr>
                <w:sz w:val="19"/>
                <w:szCs w:val="19"/>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1,508</w:t>
            </w: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r>
      <w:tr>
        <w:trPr>
          <w:trHeight w:val="223"/>
        </w:trPr>
        <w:tc>
          <w:tcPr>
            <w:tcW w:w="39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top w:val="single" w:sz="8" w:color="auto"/>
              <w:bottom w:val="single" w:sz="8" w:color="auto"/>
            </w:tcBorders>
            <w:shd w:val="clear" w:color="auto" w:fill="EEEEEE"/>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50,422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first quarter of 2016, revenues in the internet data center market were driven primarily by increasing demand for our 40 gigabits per second and 100 Gbps transceivers as our customers continued to upgrade their technology infrastructure. The increase in revenue in our FTTH market is due to an increase in demand for older legacy products. Demand for these legacy products is expected to fluctuate. The decrease in revenues in the CATV market for the year was a result of lower demand from certain customers who merged in early 2016, as well as lower demand from certain foreign markets due to currency weakening in those countries.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2016 and 2015, our top ten customers represented 92.3% and 90.5% of our revenue,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goods sold and gross margin</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3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2"/>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10"/>
        </w:trPr>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36,169</w:t>
            </w:r>
          </w:p>
        </w:tc>
        <w:tc>
          <w:tcPr>
            <w:tcW w:w="12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71.7%</w:t>
            </w:r>
          </w:p>
        </w:tc>
        <w:tc>
          <w:tcPr>
            <w:tcW w:w="3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20,183</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EEEEEE"/>
          </w:tcPr>
          <w:p>
            <w:pPr>
              <w:jc w:val="right"/>
              <w:ind w:right="450"/>
              <w:spacing w:after="0"/>
              <w:rPr>
                <w:sz w:val="20"/>
                <w:szCs w:val="20"/>
                <w:color w:val="auto"/>
              </w:rPr>
            </w:pPr>
            <w:r>
              <w:rPr>
                <w:rFonts w:ascii="Times New Roman" w:cs="Times New Roman" w:eastAsia="Times New Roman" w:hAnsi="Times New Roman"/>
                <w:sz w:val="18"/>
                <w:szCs w:val="18"/>
                <w:color w:val="auto"/>
              </w:rPr>
              <w:t>15,986</w:t>
            </w:r>
          </w:p>
        </w:tc>
        <w:tc>
          <w:tcPr>
            <w:tcW w:w="8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79.2%</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Cost of goods sold increased by $16.0 million, or 79.2%, for the three months ended March 31, 2016, as compared to the three months ended March 31, 2015, primarily due to a 66.8% increase in sales over the prior year. The decrease in gross margin for the three months ended March 31, 2016 compared to the same period ended March 31, 2015 was primarily the result of higher production costs associated with certain 40G and 100G products, along with lower pricing on some of these products. Also, the reduction in revenue from our CATV segment during the first quarter of 2016 contributed to the reduction in gross margin in the period.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gridSpan w:val="6"/>
          </w:tcPr>
          <w:p>
            <w:pPr>
              <w:jc w:val="right"/>
              <w:ind w:right="16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8,396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5,733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-599440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-325120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2740" w:space="720"/>
            <w:col w:w="7960"/>
          </w:cols>
          <w:pgMar w:left="240" w:top="902" w:right="239" w:bottom="1440" w:gutter="0" w:footer="0" w:header="0"/>
        </w:sectPr>
      </w:pPr>
    </w:p>
    <w:p>
      <w:pPr>
        <w:spacing w:after="0" w:line="2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$3.6 million, or 74.7%, for the three months ended March 31, 2016 as compared to the three months ended March 31, 2015. This increase was primarily due to increases in personnel costs, R&amp;D work orders, R&amp;D material usage and other project costs related to 40G and 100G data center products, DOCSIS 3.1-capable CATV products, and other new product development, and an increase in depreciation expense resulting from additional R&amp;D equipment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$0.1 million for the three months ended March 31, 2016 as compared to the three months ended March 31, 2015. This increase was due to an increase in personnel costs offset by a decrease in commissions paid to sales personnel. The percentage of sales and marketing expenses over sales decreased from 5.2% for the three months ended March 31, 2015 to 3.3% for the three months ended March 31,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$0.7 million, or 14.6%, for the three months ended March 31, 2016 compared to the three months ended March 31, 2015. This was primarily due to an increase in personnel costs, professional fees and share-based compensation. The percentage of general and administrative expenses over sales decreased from 16.5% for the three months ended March 31, 2015 to 11.4% for the three months ended March 31,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shd w:val="clear" w:color="auto" w:fill="EEEEEE"/>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40" w:type="dxa"/>
            <w:vAlign w:val="bottom"/>
          </w:tcPr>
          <w:p>
            <w:pPr>
              <w:spacing w:after="0"/>
              <w:rPr>
                <w:sz w:val="18"/>
                <w:szCs w:val="18"/>
                <w:color w:val="auto"/>
              </w:rPr>
            </w:pPr>
          </w:p>
        </w:tc>
      </w:tr>
      <w:tr>
        <w:trPr>
          <w:trHeight w:val="230"/>
        </w:trPr>
        <w:tc>
          <w:tcPr>
            <w:tcW w:w="2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12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12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(358)</w:t>
            </w:r>
          </w:p>
        </w:tc>
        <w:tc>
          <w:tcPr>
            <w:tcW w:w="340" w:type="dxa"/>
            <w:vAlign w:val="bottom"/>
            <w:shd w:val="clear" w:color="auto" w:fill="EEEEEE"/>
          </w:tcPr>
          <w:p>
            <w:pPr>
              <w:spacing w:after="0"/>
              <w:rPr>
                <w:sz w:val="19"/>
                <w:szCs w:val="19"/>
                <w:color w:val="auto"/>
              </w:rPr>
            </w:pP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w:t>
            </w:r>
          </w:p>
        </w:tc>
        <w:tc>
          <w:tcPr>
            <w:tcW w:w="7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increased 36.5% for the three months ended March 31, 2016 as compared to the three months ended March 31, 2015 due to higher cash balances during the period.</w:t>
      </w:r>
    </w:p>
    <w:p>
      <w:pPr>
        <w:spacing w:after="0" w:line="16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increased 220.8% for the three months ended March 31, 2016 as compared to the three months ended March 31, 2015 due to borrowing activities to fund the expansion projects, including the expansion of our Sugar Land facility.</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Other income decreased by $0.4 million for the three months ended March 31, 2016 compared to the same period of the prior year. We qualify as a high-tech enterprise in China, as determined by the Chinese government, and are paid subsidies from time to time by the Chinese government to foster local high-tech manufacturing. We did not receive subsidies in the three months ended March 31, 2016 compared to $0.2 million the same period in 2015.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1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6"/>
        </w:trPr>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3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6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680" w:type="dxa"/>
            <w:vAlign w:val="bottom"/>
            <w:gridSpan w:val="2"/>
            <w:shd w:val="clear" w:color="auto" w:fill="EEEEEE"/>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EEEEEE"/>
          </w:tcPr>
          <w:p>
            <w:pPr>
              <w:jc w:val="right"/>
              <w:ind w:right="550"/>
              <w:spacing w:after="0"/>
              <w:rPr>
                <w:sz w:val="20"/>
                <w:szCs w:val="20"/>
                <w:color w:val="auto"/>
              </w:rPr>
            </w:pPr>
            <w:r>
              <w:rPr>
                <w:rFonts w:ascii="Times New Roman" w:cs="Times New Roman" w:eastAsia="Times New Roman" w:hAnsi="Times New Roman"/>
                <w:sz w:val="18"/>
                <w:szCs w:val="18"/>
                <w:color w:val="auto"/>
              </w:rPr>
              <w:t>192</w:t>
            </w:r>
          </w:p>
        </w:tc>
        <w:tc>
          <w:tcPr>
            <w:tcW w:w="10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income tax benefit consists of U.S. alternative minimum tax, state taxes and Taiwan income tax recorded during the periods. Due to historic losses in the U.S., our net deferred tax assets are fully offset by a deferred tax valuation allowance.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From inception until our initial public offering, we financed our operations through private sales of equity securities, cash generated from operations and from various lending arrangements. As of March 31, 2016, we had $15.7 million of unused borrowing capacity from all of our loan agreements. As of March 31, 2016, our cash, cash equivalents, restricted cash and short-term investments totaled $58.5 million. Cash and cash equivalents are held for working capital purposes and are invested primarily in money market or time deposit funds. We do not enter into investments for trading or speculative purposes.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selected cash flow data for the periods presented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7"/>
              </w:rPr>
              <w:t>(13,833)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(17,668)</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(16,407)</w:t>
            </w: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26,478</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20" w:type="dxa"/>
            <w:vAlign w:val="bottom"/>
          </w:tcPr>
          <w:p>
            <w:pPr>
              <w:spacing w:after="0"/>
              <w:rPr>
                <w:sz w:val="19"/>
                <w:szCs w:val="19"/>
                <w:color w:val="auto"/>
              </w:rPr>
            </w:pPr>
          </w:p>
        </w:tc>
        <w:tc>
          <w:tcPr>
            <w:tcW w:w="4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(22,266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2016, net cash provided by operating activities was $8.9 million. During the three months ended March 31, 2016, we recorded a net loss of $1.3 million. The net loss included non-cash charges, including depreciation and amortization of $3.0 million, share-based compensation expense of $0.8 million and non-cash increases to our inventory reserve account of $0.4 million. Cash provided by operating activities primarily related to a $6.2 million decrease in inventory related to sales orders and a decrease in our accounts receivable of $3.9 million from the collection of trade receivables from our customers, offset by cash used to decrease accounts payable to our vendors of $3.6 million and a decrease in accrued expenses of $2.2 million.</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2015, net cash used in operating activities was $13.8 million. During the three months ended March 31, 2015, we recorded a net loss of $0.7 million. The net loss incorporated non-cash charges, including depreciation and amortization of $2.0 million, share-based compensation expense of $0.5 million and non-cash increases to our inventory reserve account of $0.6 million. Cash used in operating activities primarily related to an increase in inventory related to sales orders of $10.1 million and a decrease in accounts payable to our vendors of $5.7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net cash used in investing activities was $17.7 million mainly for the purchase of additional machinery and equipment and investment in construction of our U.S. plant, and increase in deposits and deferred charges.</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net cash used in investing activities was $16.4 million for the purchase of additional machinery and equipment, for investment in construction in our U.S. plant and the establishment of an escrow account related to the U.S. plant construction.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consisted primarily of proceeds from the issuance of common stock and activity associated with our various lending arrangements.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our financing activities provided $26.5 million in cash. We received $26.9 million in net borrowings associated with our bank loans, offset by $0.2 million repayment of notes payable and $0.2 million in increase to restricted cash.</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our financing activities provided $8.2 million in cash. We received $8.7 million in net borrowings associated with our bank loans, offset by $0.2 million repayment of notes payable and $0.5 million in increase to restricted cash.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commitments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a revolving line of credit and a term loan with East West Bank and Comerica Bank in the U.S., lines of credit and financing agreements for our Taiwan branch and several lines of credit arrangements for our China subsidiary. As of March 31, 2016, we had $15.7 million of unused borrowing capacity.</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30, 2015, we entered into a credit agreement with East West Bank and Comerica Bank, a second lien deed of trust, multiple security agreements and promissory notes evidencing two credit facilities and a term loan. The credit agreement included a $25.0 million revolving line of credit which matures on June 30, 2018 and a $10.0 million term loan maturing on June 30, 2020. The interest rate on these loans is the LIBOR Borrowing Rate plus 2.75% or 3.0%. As of March 31, 2016, $25.0 million was outstanding under the revolving line of credit. As of March 31, 2016, $8.6 million was outstanding under the term loans.</w:t>
      </w:r>
    </w:p>
    <w:p>
      <w:pPr>
        <w:spacing w:after="0" w:line="18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also have with East West Bank a term loan of $5.0 million with monthly payments of principal and interest that matures on July 31, 2019. As of March 31, 2016, the outstanding balance was $3.8 million.</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January 26, 2015, we entered into a construction loan agreement with East West Bank for up to $22.0 million dollars to finance the construction of our campus expansion plan in Sugar Land, Texas. Upon signing the agreement, we deposited $11.0 million into a restricted bank account for owner’s contribution of construction costs.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We may pay without penalty all or a portion of the amount owed earlier than due. Under the loan agreement, the loan bears interest, at an annual rate based on the one-month LIBOR Borrowing Rate plus 2.75%. As of March 31, 2016, there was $14.7 million outstanding under this loan agreement and there was zero balance in the restricted bank account.</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loan and security agreements with East West Bank and Comerica Bank require us to maintain certain financial covenants, including a minimum current ratio, maximum leverage ratio and minimum annual EBITDA. As of March 31, 2016, we were in compliance with all covenants contained in these agreements.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February 19, 2016, our Taiwan branch renewed and increased its credit facility originally dated January 6, 2015 with CTBC Bank Co. Ltd. in Taipei, Taiwan for 320 million New Taiwan dollars, or approximately $10.3 million, one year revolving credit facility. The obligations under the credit facility are unsecured up to $6.3 million; the remaining $4.0 million is secured by our certificate of deposit with the bank. Borrowings under the credit facility bear interest at a rate based on the bank’s corporate interest rate index plus 1.5% for the unsecured portion of the credit facility and bank’s corporate interest rate index plus 0.93% for the secured portion of the credit facility, adjusted monthly. As of the execution of the credit facility the bank’s corporate interest rate index is 0.91%. As of March 31, 2016, $6.1 million was outstanding under this credit facility.</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April 8, 2016, we renewed its 90 million New Taiwan dollars and 120 million New Taiwan dollars, one year revolving credit facilities, originally dated March 9, 2015, with E. Sun Commercial Bank Co., Ltd. in Taipei, Taiwan. Borrowings under the 90 million New Taiwan dollars credit facility will bear interest at a rate equal to the London Interbank Offered Rate (LIBOR) plus 1.7% divided by 0.946. Our obligations under the 90 million New Taiwan dollars credit facility are secured by our certificates of deposit with the bank. Borrowings under the 120 million New Taiwan dollars credit facility will bear interest at a rate equal to the bank’s personal monthly time deposit interest rate plus 0.480%. The bank’s personal monthly time deposit interest rate is currently 1.22%. As of March 31, 2016, $4.2 million was outstanding under this credit facility.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3" w:name="page24"/>
    <w:bookmarkEnd w:id="23"/>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December 22, 2015, our Taiwan branch renewed its $4.0 million credit facility, originally dated December 20, 2013, and entered into a $2.0 million, one year revolving credit facility agreement with Mega International Commercial Bank (“Mega Bank”). Obligations under the credit facilities are secured by certificate of deposit with Mega Bank. Borrowings under the $4.0 million credit facility bear interest at a rate not less than the LIBOR borrowing rate plus 1.0%, divided by 0.946 for U.S. and other currency borrowings; New Taiwan dollars borrowings bear interest at a rate equal to the bank’s base lending rate plus 0.76%. Borrowings under the $2.0 million credit facility bear interest at a rate not less than the LIBOR borrowing rate plus 1.2%, divided by 0.946 for U.S. dollar borrowings; New Taiwan dollars borrowings bear interest at a rate equal to the bank’s base lending rate plus 0.76% but shall not be less than 1.90%; and other currency borrowings shall bear interest at a rate at the bank’s based lending rate plus 1.0%, divided by 0.946. As of March 31, 2016, $4.6 million was outstanding under this credit facility.</w:t>
      </w:r>
    </w:p>
    <w:p>
      <w:pPr>
        <w:spacing w:after="0" w:line="18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April 22, 2016, the our Taiwan branch entered into a comprehensive credit line agreement originally dated April 1, 2015, with the Taipei branch of China Construction Bank, providing a revolving credit line of $10 million, maturing on March 15, 2017. Borrowings under the credit line agreement are secured by a standby letter of credit issued by the China branch of the bank under existing agreements between the bank and our China subsidiary. Borrowings under the credit line agreement reduce the amounts available under the existing credit line between the bank and our China subsidiary and cannot exceed 97% of the amount of the standby letter of credit issued by the China branch of the bank. Borrowings under the credit line agreement bear interest at a rate negotiated separately for each drawing depending on the nature of the borrowings. As of March 31, 2016, $9.6 million was outstanding under this credit facility.</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June 30, 2015, our Taiwan branch entered into a purchase and sale contract and a finance lease agreement together with the sale contract with Chailease Finance Co, Ltd. (“Chailease”) in connection with certain equipment, structured as a sale lease-back transaction. Pursuant to the sale contract, we sold certain equipment to Chailease for a purchase price of 115,240,903 New Taiwan dollars and simultaneously leased the equipment back from Chailease pursuant to the finance lease agreement. The monthly lease payments range from 2,088,804 New Taiwan dollar to 2,364,650 New Taiwan dollars during the term of the finance lease agreement, including an initial payment in an amount of 40,240,903 New Taiwan dollars. The finance lease agreement has a three year term, with monthly lease payments, maturing on May 27 and June 30, 2018 respectively. The title to the equipment will be transferred to us upon the expiration of the finance lease agreement. As of March 31, 2016, $4.4 million was outstanding under this finance lease agreement.</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March 31, 2016, our Taiwan branch entered into a purchase and sale contract and a finance lease agreement together with the sale contract with Chailease in connection with certain equipment, structured as a sale lease-back transaction. Pursuant to the sale contract, we sold certain equipment to Chailease for a purchase price of 312,927,180 New Taiwan dollars and simultaneously leased the equipment back from Chailease pursuant to the finance lease agreement. The finance lease agreement has a three year term with monthly lease payments range from 6,772,500 New Taiwan dollar to 7,788,333 New Taiwan dollars during the term of the finance lease agreement, including an initial payment in an amount of 62,927,180 New Taiwan dollars. Based on the lease payments made under the finance lease agreement, the annual interest rate is calculated to be 4.0%. The title to the equipment will be transferred to us upon the expiration of the finance lease agreement. As of March 31, 2016, $7.8 million was outstanding under this finance lease agreement.</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March 31, 2016, our China subsidiary had credit facilities with China Construction Bank totaling $4.7 million, which can be drawn in U.S. currency, RMB currency, issuing bank acceptance notes to vendors with different interest rates or issuing standby letters of credit. As of March 31, 2016, our China subsidiary used $10.0 million of its credit facility and issued standby letters of credit as collateral for our Taiwan branch line of credit with China Construction Bank. As of March 31, 2016, we had a U.S. currency based loan of $4.4 million outstanding under various notes with three-month terms, maturing from April to June 2016 with effective interest rate of 3.15%. The outstanding balances of bank acceptance notes issued to vendors were $2.4 million with zero interest rate as of March 31, 2016.</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2016, there was $11.4 million of restricted cash, investments or security deposit associated mainly with the loan facilities.</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Future liquidity needs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flows from our operating activities and borrowings from our lenders,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The sale of additional equity or debt security could result in additional dilution to our stockholders, and its terms and prices may not be acceptable to us. If we are unable to raise additional capital when desired, our business, operating results and financial condition would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March 31, 2016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Less than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More than 5</w:t>
            </w:r>
          </w:p>
        </w:tc>
        <w:tc>
          <w:tcPr>
            <w:tcW w:w="100" w:type="dxa"/>
            <w:vAlign w:val="bottom"/>
            <w:gridSpan w:val="2"/>
          </w:tcPr>
          <w:p>
            <w:pPr>
              <w:spacing w:after="0"/>
              <w:rPr>
                <w:sz w:val="16"/>
                <w:szCs w:val="16"/>
                <w:color w:val="auto"/>
              </w:rPr>
            </w:pPr>
          </w:p>
        </w:tc>
      </w:tr>
      <w:tr>
        <w:trPr>
          <w:trHeight w:val="238"/>
        </w:trPr>
        <w:tc>
          <w:tcPr>
            <w:tcW w:w="4060" w:type="dxa"/>
            <w:vAlign w:val="bottom"/>
            <w:tcBorders>
              <w:bottom w:val="single" w:sz="8" w:color="EEEEEE"/>
            </w:tcBorders>
          </w:tcPr>
          <w:p>
            <w:pPr>
              <w:spacing w:after="0"/>
              <w:rPr>
                <w:sz w:val="20"/>
                <w:szCs w:val="20"/>
                <w:color w:val="auto"/>
              </w:rPr>
            </w:pPr>
          </w:p>
        </w:tc>
        <w:tc>
          <w:tcPr>
            <w:tcW w:w="6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20" w:type="dxa"/>
            <w:vAlign w:val="bottom"/>
            <w:tcBorders>
              <w:bottom w:val="single" w:sz="8" w:color="EEEEEE"/>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Borders>
              <w:bottom w:val="single" w:sz="8" w:color="EEEEEE"/>
            </w:tcBorders>
            <w:gridSpan w:val="2"/>
          </w:tcPr>
          <w:p>
            <w:pPr>
              <w:spacing w:after="0"/>
              <w:rPr>
                <w:sz w:val="20"/>
                <w:szCs w:val="20"/>
                <w:color w:val="auto"/>
              </w:rPr>
            </w:pPr>
          </w:p>
        </w:tc>
      </w:tr>
      <w:tr>
        <w:trPr>
          <w:trHeight w:val="291"/>
        </w:trPr>
        <w:tc>
          <w:tcPr>
            <w:tcW w:w="4060" w:type="dxa"/>
            <w:vAlign w:val="bottom"/>
            <w:shd w:val="clear" w:color="auto" w:fill="EEEEEE"/>
          </w:tcPr>
          <w:p>
            <w:pPr>
              <w:spacing w:after="0" w:line="291" w:lineRule="exact"/>
              <w:rPr>
                <w:sz w:val="20"/>
                <w:szCs w:val="20"/>
                <w:color w:val="auto"/>
              </w:rPr>
            </w:pPr>
            <w:r>
              <w:rPr>
                <w:rFonts w:ascii="Times New Roman" w:cs="Times New Roman" w:eastAsia="Times New Roman" w:hAnsi="Times New Roman"/>
                <w:sz w:val="18"/>
                <w:szCs w:val="18"/>
                <w:color w:val="auto"/>
              </w:rPr>
              <w:t>Bank acceptance payable and long-term debt</w:t>
            </w:r>
            <w:r>
              <w:rPr>
                <w:rFonts w:ascii="Times New Roman" w:cs="Times New Roman" w:eastAsia="Times New Roman" w:hAnsi="Times New Roman"/>
                <w:sz w:val="30"/>
                <w:szCs w:val="30"/>
                <w:color w:val="auto"/>
                <w:vertAlign w:val="superscript"/>
              </w:rPr>
              <w:t>(1)</w:t>
            </w:r>
          </w:p>
        </w:tc>
        <w:tc>
          <w:tcPr>
            <w:tcW w:w="8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95,561</w:t>
            </w:r>
          </w:p>
        </w:tc>
        <w:tc>
          <w:tcPr>
            <w:tcW w:w="2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43,383</w:t>
            </w:r>
          </w:p>
        </w:tc>
        <w:tc>
          <w:tcPr>
            <w:tcW w:w="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35,667</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11,469</w:t>
            </w:r>
          </w:p>
        </w:tc>
        <w:tc>
          <w:tcPr>
            <w:tcW w:w="80" w:type="dxa"/>
            <w:vAlign w:val="bottom"/>
            <w:shd w:val="clear" w:color="auto" w:fill="EEEEEE"/>
          </w:tcPr>
          <w:p>
            <w:pPr>
              <w:spacing w:after="0"/>
              <w:rPr>
                <w:sz w:val="24"/>
                <w:szCs w:val="24"/>
                <w:color w:val="auto"/>
              </w:rPr>
            </w:pPr>
          </w:p>
        </w:tc>
      </w:tr>
      <w:tr>
        <w:trPr>
          <w:trHeight w:val="324"/>
        </w:trPr>
        <w:tc>
          <w:tcPr>
            <w:tcW w:w="40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30"/>
                <w:szCs w:val="30"/>
                <w:color w:val="auto"/>
                <w:vertAlign w:val="superscript"/>
              </w:rPr>
              <w:t>(2)</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2,671</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7,409</w:t>
            </w:r>
          </w:p>
        </w:tc>
        <w:tc>
          <w:tcPr>
            <w:tcW w:w="80" w:type="dxa"/>
            <w:vAlign w:val="bottom"/>
          </w:tcPr>
          <w:p>
            <w:pPr>
              <w:spacing w:after="0"/>
              <w:rPr>
                <w:sz w:val="24"/>
                <w:szCs w:val="24"/>
                <w:color w:val="auto"/>
              </w:rPr>
            </w:pPr>
          </w:p>
        </w:tc>
      </w:tr>
      <w:tr>
        <w:trPr>
          <w:trHeight w:val="210"/>
        </w:trPr>
        <w:tc>
          <w:tcPr>
            <w:tcW w:w="4060" w:type="dxa"/>
            <w:vAlign w:val="bottom"/>
            <w:tcBorders>
              <w:top w:val="single" w:sz="8" w:color="EEEEEE"/>
            </w:tcBorders>
            <w:shd w:val="clear" w:color="auto" w:fill="EEEEEE"/>
          </w:tcPr>
          <w:p>
            <w:pPr>
              <w:spacing w:after="0"/>
              <w:rPr>
                <w:sz w:val="18"/>
                <w:szCs w:val="18"/>
                <w:color w:val="auto"/>
              </w:rPr>
            </w:pPr>
          </w:p>
        </w:tc>
        <w:tc>
          <w:tcPr>
            <w:tcW w:w="6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commitments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108,499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44,308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18,878</w:t>
            </w:r>
          </w:p>
        </w:tc>
        <w:tc>
          <w:tcPr>
            <w:tcW w:w="80" w:type="dxa"/>
            <w:vAlign w:val="bottom"/>
          </w:tcPr>
          <w:p>
            <w:pPr>
              <w:spacing w:after="0"/>
              <w:rPr>
                <w:sz w:val="21"/>
                <w:szCs w:val="21"/>
                <w:color w:val="auto"/>
              </w:rPr>
            </w:pPr>
          </w:p>
        </w:tc>
      </w:tr>
      <w:tr>
        <w:trPr>
          <w:trHeight w:val="20"/>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right="180" w:hanging="452"/>
        <w:spacing w:after="0" w:line="26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various non-cancellable operating lease agreements for our offices in Taiwan and the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2016, we did not, and we do not currently, have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2015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following the fifth anniversary of the date of its initial public offering of common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in which it has annual gross revenue of $1.0 billion or more;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during the previous three-year period, issued more than $1.0 billion in non-convertible debt; and</w:t>
      </w:r>
    </w:p>
    <w:p>
      <w:pPr>
        <w:spacing w:after="0" w:line="225" w:lineRule="exact"/>
        <w:rPr>
          <w:rFonts w:ascii="Times New Roman" w:cs="Times New Roman" w:eastAsia="Times New Roman" w:hAnsi="Times New Roman"/>
          <w:sz w:val="18"/>
          <w:szCs w:val="18"/>
          <w:color w:val="auto"/>
        </w:rPr>
      </w:pPr>
    </w:p>
    <w:p>
      <w:pPr>
        <w:ind w:left="980" w:right="280" w:hanging="324"/>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the Company, see Item 7A – Quantitative and Qualitative Disclosures about Market Risk in our Annual Report on Form 10-K for the fiscal year ended December 31, 2015. We do not believe the Company’s exposure to market risk has changed materially since December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March 31, 2016. Based upon that evaluation, our Chief Executive Officer and Chief Financial Officer concluded that, as of the end of the period covered by this report, our disclosure controls and procedures were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2016, we were not involved in any material pending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and all other information contained in this Annual Report on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Our Business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generate much of our revenue from a limited number of customers. In 2015, 2014 and 2013 and the three months ended March 31, 2016, our top ten customers represented 88.7%, 87.2%, 76.9% and 92.3% of our revenue, respectively. In 2015, Amazon represented 52.5% of our revenue, Microsoft represented 11.6% of our revenue, and Cisco represented 10.4%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For example, in January 2016, Arris Group Inc. (“Arris”) completed plans to purchase Pace Plc (“Pace”). Pace and Arris have historically been our customers, and if we fail to achieve historical levels of sales of our products to the new entity, the loss or reduction in sales could have an adverse effect on our business, financial condition, results of operations, and cash flows.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customers do not qualify our products for use on a timely basis, our results of operations may suffer.</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 is difficult to forecast accurately and, as a result, we may be unable to match production with customer demand.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negatively impact our results of operations and market share.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8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markets in which we compete and any future downturn will likely reduce demand for our products and revenue.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28" w:name="page29"/>
    <w:bookmarkEnd w:id="28"/>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product specifications and customer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engineering complexities;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reallocating engineering resources and overcoming resource limitations;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technology or competitive product requirements.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CATV market does not continue to develop as we expect, or if there is any downturn in this market, our business would be adversely affected.</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Historically, we have generated much of our revenue from the CATV market. In 2015, 2014 and 2013, the CATV market represented 28.3%, 36.3% and 60.4%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 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expanding to new facilities in our Sugar Land, TX location. These facilities will add significant additional costs and if we fail to adequately utilize the additional production capacity, our results of operations will suffer.</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2015, we began construction of two new buildings located immediately adjacent to our existing headquarters building in Sugar Land, TX. The projected cost of construction for these new facilities is approximately $33 million, and we expect to invest significant additional resources to add production equipment to the new facilities. Much of this equipment must be ordered far in advance of its delivery date, and accordingly we must make the decision to purchase equipment long before we see additional orders for our products. While we endeavor to order equipment that is flexible in utilization, if we over-estimate aggregate demand for our products, or if we fail to accurately predict the types of products that customers will demand in the future, we may be forced to under-utilize this equipment, which could result in asset impairment charges, additional costs to reconfigure equipment to be used in other production, or other charges that would negatively affect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new factory in Sugar Land, TX may experience unforeseen difficulties in commencing operations, or may cost more than we expect to bring online.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complete our new facility in Sugar Land, TX in the second quarter of 2016. However, construction delays or difficulties that may arise in the new facility may result in delays to the commencement of operations in the new facility, or may cause us to incur additional costs to fix any deficiencies in the new facility. We expect to begin utilizing the additional production capacity from the new facility in 2016, and any delay to our start-up schedule could cause us to have insufficient production capacity to meet customer orders. If we are unable to produce sufficient products to meet customer demand, it would negatively affect our sales, competitive position and reputation.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in the FTTH market, and our business could be harmed if this market does not develop as we expect.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For 2015 and 2014, respectively, we generated 1.3%, and 10.4% of our revenue from the FTTH market. We have only recently begun offering products to the FTTH market, and our WDM-PON products designed for this market have not yet,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gigabit per second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we may lose sales and damage our customer relationships.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in addition to Metal Organic Chemical Vapor Deposition, or MOCVD, the technique most commonly used in optical manufacturing by communications optics vendors, and our Molecular Beam Epitaxy, or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costs and shifts in product mix may adversely impact our gross margins.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high fixed cost base due to our vertically integrated business model, including the fact that 1,960 of our employees as of December 31, 2015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have a substantial accumulated deficit.</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a history of losses and have a substantial accumulated deficit. In the years ended December 31, 2013 and 2012, we experienced net losses of $1.4 million and $0.9 million, respectively. In 2014 and 2015, we experienced profit of $4.3 million and $10.8 million, respectively. As of December 31, 2015 and 2014, our accumulated deficit was $68.2 million and $79.0 million, respectively. Our losses in past years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quarter-to-quarter due to a number of factors, which may lead to volatility in our stock price.</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size and mix of sales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products, including the increase, decrease, rescheduling or cancellation of significant customer orders;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manufacture and deliver products which meet customer requirements in a timely and cost-effective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enhancements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key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our present and potential customers and end users adopt our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and sales policies or the pricing and sales policies of our competitors;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1" w:name="page32"/>
    <w:bookmarkEnd w:id="31"/>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or yield problems in our manufacturing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 for certain raw materials and components used in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of our outside contract manufacturers for a portion of the manufacturing process for some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 and variability of the sales cycles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increases in costs or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capital expenditure and budget cycles for our customers, affecting the timing of their spending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the areas of the world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rules;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and unpredictable nature of the markets for products incorporating our solutions;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changes in such conditions specific to our target markets.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to develop and maintain our technology and manage our business in a rapidly changing market.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and any supply interruption could have an adverse effect on our business.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2" w:name="page33"/>
    <w:bookmarkEnd w:id="32"/>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outside contract manufacturers for a portion of the manufacturing process for some of our products.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could contain defects that may cause us to incur significant costs or result in a loss of customers.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our international sales and operations.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currently derive, and expect to continue to derive, a significant portion of our revenue from sales to international customers. In 2015, 2014 and 2013, 19.0%, 29.5% and 41.0%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0"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supporting operations in more than one country;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legal protections for intellectual property in foreign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U.S. taxation issues and international trade barriers;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3" w:name="page34"/>
    <w:bookmarkEnd w:id="33"/>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any necessary governmental authorizations for the export of our products to certain foreign jurisdictions;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economies;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travel restrictions;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or political changes, hostilities and other disruptions in regions where we currently operate or may operate in the future;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increased expenses in complying with a variety of U.S. and foreign laws, regulations and trade standards, including the Foreign Corrupt Practices Act;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 the jurisdictions in which we currently operate or may operate in the future.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growth effectively may adversely affect our financial condition and results of operations.</w:t>
      </w:r>
    </w:p>
    <w:p>
      <w:pPr>
        <w:spacing w:after="0" w:line="22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agreements contain restrictive covenants that may adversely affect our ability to conduct our business.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lending arrangements with several financial institutions, including loan agreements with East West Bank and Comerica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East West Bank and Comerica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80"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research and development;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manufacturing capabilities;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technical, sales and other personnel;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complementary businesses.</w:t>
      </w:r>
    </w:p>
    <w:p>
      <w:pPr>
        <w:spacing w:after="0" w:line="20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may adversely affect our financial condition and results of operations.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acquired business;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capital expenditures or liabilities or changes related to research in progress and product development;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our existing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business relationships with suppliers and customers of the acquired business with our existing business relationships;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little or no prior experience;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organizations.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subject to volatility as a result of exposure to fluctuations in currency exchange rates.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could harm our operations.</w:t>
      </w:r>
    </w:p>
    <w:p>
      <w:pPr>
        <w:spacing w:after="0" w:line="229" w:lineRule="exact"/>
        <w:rPr>
          <w:sz w:val="20"/>
          <w:szCs w:val="20"/>
          <w:color w:val="auto"/>
        </w:rPr>
      </w:pPr>
    </w:p>
    <w:p>
      <w:pPr>
        <w:ind w:right="60" w:firstLine="648"/>
        <w:spacing w:after="0" w:line="270" w:lineRule="auto"/>
        <w:rPr>
          <w:sz w:val="20"/>
          <w:szCs w:val="20"/>
          <w:color w:val="auto"/>
        </w:rPr>
      </w:pPr>
      <w:r>
        <w:rPr>
          <w:rFonts w:ascii="Times New Roman" w:cs="Times New Roman" w:eastAsia="Times New Roman" w:hAnsi="Times New Roman"/>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5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6" w:name="page37"/>
    <w:bookmarkEnd w:id="36"/>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88"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claiming infringement a license to the relevant technology, which may not be available on reasonable terms, or at all;</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selling, incorporating or using our products that use the challenged intellectual property;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redesign the products that use the technology and to develop non-infringing technology.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w:t>
      </w:r>
    </w:p>
    <w:p>
      <w:pPr>
        <w:ind w:right="600"/>
        <w:spacing w:after="0" w:line="255" w:lineRule="auto"/>
        <w:rPr>
          <w:sz w:val="20"/>
          <w:szCs w:val="20"/>
          <w:color w:val="auto"/>
        </w:rPr>
      </w:pPr>
      <w:r>
        <w:rPr>
          <w:rFonts w:ascii="Times New Roman" w:cs="Times New Roman" w:eastAsia="Times New Roman" w:hAnsi="Times New Roman"/>
          <w:sz w:val="18"/>
          <w:szCs w:val="18"/>
          <w:color w:val="auto"/>
        </w:rPr>
        <w:t>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may be limited.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2015, we had U.S. accumulated net operating losses, or NOLs, of approximately $50.3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is limited in dollar amount.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may adversely affect our results of operation and our business.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8" w:name="page39"/>
    <w:bookmarkEnd w:id="38"/>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and increased expenses and business risk as a result of Restriction on Hazardous Substances, or RoHS directives.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could subject us to penalties and other adverse consequences.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standards and regulations could make our products obsolete, which would cause our revenue and results of operations to suffer.</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regulations related to conflict minerals could increase costs and affect the manufacturing and sale of our products.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in China</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Our business operations conducted in China are critical to our success. A total of $20.6 million, $22.0 million and $31.9 million or 11% 16.9% and 40.6%, of our revenue in the years ended December 31, 2015, 2014 and 2013 was attributable to our product manufacturing plants in China, respectively. Additionally, a substantial portion of our property, plant and equipment, 22% and 26% as of December 31, 2015 and 2014,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5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8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and expiration or unavailability of our preferential tax treatments in China may have a material adverse effect on our operating results.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2015, 2014, 2013 and 2012. We have not yet realized any benefit from the 10% reduction in income tax rate due to losses incurred by our China subsidiary; however, if we fail to continue to qualify for this preferential rate in the future, we may incur higher tax rates on our income in China. In order to retain the preferential tax rate, we must meet certain operating conditions, satisfy certain product requirements, meet certain headcount requirements and maintain certain levels of research expenditures.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China regulation of loans to and direct investment by offshore holding companies in China entities may delay or prevent us from making loans or additional capital contributions to our China subsidiary.</w:t>
      </w:r>
    </w:p>
    <w:p>
      <w:pPr>
        <w:spacing w:after="0" w:line="15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China subsidiary is subject to Chinese labor laws and regulations and Chinese labor laws may increase our operating costs in China.</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8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our labor costs in China may adversely affect our business and our profitability.</w:t>
      </w:r>
    </w:p>
    <w:p>
      <w:pPr>
        <w:spacing w:after="0" w:line="22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establishing and maintaining adequate management and financial controls over our China operations.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be volatile.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5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5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currently do not plan to declare or pay dividends on shares of our common stock in the foreseeable future. In addition, the terms of our loan and security agreement with East West Bank and Comerica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7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5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and</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5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 w:name="page44"/>
    <w:bookmarkEnd w:id="43"/>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8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1" w:right="299" w:bottom="1440" w:gutter="0" w:footer="0" w:header="0"/>
        </w:sectPr>
      </w:pPr>
    </w:p>
    <w:bookmarkStart w:id="44" w:name="page45"/>
    <w:bookmarkEnd w:id="4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5240" w:type="dxa"/>
            <w:vAlign w:val="bottom"/>
            <w:gridSpan w:val="3"/>
          </w:tcPr>
          <w:p>
            <w:pPr>
              <w:ind w:left="2120"/>
              <w:spacing w:after="0"/>
              <w:rPr>
                <w:sz w:val="20"/>
                <w:szCs w:val="20"/>
                <w:color w:val="auto"/>
              </w:rPr>
            </w:pPr>
            <w:r>
              <w:rPr>
                <w:rFonts w:ascii="Times New Roman" w:cs="Times New Roman" w:eastAsia="Times New Roman" w:hAnsi="Times New Roman"/>
                <w:sz w:val="18"/>
                <w:szCs w:val="18"/>
                <w:b w:val="1"/>
                <w:bCs w:val="1"/>
                <w:color w:val="auto"/>
                <w:w w:val="99"/>
              </w:rPr>
              <w:t>APPLIED OPTOELECTRONICS, INC.</w:t>
            </w:r>
          </w:p>
        </w:tc>
      </w:tr>
      <w:tr>
        <w:trPr>
          <w:trHeight w:val="60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2016</w:t>
            </w:r>
          </w:p>
        </w:tc>
        <w:tc>
          <w:tcPr>
            <w:tcW w:w="524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By:    /s/ STEFAN J. MURRY</w:t>
            </w:r>
          </w:p>
        </w:tc>
      </w:tr>
      <w:tr>
        <w:trPr>
          <w:trHeight w:val="218"/>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c>
          <w:tcPr>
            <w:tcW w:w="820" w:type="dxa"/>
            <w:vAlign w:val="bottom"/>
          </w:tcPr>
          <w:p>
            <w:pPr>
              <w:spacing w:after="0"/>
              <w:rPr>
                <w:sz w:val="18"/>
                <w:szCs w:val="18"/>
                <w:color w:val="auto"/>
              </w:rPr>
            </w:pPr>
          </w:p>
        </w:tc>
      </w:tr>
      <w:tr>
        <w:trPr>
          <w:trHeight w:val="214"/>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w:t>
            </w:r>
          </w:p>
        </w:tc>
      </w:tr>
      <w:tr>
        <w:trPr>
          <w:trHeight w:val="236"/>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0" w:right="3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36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as currently in effect (filed as Exhibit 3.1 to the Registrant’s Quarterly Report on Form</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10-Q filed with the Securities and Exchange Commission on November 14, 2013).</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as currently in effect (filed as Exhibit 3.2 to the Registrant’s Quarterly Report on Form 10-Q filed with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and Exchange Commission on November 14, 2013).</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Specimen (filed as Exhibit 4.1 to the Registrant’s Current Report on Form 8-K filed with the Securities and Exchange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on July 15, 2015).</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the Terms of Credit Line, dated January 4, 2016, between Applied Optoelectronics, Inc. and China Trust Commercial Bank</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Ltd. (filed as Exhibit 10.1 to the Registrant’s Current Report on Form 8-K filed with the Securities and Exchange Commission on</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25, 2016).</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Agreement for Omnibus Credit Lines, dated February 19, 2016, between Applied Optoelectronics, Inc. and China Trust Commercial</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Co., Ltd. (filed as Exhibit 10.2 to the Registrant’s Current Report on Form 8-K filed with the Securities and Exchange Commission on</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25, 2016).</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Agreement for Individually Negotiated Terms &amp; Conditions, dated February 19, 2016, between Applied Optoelectronics, Inc. and China Trust</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Bank Co., Ltd. (filed as Exhibit 10.3 to the Registrant’s Current Report on Form 8-K filed with the Securities and Exchange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on February 25, 2016).</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NT$200 million Promissory Note, dated February 19, 2016, between Applied Optoelectronics, Inc. and China Trust Commercial Bank Co.,</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 (filed as Exhibit 10.4 to the Registrant’s Current Report on Form 8-K filed with the Securities and Exchange Commission on February</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25, 2016).</w:t>
            </w:r>
          </w:p>
        </w:tc>
        <w:tc>
          <w:tcPr>
            <w:tcW w:w="9360" w:type="dxa"/>
            <w:vAlign w:val="bottom"/>
          </w:tcPr>
          <w:p>
            <w:pPr>
              <w:spacing w:after="0"/>
              <w:rPr>
                <w:sz w:val="20"/>
                <w:szCs w:val="20"/>
                <w:color w:val="auto"/>
              </w:rPr>
            </w:pP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NT$120 million Promissory Note, dated February 19, 2016, between Applied Optoelectronics, Inc. and China Trust Commercial Bank Co.,</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 (filed as Exhibit 10.5 to the Registrant’s Current Report on Form 8-K filed with the Securities and Exchange Commission on February</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25, 2016).</w:t>
            </w:r>
          </w:p>
        </w:tc>
        <w:tc>
          <w:tcPr>
            <w:tcW w:w="9360" w:type="dxa"/>
            <w:vAlign w:val="bottom"/>
          </w:tcPr>
          <w:p>
            <w:pPr>
              <w:spacing w:after="0"/>
              <w:rPr>
                <w:sz w:val="20"/>
                <w:szCs w:val="20"/>
                <w:color w:val="auto"/>
              </w:rPr>
            </w:pP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for Provision of Collateral and Pledge Agreement, dated February 19, 2016, between Applied Optoelectronics, Inc. and China</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Commercial Bank Co., Ltd. (filed as Exhibit 10.6 to the Registrant’s Current Report on Form 8-K filed with the Securities and</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Commission on February 25, 2016).</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NT$120 million Promissory Note (Certificate of Deposit), dated February 19, 2016, between Applied Optoelectronics, Inc. and China Trust</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Bank Co., Ltd. (filed as Exhibit 10.7 to the Registrant’s Current Report on Form 8-K filed with the Securities and Exchange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 on February 25, 2016).</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of Purchase and Sale Contract, Finance Lease Agreement and Promissory Note between Applied Optoelectronics, Inc., Taiwan</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 and Chailease Finance Co., Ltd. (filed as Exhibit 10.1 to the Registrant’s Current Report on Form 8-K filed with the Securities and</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Commission on April 6, 2016).</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Exchange Act Rule, 13a-14(a) and 15d-14(a), as adopted pursuant to Section 302 of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Exchange Act Rule, 13a-14(a) and 15d-14(a), as adopted pursuant to Section 302 of the</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41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Certification pursuant to 18 U.S.C. 1350, adopted pursuant to Section 906 of the Sarbanes-Oxley Act of 2002, by Chief Executive Officer and</w:t>
            </w:r>
          </w:p>
        </w:tc>
      </w:tr>
      <w:tr>
        <w:trPr>
          <w:trHeight w:val="234"/>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 w:lineRule="exact"/>
        <w:rPr>
          <w:sz w:val="20"/>
          <w:szCs w:val="20"/>
          <w:color w:val="auto"/>
        </w:rPr>
      </w:pPr>
    </w:p>
    <w:p>
      <w:pPr>
        <w:ind w:left="700" w:hanging="692"/>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25" w:lineRule="exact"/>
        <w:rPr>
          <w:sz w:val="20"/>
          <w:szCs w:val="20"/>
          <w:color w:val="auto"/>
        </w:rPr>
      </w:pPr>
    </w:p>
    <w:p>
      <w:pPr>
        <w:jc w:val="both"/>
        <w:ind w:left="700" w:hanging="692"/>
        <w:spacing w:after="0" w:line="266"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ectPr>
          <w:pgSz w:w="11900" w:h="16838" w:orient="portrait"/>
          <w:cols w:equalWidth="0" w:num="1">
            <w:col w:w="11420"/>
          </w:cols>
          <w:pgMar w:left="240" w:top="900" w:right="239" w:bottom="0" w:gutter="0" w:footer="0" w:header="0"/>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Chih-Hsiang (Thompson) Lin, certify that:</w:t>
      </w:r>
    </w:p>
    <w:p>
      <w:pPr>
        <w:spacing w:after="0" w:line="225" w:lineRule="exact"/>
        <w:rPr>
          <w:sz w:val="20"/>
          <w:szCs w:val="20"/>
          <w:color w:val="auto"/>
        </w:rPr>
      </w:pPr>
    </w:p>
    <w:p>
      <w:pPr>
        <w:ind w:left="380" w:hanging="237"/>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237"/>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237"/>
        <w:spacing w:after="0" w:line="266"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820" w:hanging="273"/>
        <w:spacing w:after="0" w:line="266" w:lineRule="auto"/>
        <w:tabs>
          <w:tab w:leader="none" w:pos="8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237"/>
        <w:spacing w:after="0" w:line="282"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247"/>
        <w:spacing w:after="0" w:line="266" w:lineRule="auto"/>
        <w:tabs>
          <w:tab w:leader="none" w:pos="7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237"/>
        <w:spacing w:after="0" w:line="282" w:lineRule="auto"/>
        <w:tabs>
          <w:tab w:leader="none" w:pos="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247"/>
        <w:spacing w:after="0" w:line="282" w:lineRule="auto"/>
        <w:tabs>
          <w:tab w:leader="none" w:pos="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CHIH-HSIANG (THOMPSON) 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Stefan J. Murry, certify that:</w:t>
      </w:r>
    </w:p>
    <w:p>
      <w:pPr>
        <w:spacing w:after="0" w:line="225" w:lineRule="exact"/>
        <w:rPr>
          <w:sz w:val="20"/>
          <w:szCs w:val="20"/>
          <w:color w:val="auto"/>
        </w:rPr>
      </w:pPr>
    </w:p>
    <w:p>
      <w:pPr>
        <w:ind w:left="380" w:hanging="237"/>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Applied Optoelectronics, Inc.;</w:t>
      </w:r>
    </w:p>
    <w:p>
      <w:pPr>
        <w:spacing w:after="0" w:line="225"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237"/>
        <w:spacing w:after="0" w:line="266"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237"/>
        <w:spacing w:after="0" w:line="266" w:lineRule="auto"/>
        <w:tabs>
          <w:tab w:leader="none" w:pos="7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820" w:hanging="273"/>
        <w:spacing w:after="0" w:line="266" w:lineRule="auto"/>
        <w:tabs>
          <w:tab w:leader="none" w:pos="8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237"/>
        <w:spacing w:after="0" w:line="282"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247"/>
        <w:spacing w:after="0" w:line="266" w:lineRule="auto"/>
        <w:tabs>
          <w:tab w:leader="none" w:pos="7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80" w:hanging="237"/>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237"/>
        <w:spacing w:after="0" w:line="282"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247"/>
        <w:spacing w:after="0" w:line="282"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STEFAN J. MURRY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0" w:lineRule="exact"/>
        <w:rPr>
          <w:sz w:val="20"/>
          <w:szCs w:val="20"/>
          <w:color w:val="auto"/>
        </w:rPr>
      </w:pPr>
    </w:p>
    <w:p>
      <w:pPr>
        <w:ind w:left="1080" w:hanging="221"/>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2016, to which this Certification is attached as Exhibit 32.1 (the “Quarterly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80" w:hanging="221"/>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the operation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10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May, 2016.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CHIH-HSIANG (THOMPSON) LIN</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w w:val="97"/>
              </w:rPr>
              <w:t>/s/ STEFAN J. MURRY</w:t>
            </w:r>
          </w:p>
        </w:tc>
      </w:tr>
      <w:tr>
        <w:trPr>
          <w:trHeight w:val="218"/>
        </w:trPr>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HIH</w:t>
            </w: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SIANG</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HOMPSON</w:t>
            </w:r>
            <w:r>
              <w:rPr>
                <w:rFonts w:ascii="Times New Roman" w:cs="Times New Roman" w:eastAsia="Times New Roman" w:hAnsi="Times New Roman"/>
                <w:sz w:val="18"/>
                <w:szCs w:val="18"/>
                <w:color w:val="auto"/>
              </w:rPr>
              <w:t>) L</w:t>
            </w:r>
            <w:r>
              <w:rPr>
                <w:rFonts w:ascii="Times New Roman" w:cs="Times New Roman" w:eastAsia="Times New Roman" w:hAnsi="Times New Roman"/>
                <w:sz w:val="12"/>
                <w:szCs w:val="12"/>
                <w:color w:val="auto"/>
              </w:rPr>
              <w:t>IN</w:t>
            </w:r>
          </w:p>
        </w:tc>
        <w:tc>
          <w:tcPr>
            <w:tcW w:w="282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TEFAN</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2"/>
                <w:szCs w:val="12"/>
                <w:color w:val="auto"/>
              </w:rPr>
              <w:t>URRY</w:t>
            </w: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28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
    <w:nsid w:val="721DA31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9">
    <w:nsid w:val="2443A85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2">
    <w:nsid w:val="75A2A8D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3">
    <w:nsid w:val="8EDBDA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2019-12-07T13:43:31Z</dcterms:created>
  <dcterms:modified xsi:type="dcterms:W3CDTF">2019-12-07T13:43:31Z</dcterms:modified>
</cp:coreProperties>
</file>