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900" w:right="1680" w:hanging="3892"/>
        <w:spacing w:after="0" w:line="490" w:lineRule="auto"/>
        <w:tabs>
          <w:tab w:leader="none" w:pos="58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Applied Optoelectronics,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205"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9"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S No £</w:t>
      </w:r>
    </w:p>
    <w:p>
      <w:pPr>
        <w:spacing w:after="0" w:line="181" w:lineRule="exact"/>
        <w:rPr>
          <w:sz w:val="24"/>
          <w:szCs w:val="24"/>
          <w:color w:val="auto"/>
        </w:rPr>
      </w:pPr>
    </w:p>
    <w:p>
      <w:pPr>
        <w:jc w:val="both"/>
        <w:ind w:firstLine="4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S No £</w:t>
      </w:r>
    </w:p>
    <w:p>
      <w:pPr>
        <w:spacing w:after="0" w:line="181"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4">
            <w:col w:w="2280" w:space="720"/>
            <w:col w:w="3940" w:space="720"/>
            <w:col w:w="2240" w:space="720"/>
            <w:col w:w="800"/>
          </w:cols>
          <w:pgMar w:left="240" w:top="229"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4"/>
          <w:szCs w:val="24"/>
          <w:color w:val="auto"/>
        </w:rPr>
      </w:pPr>
    </w:p>
    <w:p>
      <w:pPr>
        <w:sectPr>
          <w:pgSz w:w="11900" w:h="16838" w:orient="portrait"/>
          <w:cols w:equalWidth="0" w:num="4">
            <w:col w:w="2280" w:space="720"/>
            <w:col w:w="3940" w:space="720"/>
            <w:col w:w="2240" w:space="720"/>
            <w:col w:w="800"/>
          </w:cols>
          <w:pgMar w:left="240" w:top="229" w:right="239" w:bottom="1440" w:gutter="0" w:footer="0" w:header="0"/>
          <w:type w:val="continuous"/>
        </w:sectPr>
      </w:pPr>
    </w:p>
    <w:p>
      <w:pPr>
        <w:spacing w:after="0" w:line="37"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No S</w:t>
      </w:r>
    </w:p>
    <w:p>
      <w:pPr>
        <w:spacing w:after="0" w:line="200" w:lineRule="exact"/>
        <w:rPr>
          <w:sz w:val="24"/>
          <w:szCs w:val="24"/>
          <w:color w:val="auto"/>
        </w:rPr>
      </w:pPr>
    </w:p>
    <w:p>
      <w:pPr>
        <w:sectPr>
          <w:pgSz w:w="11900" w:h="16838" w:orient="portrait"/>
          <w:cols w:equalWidth="0" w:num="2">
            <w:col w:w="9040" w:space="140"/>
            <w:col w:w="2240"/>
          </w:cols>
          <w:pgMar w:left="240" w:top="229" w:right="239" w:bottom="1440" w:gutter="0" w:footer="0" w:header="0"/>
          <w:type w:val="continuous"/>
        </w:sectPr>
      </w:pPr>
    </w:p>
    <w:p>
      <w:pPr>
        <w:spacing w:after="0" w:line="48" w:lineRule="exact"/>
        <w:rPr>
          <w:sz w:val="24"/>
          <w:szCs w:val="24"/>
          <w:color w:val="auto"/>
        </w:rPr>
      </w:pPr>
    </w:p>
    <w:p>
      <w:pPr>
        <w:ind w:left="420"/>
        <w:spacing w:after="0"/>
        <w:rPr>
          <w:sz w:val="20"/>
          <w:szCs w:val="20"/>
          <w:color w:val="auto"/>
        </w:rPr>
      </w:pPr>
      <w:r>
        <w:rPr>
          <w:rFonts w:ascii="Arial" w:cs="Arial" w:eastAsia="Arial" w:hAnsi="Arial"/>
          <w:sz w:val="16"/>
          <w:szCs w:val="16"/>
          <w:color w:val="auto"/>
        </w:rPr>
        <w:t>As of May 7, 2014 there were 14,785,065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85"/>
        </w:trPr>
        <w:tc>
          <w:tcPr>
            <w:tcW w:w="10860" w:type="dxa"/>
            <w:vAlign w:val="bottom"/>
            <w:gridSpan w:val="5"/>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Balance Sheets as of March 31, 2014 and December 31,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Statements of Operations for the Three Months ended March 31, 2014 and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960" w:type="dxa"/>
            <w:vAlign w:val="bottom"/>
            <w:gridSpan w:val="3"/>
            <w:shd w:val="clear" w:color="auto" w:fill="EEEEEE"/>
          </w:tcPr>
          <w:p>
            <w:pPr>
              <w:ind w:left="260"/>
              <w:spacing w:after="0" w:line="201" w:lineRule="exact"/>
              <w:rPr>
                <w:sz w:val="20"/>
                <w:szCs w:val="20"/>
                <w:color w:val="auto"/>
              </w:rPr>
            </w:pPr>
            <w:r>
              <w:rPr>
                <w:rFonts w:ascii="Arial" w:cs="Arial" w:eastAsia="Arial" w:hAnsi="Arial"/>
                <w:sz w:val="18"/>
                <w:szCs w:val="18"/>
                <w:color w:val="auto"/>
                <w:w w:val="96"/>
              </w:rPr>
              <w:t>Condensed Consolidated Statements of Comprehensive Income (Loss) for the Three Months Ended March 31, 2014 and 2013</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Statements of Cash Flows for the Three Months ended March 31, 2014 and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392"/>
        </w:trPr>
        <w:tc>
          <w:tcPr>
            <w:tcW w:w="10860" w:type="dxa"/>
            <w:vAlign w:val="bottom"/>
            <w:gridSpan w:val="5"/>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3"/>
          </w:tcPr>
          <w:p>
            <w:pPr>
              <w:ind w:left="476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6"/>
              </w:rPr>
              <w:t>March 31, 2014</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December 31, 2013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52,411</w:t>
            </w:r>
          </w:p>
        </w:tc>
        <w:tc>
          <w:tcPr>
            <w:tcW w:w="36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22,006</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841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7,898</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Accounts receivable - trade,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23,837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22,089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23,933</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19,608</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5,483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114,403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35,282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31,134</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Land use rights, net</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942</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EEEEEE"/>
          </w:tcPr>
          <w:p>
            <w:pPr>
              <w:spacing w:after="0"/>
              <w:rPr>
                <w:sz w:val="19"/>
                <w:szCs w:val="19"/>
                <w:color w:val="auto"/>
              </w:rPr>
            </w:pPr>
          </w:p>
        </w:tc>
      </w:tr>
      <w:tr>
        <w:trPr>
          <w:trHeight w:val="263"/>
        </w:trPr>
        <w:tc>
          <w:tcPr>
            <w:tcW w:w="7780" w:type="dxa"/>
            <w:vAlign w:val="bottom"/>
            <w:tcBorders>
              <w:bottom w:val="single" w:sz="8" w:color="EEEEEE"/>
            </w:tcBorders>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154,654</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Current portion of notes payable and long-term debt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16,054</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17,185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17,105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15,010</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Bank acceptance payable</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2,691</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4,072</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4,515</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39,922</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39,057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240"/>
              <w:spacing w:after="0"/>
              <w:rPr>
                <w:sz w:val="20"/>
                <w:szCs w:val="20"/>
                <w:color w:val="auto"/>
              </w:rPr>
            </w:pPr>
            <w:r>
              <w:rPr>
                <w:rFonts w:ascii="Arial" w:cs="Arial" w:eastAsia="Arial" w:hAnsi="Arial"/>
                <w:sz w:val="18"/>
                <w:szCs w:val="18"/>
                <w:color w:val="auto"/>
              </w:rPr>
              <w:t>Notes payable and long-term debt, less current portion</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3,834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long term liabilities</w:t>
            </w:r>
          </w:p>
        </w:tc>
        <w:tc>
          <w:tcPr>
            <w:tcW w:w="140" w:type="dxa"/>
            <w:vAlign w:val="bottom"/>
            <w:shd w:val="clear" w:color="auto" w:fill="EEEEEE"/>
          </w:tcPr>
          <w:p>
            <w:pPr>
              <w:spacing w:after="0"/>
              <w:rPr>
                <w:sz w:val="19"/>
                <w:szCs w:val="19"/>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1,750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80" w:type="dxa"/>
            <w:vAlign w:val="bottom"/>
            <w:tcBorders>
              <w:bottom w:val="single" w:sz="8" w:color="EEEEEE"/>
            </w:tcBorders>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45,506</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780" w:type="dxa"/>
            <w:vAlign w:val="bottom"/>
          </w:tcPr>
          <w:p>
            <w:pPr>
              <w:ind w:left="200"/>
              <w:spacing w:after="0" w:line="201" w:lineRule="exact"/>
              <w:rPr>
                <w:sz w:val="20"/>
                <w:szCs w:val="20"/>
                <w:color w:val="auto"/>
              </w:rPr>
            </w:pPr>
            <w:r>
              <w:rPr>
                <w:rFonts w:ascii="Arial" w:cs="Arial" w:eastAsia="Arial" w:hAnsi="Arial"/>
                <w:sz w:val="18"/>
                <w:szCs w:val="18"/>
                <w:color w:val="auto"/>
                <w:w w:val="94"/>
              </w:rPr>
              <w:t>Redeemable Convertible Preferred Stock and Convertible Preferred Stock; 5,000 shares authorized;</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80" w:type="dxa"/>
            <w:vAlign w:val="bottom"/>
          </w:tcPr>
          <w:p>
            <w:pPr>
              <w:ind w:left="400"/>
              <w:spacing w:after="0"/>
              <w:rPr>
                <w:sz w:val="20"/>
                <w:szCs w:val="20"/>
                <w:color w:val="auto"/>
              </w:rPr>
            </w:pPr>
            <w:r>
              <w:rPr>
                <w:rFonts w:ascii="Arial" w:cs="Arial" w:eastAsia="Arial" w:hAnsi="Arial"/>
                <w:sz w:val="18"/>
                <w:szCs w:val="18"/>
                <w:color w:val="auto"/>
                <w:w w:val="96"/>
              </w:rPr>
              <w:t>no shares issued and outstanding at March 31, 2014 and December 31, 2013, $0.001 par value</w:t>
            </w:r>
          </w:p>
        </w:tc>
        <w:tc>
          <w:tcPr>
            <w:tcW w:w="140" w:type="dxa"/>
            <w:vAlign w:val="bottom"/>
          </w:tcPr>
          <w:p>
            <w:pPr>
              <w:spacing w:after="0"/>
              <w:rPr>
                <w:sz w:val="20"/>
                <w:szCs w:val="20"/>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shd w:val="clear" w:color="auto" w:fill="EEEEEE"/>
          </w:tcPr>
          <w:p>
            <w:pPr>
              <w:ind w:left="200"/>
              <w:spacing w:after="0" w:line="201" w:lineRule="exact"/>
              <w:rPr>
                <w:sz w:val="20"/>
                <w:szCs w:val="20"/>
                <w:color w:val="auto"/>
              </w:rPr>
            </w:pPr>
            <w:r>
              <w:rPr>
                <w:rFonts w:ascii="Arial" w:cs="Arial" w:eastAsia="Arial" w:hAnsi="Arial"/>
                <w:sz w:val="18"/>
                <w:szCs w:val="18"/>
                <w:color w:val="auto"/>
                <w:w w:val="93"/>
              </w:rPr>
              <w:t>Common Stock; 45,000 shares authorized; 14,730 shares issued and outstanding at March 31, 2014,</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780" w:type="dxa"/>
            <w:vAlign w:val="bottom"/>
            <w:shd w:val="clear" w:color="auto" w:fill="EEEEEE"/>
          </w:tcPr>
          <w:p>
            <w:pPr>
              <w:ind w:left="400"/>
              <w:spacing w:after="0"/>
              <w:rPr>
                <w:sz w:val="20"/>
                <w:szCs w:val="20"/>
                <w:color w:val="auto"/>
              </w:rPr>
            </w:pPr>
            <w:r>
              <w:rPr>
                <w:rFonts w:ascii="Arial" w:cs="Arial" w:eastAsia="Arial" w:hAnsi="Arial"/>
                <w:sz w:val="18"/>
                <w:szCs w:val="18"/>
                <w:color w:val="auto"/>
                <w:w w:val="94"/>
              </w:rPr>
              <w:t>$0.001 par value; 12,644 shares issued and outstanding at December 31, 2013, $0.001 par value</w:t>
            </w:r>
          </w:p>
        </w:tc>
        <w:tc>
          <w:tcPr>
            <w:tcW w:w="140" w:type="dxa"/>
            <w:vAlign w:val="bottom"/>
            <w:shd w:val="clear" w:color="auto" w:fill="EEEEEE"/>
          </w:tcPr>
          <w:p>
            <w:pPr>
              <w:spacing w:after="0"/>
              <w:rPr>
                <w:sz w:val="20"/>
                <w:szCs w:val="20"/>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20"/>
                <w:szCs w:val="20"/>
                <w:color w:val="auto"/>
              </w:rPr>
            </w:pPr>
          </w:p>
        </w:tc>
      </w:tr>
      <w:tr>
        <w:trPr>
          <w:trHeight w:val="216"/>
        </w:trPr>
        <w:tc>
          <w:tcPr>
            <w:tcW w:w="7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color w:val="auto"/>
              </w:rPr>
              <w:t>190,286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144,023</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Accumulated other comprehensive gain</w:t>
            </w:r>
          </w:p>
        </w:tc>
        <w:tc>
          <w:tcPr>
            <w:tcW w:w="14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2,085</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(83,238)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(83,323)</w:t>
            </w:r>
          </w:p>
        </w:tc>
      </w:tr>
      <w:tr>
        <w:trPr>
          <w:trHeight w:val="210"/>
        </w:trPr>
        <w:tc>
          <w:tcPr>
            <w:tcW w:w="778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109,148</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63,077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154,654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8"/>
              </w:rPr>
              <w:t>Three months ended March 31,</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EEEEEE"/>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24,859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16,206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9,732</w:t>
            </w:r>
          </w:p>
        </w:tc>
        <w:tc>
          <w:tcPr>
            <w:tcW w:w="0" w:type="dxa"/>
            <w:vAlign w:val="bottom"/>
          </w:tcPr>
          <w:p>
            <w:pPr>
              <w:spacing w:after="0"/>
              <w:rPr>
                <w:sz w:val="1"/>
                <w:szCs w:val="1"/>
                <w:color w:val="auto"/>
              </w:rPr>
            </w:pPr>
          </w:p>
        </w:tc>
      </w:tr>
      <w:tr>
        <w:trPr>
          <w:trHeight w:val="210"/>
        </w:trPr>
        <w:tc>
          <w:tcPr>
            <w:tcW w:w="75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8,653</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4,585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3,546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754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3,554</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EEEEEE"/>
          </w:tcPr>
          <w:p>
            <w:pPr>
              <w:spacing w:after="0"/>
              <w:rPr>
                <w:sz w:val="18"/>
                <w:szCs w:val="18"/>
                <w:color w:val="auto"/>
              </w:rPr>
            </w:pPr>
          </w:p>
        </w:tc>
        <w:tc>
          <w:tcPr>
            <w:tcW w:w="320" w:type="dxa"/>
            <w:vAlign w:val="bottom"/>
            <w:tcBorders>
              <w:bottom w:val="single" w:sz="8" w:color="auto"/>
            </w:tcBorders>
            <w:shd w:val="clear" w:color="auto" w:fill="EEEEEE"/>
          </w:tcPr>
          <w:p>
            <w:pPr>
              <w:spacing w:after="0"/>
              <w:rPr>
                <w:sz w:val="18"/>
                <w:szCs w:val="18"/>
                <w:color w:val="auto"/>
              </w:rPr>
            </w:pP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tcBorders>
              <w:bottom w:val="single" w:sz="8" w:color="auto"/>
            </w:tcBorders>
            <w:shd w:val="clear" w:color="auto" w:fill="EEEEEE"/>
          </w:tcPr>
          <w:p>
            <w:pPr>
              <w:spacing w:after="0"/>
              <w:rPr>
                <w:sz w:val="18"/>
                <w:szCs w:val="18"/>
                <w:color w:val="auto"/>
              </w:rPr>
            </w:pP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5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other expense</w:t>
            </w:r>
          </w:p>
        </w:tc>
        <w:tc>
          <w:tcPr>
            <w:tcW w:w="2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EEEEEE"/>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0.01</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7540" w:type="dxa"/>
            <w:vAlign w:val="bottom"/>
          </w:tcPr>
          <w:p>
            <w:pPr>
              <w:ind w:left="24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12,792,322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265,920</w:t>
            </w:r>
          </w:p>
        </w:tc>
        <w:tc>
          <w:tcPr>
            <w:tcW w:w="0" w:type="dxa"/>
            <w:vAlign w:val="bottom"/>
          </w:tcPr>
          <w:p>
            <w:pPr>
              <w:spacing w:after="0"/>
              <w:rPr>
                <w:sz w:val="1"/>
                <w:szCs w:val="1"/>
                <w:color w:val="auto"/>
              </w:rPr>
            </w:pPr>
          </w:p>
        </w:tc>
      </w:tr>
      <w:tr>
        <w:trPr>
          <w:trHeight w:val="230"/>
        </w:trPr>
        <w:tc>
          <w:tcPr>
            <w:tcW w:w="75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13,787,580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265,920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254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COMPREHENSIVE LOSS (Unaudited,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08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80" w:type="dxa"/>
            <w:vAlign w:val="bottom"/>
          </w:tcPr>
          <w:p>
            <w:pPr>
              <w:spacing w:after="0"/>
              <w:rPr>
                <w:sz w:val="19"/>
                <w:szCs w:val="19"/>
                <w:color w:val="auto"/>
              </w:rPr>
            </w:pPr>
          </w:p>
        </w:tc>
        <w:tc>
          <w:tcPr>
            <w:tcW w:w="1120" w:type="dxa"/>
            <w:vAlign w:val="bottom"/>
          </w:tcPr>
          <w:p>
            <w:pPr>
              <w:jc w:val="right"/>
              <w:ind w:right="57"/>
              <w:spacing w:after="0"/>
              <w:rPr>
                <w:sz w:val="20"/>
                <w:szCs w:val="20"/>
                <w:color w:val="auto"/>
              </w:rPr>
            </w:pPr>
            <w:r>
              <w:rPr>
                <w:rFonts w:ascii="Arial" w:cs="Arial" w:eastAsia="Arial" w:hAnsi="Arial"/>
                <w:sz w:val="18"/>
                <w:szCs w:val="18"/>
                <w:color w:val="auto"/>
              </w:rPr>
              <w:t>2014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85"/>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120" w:type="dxa"/>
            <w:vAlign w:val="bottom"/>
            <w:tcBorders>
              <w:top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w:t>
            </w:r>
          </w:p>
        </w:tc>
        <w:tc>
          <w:tcPr>
            <w:tcW w:w="1120" w:type="dxa"/>
            <w:vAlign w:val="bottom"/>
            <w:tcBorders>
              <w:top w:val="single" w:sz="8" w:color="auto"/>
              <w:bottom w:val="single" w:sz="8" w:color="auto"/>
            </w:tcBorders>
            <w:shd w:val="clear" w:color="auto" w:fill="EEEEEE"/>
          </w:tcPr>
          <w:p>
            <w:pPr>
              <w:jc w:val="right"/>
              <w:ind w:right="95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EEEEEE"/>
              <w:bottom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ind w:right="96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12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Adjustments to reconcile net loss to net cash provided by (used in)</w:t>
            </w:r>
          </w:p>
        </w:tc>
        <w:tc>
          <w:tcPr>
            <w:tcW w:w="10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operating activities:</w:t>
            </w:r>
          </w:p>
        </w:tc>
        <w:tc>
          <w:tcPr>
            <w:tcW w:w="10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Provision for obsolete inventory</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Loss (Gain) on disposal of assets</w:t>
            </w:r>
          </w:p>
        </w:tc>
        <w:tc>
          <w:tcPr>
            <w:tcW w:w="10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Share-based compensation and warrant expense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(1,829)</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Bank acceptance receivable</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Inventory</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(4,822)</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4,048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(971)</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Purchase of property, plant and equipment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(5,647)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Proceeds from disposal of equipment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Deposits and deferred charges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Purchase of intangible assets</w:t>
            </w: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(3,065)</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(8,708)</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issuance of notes payable and long-term debt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3,150</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Principal payments of long-term debt and notes payable</w:t>
            </w:r>
          </w:p>
        </w:tc>
        <w:tc>
          <w:tcPr>
            <w:tcW w:w="10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line of credit borrowings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5,788</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Repayments of line of credit borrowings</w:t>
            </w:r>
          </w:p>
        </w:tc>
        <w:tc>
          <w:tcPr>
            <w:tcW w:w="10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(14,954)</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Proceeds from bank acceptance payable</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2,307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Repayments of bank acceptance payable</w:t>
            </w:r>
          </w:p>
        </w:tc>
        <w:tc>
          <w:tcPr>
            <w:tcW w:w="10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(1,940)</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Increase in restricted cash</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Exercise of warrants</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Proceeds from public offering</w:t>
            </w: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45,671</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40,030</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30,405</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02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22,006</w:t>
            </w:r>
          </w:p>
        </w:tc>
        <w:tc>
          <w:tcPr>
            <w:tcW w:w="2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10,723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end of the period</w:t>
            </w:r>
          </w:p>
        </w:tc>
        <w:tc>
          <w:tcPr>
            <w:tcW w:w="1020" w:type="dxa"/>
            <w:vAlign w:val="bottom"/>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52,411</w:t>
            </w:r>
          </w:p>
        </w:tc>
        <w:tc>
          <w:tcPr>
            <w:tcW w:w="12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Cash paid for:</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164</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has manufacturing and research and development facilities in all three of its locations, located in U.S., Taiwan and China. At its corporate headquarters and manufacturing facilities in Sugar Land, Texas, the Company primarily manufactures lasers and laser components and performs research and development activities for the laser component products. The Company operates a division in Taipei, Taiwan that primarily manufactures transceivers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condensed consolidated financial statements of the Company, as of March 31, 2014 and December 31, 2013 and for the three months ended March 31, 2014 and 2013,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2013. The results of operations for the three months ended March 31, 2014 are not necessarily indicative of the results expected for the entire fiscal year. All significant intercompany accounts and transactions have been eliminated.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31, 2014, as compared to the significant accounting policies described in its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There have been no recent accounting pronouncements for the three months ended March 31, 2014, as compared to the recent accounting pronouncements described in its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As of March 31, 2014</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As of December 31, 2013</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Cash and cash</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52,411</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52,411</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22,006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22,006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8"/>
                <w:szCs w:val="18"/>
                <w:color w:val="auto"/>
              </w:rPr>
            </w:pPr>
          </w:p>
        </w:tc>
        <w:tc>
          <w:tcPr>
            <w:tcW w:w="46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20" w:type="dxa"/>
            <w:vAlign w:val="bottom"/>
          </w:tcPr>
          <w:p>
            <w:pPr>
              <w:spacing w:after="0" w:line="201" w:lineRule="exact"/>
              <w:rPr>
                <w:sz w:val="20"/>
                <w:szCs w:val="20"/>
                <w:color w:val="auto"/>
              </w:rPr>
            </w:pPr>
            <w:r>
              <w:rPr>
                <w:rFonts w:ascii="Arial" w:cs="Arial" w:eastAsia="Arial" w:hAnsi="Arial"/>
                <w:sz w:val="18"/>
                <w:szCs w:val="18"/>
                <w:color w:val="auto"/>
              </w:rPr>
              <w:t>Short term</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7,898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61,150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61,150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00" w:type="dxa"/>
            <w:vAlign w:val="bottom"/>
            <w:tcBorders>
              <w:top w:val="single" w:sz="8" w:color="auto"/>
              <w:bottom w:val="single" w:sz="8" w:color="auto"/>
            </w:tcBorders>
            <w:shd w:val="clear" w:color="auto" w:fill="EEEEEE"/>
          </w:tcPr>
          <w:p>
            <w:pPr>
              <w:jc w:val="right"/>
              <w:ind w:right="6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30,751</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Bank acceptance</w:t>
            </w: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payable</w:t>
            </w: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2,691</w:t>
            </w:r>
          </w:p>
        </w:tc>
        <w:tc>
          <w:tcPr>
            <w:tcW w:w="340" w:type="dxa"/>
            <w:vAlign w:val="bottom"/>
            <w:shd w:val="clear" w:color="auto" w:fill="EEEEEE"/>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2,691</w:t>
            </w:r>
          </w:p>
        </w:tc>
        <w:tc>
          <w:tcPr>
            <w:tcW w:w="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2,347</w:t>
            </w:r>
          </w:p>
        </w:tc>
        <w:tc>
          <w:tcPr>
            <w:tcW w:w="16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4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options and warrants outstanding during the period. In periods with net losses, normally dilutive shares become anti-dilutive, and therefore for those periods basic and dilutive earnings per share are the same.</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b w:val="1"/>
                <w:bCs w:val="1"/>
                <w:color w:val="auto"/>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2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34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12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24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w w:val="93"/>
              </w:rPr>
              <w:t>Weighted average shares used to compute net income (loss) per share</w:t>
            </w: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w:t>
            </w:r>
          </w:p>
        </w:tc>
        <w:tc>
          <w:tcPr>
            <w:tcW w:w="24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8"/>
              </w:rPr>
              <w:t>12,792</w:t>
            </w:r>
          </w:p>
        </w:tc>
        <w:tc>
          <w:tcPr>
            <w:tcW w:w="1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Effective of dilutive options and warrants</w:t>
            </w:r>
          </w:p>
        </w:tc>
        <w:tc>
          <w:tcPr>
            <w:tcW w:w="2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Diluted</w:t>
            </w:r>
          </w:p>
        </w:tc>
        <w:tc>
          <w:tcPr>
            <w:tcW w:w="24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13,788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Basic</w:t>
            </w:r>
          </w:p>
        </w:tc>
        <w:tc>
          <w:tcPr>
            <w:tcW w:w="348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0.01</w:t>
            </w:r>
          </w:p>
        </w:tc>
        <w:tc>
          <w:tcPr>
            <w:tcW w:w="1280" w:type="dxa"/>
            <w:vAlign w:val="bottom"/>
            <w:gridSpan w:val="2"/>
            <w:shd w:val="clear" w:color="auto" w:fill="EEEEEE"/>
          </w:tcPr>
          <w:p>
            <w:pPr>
              <w:jc w:val="right"/>
              <w:ind w:right="10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8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128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 w:name="page9"/>
    <w:bookmarkEnd w:id="8"/>
    <w:p>
      <w:pPr>
        <w:ind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600" w:type="dxa"/>
            <w:vAlign w:val="bottom"/>
            <w:gridSpan w:val="5"/>
          </w:tcPr>
          <w:p>
            <w:pPr>
              <w:ind w:left="5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Employee stock options</w:t>
            </w:r>
          </w:p>
        </w:tc>
        <w:tc>
          <w:tcPr>
            <w:tcW w:w="1880" w:type="dxa"/>
            <w:vAlign w:val="bottom"/>
            <w:gridSpan w:val="2"/>
            <w:shd w:val="clear" w:color="auto" w:fill="EEEEEE"/>
          </w:tcPr>
          <w:p>
            <w:pPr>
              <w:ind w:left="14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Restricted stock units</w:t>
            </w:r>
          </w:p>
        </w:tc>
        <w:tc>
          <w:tcPr>
            <w:tcW w:w="1880" w:type="dxa"/>
            <w:vAlign w:val="bottom"/>
            <w:gridSpan w:val="2"/>
            <w:shd w:val="clear" w:color="auto" w:fill="EEEEEE"/>
          </w:tcPr>
          <w:p>
            <w:pPr>
              <w:ind w:left="14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5.</w:t>
      </w:r>
      <w:r>
        <w:rPr>
          <w:sz w:val="20"/>
          <w:szCs w:val="20"/>
          <w:color w:val="auto"/>
        </w:rPr>
        <w:tab/>
      </w:r>
      <w:r>
        <w:rPr>
          <w:rFonts w:ascii="Arial" w:cs="Arial" w:eastAsia="Arial" w:hAnsi="Arial"/>
          <w:sz w:val="16"/>
          <w:szCs w:val="16"/>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2013</w:t>
            </w:r>
          </w:p>
        </w:tc>
      </w:tr>
      <w:tr>
        <w:trPr>
          <w:trHeight w:val="210"/>
        </w:trPr>
        <w:tc>
          <w:tcPr>
            <w:tcW w:w="2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5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10,491</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8,832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Work in process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10,755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8"/>
                <w:szCs w:val="18"/>
                <w:color w:val="auto"/>
              </w:rPr>
            </w:pPr>
          </w:p>
        </w:tc>
      </w:tr>
      <w:tr>
        <w:trPr>
          <w:trHeight w:val="230"/>
        </w:trPr>
        <w:tc>
          <w:tcPr>
            <w:tcW w:w="276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1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2,687</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EEEEEE"/>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lower of cost or market adjustment expensed for inventory for the three months ended March 31, 2014 and 2013 was $0.2 million and $0.1 million, respectively.</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March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8"/>
              </w:rPr>
              <w:t>December 31, 2013</w:t>
            </w:r>
          </w:p>
        </w:tc>
      </w:tr>
      <w:tr>
        <w:trPr>
          <w:trHeight w:val="210"/>
        </w:trPr>
        <w:tc>
          <w:tcPr>
            <w:tcW w:w="43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15,933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41,618</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37,490</w:t>
            </w:r>
          </w:p>
        </w:tc>
        <w:tc>
          <w:tcPr>
            <w:tcW w:w="80" w:type="dxa"/>
            <w:vAlign w:val="bottom"/>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3,918</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EEEEEE"/>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r>
      <w:tr>
        <w:trPr>
          <w:trHeight w:val="210"/>
        </w:trPr>
        <w:tc>
          <w:tcPr>
            <w:tcW w:w="4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63,015</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58,407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(29,118)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(28,145)</w:t>
            </w:r>
          </w:p>
        </w:tc>
      </w:tr>
      <w:tr>
        <w:trPr>
          <w:trHeight w:val="210"/>
        </w:trPr>
        <w:tc>
          <w:tcPr>
            <w:tcW w:w="4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33,897</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r>
      <w:tr>
        <w:trPr>
          <w:trHeight w:val="230"/>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1,101</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EEEEEE"/>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2014, depreciation expense of property, plant and equipment was $1.2 million.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65" w:right="519" w:bottom="1440" w:gutter="0" w:footer="0" w:header="0"/>
        </w:sectPr>
      </w:pPr>
    </w:p>
    <w:bookmarkStart w:id="9" w:name="page10"/>
    <w:bookmarkEnd w:id="9"/>
    <w:p>
      <w:pPr>
        <w:spacing w:after="0"/>
        <w:tabs>
          <w:tab w:leader="none" w:pos="7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
            <w:vMerge w:val="restart"/>
          </w:tcPr>
          <w:p>
            <w:pPr>
              <w:ind w:left="2500"/>
              <w:spacing w:after="0"/>
              <w:rPr>
                <w:sz w:val="20"/>
                <w:szCs w:val="20"/>
                <w:color w:val="auto"/>
              </w:rPr>
            </w:pPr>
            <w:r>
              <w:rPr>
                <w:rFonts w:ascii="Arial" w:cs="Arial" w:eastAsia="Arial" w:hAnsi="Arial"/>
                <w:sz w:val="18"/>
                <w:szCs w:val="18"/>
                <w:b w:val="1"/>
                <w:bCs w:val="1"/>
                <w:color w:val="auto"/>
              </w:rPr>
              <w:t>Long-Term and Short-Term Debt</w:t>
            </w: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2014</w:t>
            </w:r>
          </w:p>
        </w:tc>
        <w:tc>
          <w:tcPr>
            <w:tcW w:w="180" w:type="dxa"/>
            <w:vAlign w:val="bottom"/>
          </w:tcPr>
          <w:p>
            <w:pPr>
              <w:spacing w:after="0"/>
              <w:rPr>
                <w:sz w:val="20"/>
                <w:szCs w:val="20"/>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2013</w:t>
            </w: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w w:val="93"/>
              </w:rPr>
              <w:t>Term loan with a U.S. bank with monthly payments of principal and interest at prime plus 0.75% (floor</w:t>
            </w:r>
          </w:p>
        </w:tc>
        <w:tc>
          <w:tcPr>
            <w:tcW w:w="24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46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580" w:type="dxa"/>
            <w:vAlign w:val="bottom"/>
            <w:tcBorders>
              <w:top w:val="single" w:sz="8" w:color="EEEEEE"/>
            </w:tcBorders>
            <w:shd w:val="clear" w:color="auto" w:fill="EEEEEE"/>
          </w:tcPr>
          <w:p>
            <w:pPr>
              <w:spacing w:after="0"/>
              <w:rPr>
                <w:sz w:val="16"/>
                <w:szCs w:val="16"/>
                <w:color w:val="auto"/>
              </w:rPr>
            </w:pPr>
          </w:p>
        </w:tc>
        <w:tc>
          <w:tcPr>
            <w:tcW w:w="100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rate: 4%), maturing November 15, 2014</w:t>
            </w:r>
          </w:p>
        </w:tc>
        <w:tc>
          <w:tcPr>
            <w:tcW w:w="14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3,050</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rPr>
              <w:t>Revolving line of credit with a U.S. bank up to $7,000 with interest at prime plus 0.5% (floor rate: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0"/>
              <w:spacing w:after="0"/>
              <w:rPr>
                <w:sz w:val="20"/>
                <w:szCs w:val="20"/>
                <w:color w:val="auto"/>
              </w:rPr>
            </w:pPr>
            <w:r>
              <w:rPr>
                <w:rFonts w:ascii="Arial" w:cs="Arial" w:eastAsia="Arial" w:hAnsi="Arial"/>
                <w:sz w:val="18"/>
                <w:szCs w:val="18"/>
                <w:color w:val="auto"/>
              </w:rPr>
              <w:t>3.75%), maturing November 15, 2015</w:t>
            </w: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Term loan with a U.S. bank with monthly payments of principal and interest at prime plus 0.75% (floor</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rate: 4.00%), maturing September 10, 2017</w:t>
            </w:r>
          </w:p>
        </w:tc>
        <w:tc>
          <w:tcPr>
            <w:tcW w:w="14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9"/>
              </w:rPr>
              <w:t>Revolving line of credit with a China bank up to $12,000 with interest at 108% of China Prime rate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0"/>
              <w:spacing w:after="0"/>
              <w:rPr>
                <w:sz w:val="20"/>
                <w:szCs w:val="20"/>
                <w:color w:val="auto"/>
              </w:rPr>
            </w:pPr>
            <w:r>
              <w:rPr>
                <w:rFonts w:ascii="Arial" w:cs="Arial" w:eastAsia="Arial" w:hAnsi="Arial"/>
                <w:sz w:val="18"/>
                <w:szCs w:val="18"/>
                <w:color w:val="auto"/>
              </w:rPr>
              <w:t>which was 6.48% in 2013 with various maturity dates from April 2014 and August 2014</w:t>
            </w: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1,626</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Revolving line of credit with a China bank up to $3,250 with interest ranged from 2.55% to 3.63% with</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various maturity dates from May 2014 to June 2014</w:t>
            </w:r>
          </w:p>
        </w:tc>
        <w:tc>
          <w:tcPr>
            <w:tcW w:w="14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1,751</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$4,000 with interest at Taiwan Time Deposit Interest</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0"/>
              <w:spacing w:after="0"/>
              <w:rPr>
                <w:sz w:val="20"/>
                <w:szCs w:val="20"/>
                <w:color w:val="auto"/>
              </w:rPr>
            </w:pPr>
            <w:r>
              <w:rPr>
                <w:rFonts w:ascii="Arial" w:cs="Arial" w:eastAsia="Arial" w:hAnsi="Arial"/>
                <w:sz w:val="18"/>
                <w:szCs w:val="18"/>
                <w:color w:val="auto"/>
              </w:rPr>
              <w:t>Rate Index plus 0.41% maturing June 2014</w:t>
            </w: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3,718</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Revolving line of credit with a Taiwan bank up to $4,000 with interest at Taiwan Time Deposit Interest</w:t>
            </w:r>
          </w:p>
        </w:tc>
        <w:tc>
          <w:tcPr>
            <w:tcW w:w="14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Rate Index plus 0.41% maturing July-August 2014</w:t>
            </w:r>
          </w:p>
        </w:tc>
        <w:tc>
          <w:tcPr>
            <w:tcW w:w="14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3,890</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 payable to a finance company due in monthly installments with 4.95% interest, maturing July 30,</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20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853</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gridSpan w:val="2"/>
            <w:shd w:val="clear" w:color="auto" w:fill="EEEEEE"/>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19,888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40"/>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16,054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gridSpan w:val="2"/>
            <w:shd w:val="clear" w:color="auto" w:fill="EEEEEE"/>
          </w:tcPr>
          <w:p>
            <w:pPr>
              <w:ind w:left="240"/>
              <w:spacing w:after="0"/>
              <w:rPr>
                <w:sz w:val="20"/>
                <w:szCs w:val="20"/>
                <w:color w:val="auto"/>
              </w:rPr>
            </w:pPr>
            <w:r>
              <w:rPr>
                <w:rFonts w:ascii="Arial" w:cs="Arial" w:eastAsia="Arial" w:hAnsi="Arial"/>
                <w:sz w:val="18"/>
                <w:szCs w:val="18"/>
                <w:color w:val="auto"/>
              </w:rPr>
              <w:t>Long term portion</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3,834</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80" w:type="dxa"/>
            <w:vAlign w:val="bottom"/>
            <w:gridSpan w:val="2"/>
          </w:tcPr>
          <w:p>
            <w:pPr>
              <w:ind w:left="2820"/>
              <w:spacing w:after="0"/>
              <w:rPr>
                <w:sz w:val="20"/>
                <w:szCs w:val="20"/>
                <w:color w:val="auto"/>
              </w:rPr>
            </w:pPr>
            <w:r>
              <w:rPr>
                <w:rFonts w:ascii="Arial" w:cs="Arial" w:eastAsia="Arial" w:hAnsi="Arial"/>
                <w:sz w:val="18"/>
                <w:szCs w:val="18"/>
                <w:b w:val="1"/>
                <w:bCs w:val="1"/>
                <w:color w:val="auto"/>
              </w:rPr>
              <w:t>Bank Acceptance Payable</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w w:val="93"/>
              </w:rPr>
              <w:t>Bank acceptance notes issued to vendors with a zero percent interest rate, a 30% guarantee deposit</w:t>
            </w:r>
          </w:p>
        </w:tc>
        <w:tc>
          <w:tcPr>
            <w:tcW w:w="24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146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580" w:type="dxa"/>
            <w:vAlign w:val="bottom"/>
            <w:tcBorders>
              <w:top w:val="single" w:sz="8" w:color="EEEEEE"/>
            </w:tcBorders>
            <w:shd w:val="clear" w:color="auto" w:fill="EEEEEE"/>
          </w:tcPr>
          <w:p>
            <w:pPr>
              <w:spacing w:after="0"/>
              <w:rPr>
                <w:sz w:val="16"/>
                <w:szCs w:val="16"/>
                <w:color w:val="auto"/>
              </w:rPr>
            </w:pPr>
          </w:p>
        </w:tc>
        <w:tc>
          <w:tcPr>
            <w:tcW w:w="100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of $807, and maturity dates ranging from April 2014 to September 2014</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2,691</w:t>
            </w:r>
          </w:p>
        </w:tc>
        <w:tc>
          <w:tcPr>
            <w:tcW w:w="760" w:type="dxa"/>
            <w:vAlign w:val="bottom"/>
            <w:gridSpan w:val="2"/>
            <w:shd w:val="clear" w:color="auto" w:fill="EEEEEE"/>
          </w:tcPr>
          <w:p>
            <w:pPr>
              <w:jc w:val="right"/>
              <w:ind w:right="41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March 31, 2014. The prime rate of interest was 3.25% on March 31, 2014 and December 31, 2013, respectively.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U.S. bank loans and line of credit agreement require the Company to meet certain financial covenants including a minimum current ratio, debt service coverage and maximum debt over tangible net worth ratio requirements. Collateral for the U.S. bank loans and line of credit includes substantially all of the assets of the Company. As of March 31, 2014, the Company was in compliance with all of its financial and operational covenants associated with these loans. As of March 31, 2014, the Company had $7 million of unused borrowing capacity.</w:t>
      </w:r>
    </w:p>
    <w:p>
      <w:pPr>
        <w:spacing w:after="0" w:line="187"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In December 2013, the Company renewed its U.S. revolving line of credit of $7.0 million with the same U.S. bank with a maturity date of November 15, 2015. The interest rate on this line of credit is the prime rate plus 0.50% or a floor rate of 3.75%, whichever is higher.</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issued warrants to the same U.S. bank in connection with the renewals of the loan in 2009, 2010 and 2012. The Company estimated the fair value of these warrants at the date of the grant using the Black-Scholes option-pricing model and records the expense over the life of the warrants. As of March 31, 2014, 32,665 warrants related to these loans are outstanding. As of March 31, 2014, $14,000 remains to be expensed for these warrants and this expense is expected to be recognized during the current year.</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through its China subsidiary, established RMB and USD currency lines of credit for $12.0 million and $3.3 million, respectively, with a China Bank as of March 31, 2014. The interest rate for the RMB line of credit is 108% of the China prime rate. The interest rate for the USD line of credit ranged from 2.55% to 3.63%. These credit lines are revolving lines that are renewable by its anniversary. Collateral for the loans includes the land use rights, building and equipment located in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20" w:firstLine="648"/>
        <w:spacing w:after="0" w:line="264" w:lineRule="auto"/>
        <w:rPr>
          <w:sz w:val="20"/>
          <w:szCs w:val="20"/>
          <w:color w:val="auto"/>
        </w:rPr>
      </w:pPr>
      <w:r>
        <w:rPr>
          <w:rFonts w:ascii="Arial" w:cs="Arial" w:eastAsia="Arial" w:hAnsi="Arial"/>
          <w:sz w:val="18"/>
          <w:szCs w:val="18"/>
          <w:color w:val="auto"/>
        </w:rPr>
        <w:t>The Company extended its equipment financing agreement of $1.0 million with a Taiwan bank in 2013. The financing agreement required equipment collateral. The agreement requires monthly installment payments over 24 months and ends in July 2015. The financing agreement bears interest at the rate of 4.95%.</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through its Taiwan branch, established an $8.0 million revolving line of credit with Taiwan banks in 2013. The financing agreements require collateral of its time deposits of $8.0 million that is included in short-term investment. The interest rate for the revolving lines of credit is a variable rate determined every six months at Taiwan Time Deposit Interest Rate Index plus 0.41% maturing and renewable every six-month period, which is 1.78% as of March 31, 2014.</w:t>
      </w:r>
    </w:p>
    <w:p>
      <w:pPr>
        <w:spacing w:after="0" w:line="1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2013</w:t>
            </w:r>
          </w:p>
        </w:tc>
      </w:tr>
      <w:tr>
        <w:trPr>
          <w:trHeight w:val="210"/>
        </w:trPr>
        <w:tc>
          <w:tcPr>
            <w:tcW w:w="3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2,226</w:t>
            </w: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Accrued taxes</w:t>
            </w: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Accrued interest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Accrued payments</w:t>
            </w:r>
          </w:p>
        </w:tc>
        <w:tc>
          <w:tcPr>
            <w:tcW w:w="1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Accrued commission</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148</w:t>
            </w:r>
          </w:p>
        </w:tc>
      </w:tr>
      <w:tr>
        <w:trPr>
          <w:trHeight w:val="230"/>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Accrued other</w:t>
            </w:r>
          </w:p>
        </w:tc>
        <w:tc>
          <w:tcPr>
            <w:tcW w:w="1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1,183</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EEEEEE"/>
          </w:tcPr>
          <w:p>
            <w:pPr>
              <w:spacing w:after="0"/>
              <w:rPr>
                <w:sz w:val="19"/>
                <w:szCs w:val="19"/>
                <w:color w:val="auto"/>
              </w:rPr>
            </w:pPr>
          </w:p>
        </w:tc>
      </w:tr>
      <w:tr>
        <w:trPr>
          <w:trHeight w:val="223"/>
        </w:trPr>
        <w:tc>
          <w:tcPr>
            <w:tcW w:w="3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and expense consisted of the following for the periods indicated (in thousands):</w:t>
      </w:r>
    </w:p>
    <w:p>
      <w:pPr>
        <w:spacing w:after="0" w:line="23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bottom w:val="single" w:sz="8" w:color="EEEEEE"/>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4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Unrealized foreign exchange gain (loss)</w:t>
            </w:r>
          </w:p>
        </w:tc>
        <w:tc>
          <w:tcPr>
            <w:tcW w:w="11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w:t>
            </w:r>
          </w:p>
        </w:tc>
        <w:tc>
          <w:tcPr>
            <w:tcW w:w="100" w:type="dxa"/>
            <w:vAlign w:val="bottom"/>
            <w:gridSpan w:val="2"/>
            <w:shd w:val="clear" w:color="auto" w:fill="EEEEEE"/>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Realized foreign exchange gain (loss)</w:t>
            </w: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r>
      <w:tr>
        <w:trPr>
          <w:trHeight w:val="216"/>
        </w:trPr>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EEEEEE"/>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Other non-operating gain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r>
      <w:tr>
        <w:trPr>
          <w:trHeight w:val="230"/>
        </w:trPr>
        <w:tc>
          <w:tcPr>
            <w:tcW w:w="5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Gain (loss) on disposal of assets</w:t>
            </w:r>
          </w:p>
        </w:tc>
        <w:tc>
          <w:tcPr>
            <w:tcW w:w="7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4340" w:type="dxa"/>
            <w:vAlign w:val="bottom"/>
          </w:tcPr>
          <w:p>
            <w:pPr>
              <w:spacing w:after="0"/>
              <w:rPr>
                <w:sz w:val="19"/>
                <w:szCs w:val="19"/>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Company’s board of directors and stockholders previously approved the 1998 Share Incentive Plan, the 2000 Share Incentive Plan, the 2004 Share Incentive Plan and the 2006 Share Incentive Plan, (collectively the “Prior Plans”). As of March 31, 2014, the Company had options outstanding to purchase 631,383 shares of common stock under its Prior Plans with a weighted average exercise price of $6.76. Following the Company’s initial public offering, no further awards will be granted under the Prior Plans. However, all outstanding awards under the Prior Plans will continue to exist and will continue to be governed by their existing terms.</w:t>
      </w:r>
    </w:p>
    <w:p>
      <w:pPr>
        <w:spacing w:after="0" w:line="18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April 12, 2013, the Company’s board of directors adopted and approved the Company’s 2013 Equity Incentive Plan, (the “2013 Plan”), and it was subsequently approved by the Company’s stockholders on May 21, 2013. As of March 31, 2014, the Company had options outstanding to purchase 864,989 shares of common stock under the 2013 Plan with a weighted average exercise price of $10.449.</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65" w:right="299" w:bottom="1440" w:gutter="0" w:footer="0" w:header="0"/>
        </w:sectPr>
      </w:pPr>
    </w:p>
    <w:bookmarkStart w:id="11" w:name="page12"/>
    <w:bookmarkEnd w:id="11"/>
    <w:p>
      <w:pPr>
        <w:ind w:right="20" w:firstLine="648"/>
        <w:spacing w:after="0" w:line="257" w:lineRule="auto"/>
        <w:rPr>
          <w:sz w:val="20"/>
          <w:szCs w:val="20"/>
          <w:color w:val="auto"/>
        </w:rPr>
      </w:pPr>
      <w:r>
        <w:rPr>
          <w:rFonts w:ascii="Arial" w:cs="Arial" w:eastAsia="Arial" w:hAnsi="Arial"/>
          <w:sz w:val="18"/>
          <w:szCs w:val="18"/>
          <w:color w:val="auto"/>
        </w:rPr>
        <w:t>The Company issues stock options to employees, consultants and non-employee directors. Stock option awards for the Prior Plans and the 2013 Plan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2013 Plan, participants may be granted RSUs, representing an unfunded, unsecured right to receive common stock on the date specified in</w:t>
      </w:r>
    </w:p>
    <w:p>
      <w:pPr>
        <w:spacing w:after="0" w:line="46" w:lineRule="exact"/>
        <w:rPr>
          <w:sz w:val="20"/>
          <w:szCs w:val="20"/>
          <w:color w:val="auto"/>
        </w:rPr>
      </w:pPr>
    </w:p>
    <w:p>
      <w:pPr>
        <w:ind w:right="260"/>
        <w:spacing w:after="0" w:line="205" w:lineRule="auto"/>
        <w:rPr>
          <w:sz w:val="20"/>
          <w:szCs w:val="20"/>
          <w:color w:val="auto"/>
        </w:rPr>
      </w:pPr>
      <w:r>
        <w:rPr>
          <w:rFonts w:ascii="Arial" w:cs="Arial" w:eastAsia="Arial" w:hAnsi="Arial"/>
          <w:sz w:val="18"/>
          <w:szCs w:val="18"/>
          <w:color w:val="auto"/>
        </w:rPr>
        <w:t>the recipient’s award. The RSUs granted under the plan generally vest over one year at a rate of 1/12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 month. The Company recognizes compensation expense on a straight-line basis over the applicable vesting term of the award.</w:t>
      </w:r>
    </w:p>
    <w:p>
      <w:pPr>
        <w:spacing w:after="0" w:line="203"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During the year ended December 31, 2013, the Company granted 33,000 RSUs with a total grant-date fair market value of $0.3 million. The resulting compensation expense recorded in the three months ended March 31, 2014 was approximately $0.1 million. As of March 31, 2014, there was $18,000 of unrecognized compensation cost related to RSUs.</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there had been no market for the Company’s common stock prior to its initial public offering, the expected volatility for options granted to date was derived from an analysis of reported data based on a peer group of companies that issued options with similar terms. The expected volatility has been determined by using an average of the expected volatility reported by this peer group of companies. The Company uses a risk free interest rate based on the 10-year Treasury as reported during the period. The expected term of the options has been determined utilizing the simplified method which calculates a simple average based on vesting period and option life. The Company does not anticipate paying dividends in the near future. Estimated forfeitures are based on historical experience and future work force projections.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three months ended March 31,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316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ind w:right="97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during the three month period ending March 31, 2014 (in thousands, except price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8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Number of shares</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 price</w:t>
            </w:r>
          </w:p>
        </w:tc>
        <w:tc>
          <w:tcPr>
            <w:tcW w:w="17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0" w:type="dxa"/>
            <w:vAlign w:val="bottom"/>
          </w:tcPr>
          <w:p>
            <w:pPr>
              <w:spacing w:after="0"/>
              <w:rPr>
                <w:sz w:val="1"/>
                <w:szCs w:val="1"/>
                <w:color w:val="auto"/>
              </w:rPr>
            </w:pPr>
          </w:p>
        </w:tc>
      </w:tr>
      <w:tr>
        <w:trPr>
          <w:trHeight w:val="210"/>
        </w:trPr>
        <w:tc>
          <w:tcPr>
            <w:tcW w:w="35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2013</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1,468</w:t>
            </w:r>
          </w:p>
        </w:tc>
        <w:tc>
          <w:tcPr>
            <w:tcW w:w="3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3.00 - 12.90</w:t>
            </w:r>
          </w:p>
        </w:tc>
        <w:tc>
          <w:tcPr>
            <w:tcW w:w="3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8.379</w:t>
            </w:r>
          </w:p>
        </w:tc>
        <w:tc>
          <w:tcPr>
            <w:tcW w:w="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Granted</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13.84</w:t>
            </w: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13.840</w:t>
            </w:r>
          </w:p>
        </w:tc>
        <w:tc>
          <w:tcPr>
            <w:tcW w:w="0" w:type="dxa"/>
            <w:vAlign w:val="bottom"/>
          </w:tcPr>
          <w:p>
            <w:pPr>
              <w:spacing w:after="0"/>
              <w:rPr>
                <w:sz w:val="1"/>
                <w:szCs w:val="1"/>
                <w:color w:val="auto"/>
              </w:rPr>
            </w:pPr>
          </w:p>
        </w:tc>
      </w:tr>
      <w:tr>
        <w:trPr>
          <w:trHeight w:val="216"/>
        </w:trPr>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(70)</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3.00 - 7.50</w:t>
            </w:r>
          </w:p>
        </w:tc>
        <w:tc>
          <w:tcPr>
            <w:tcW w:w="32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6.00 - 13.84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18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6.00</w:t>
            </w:r>
          </w:p>
        </w:tc>
        <w:tc>
          <w:tcPr>
            <w:tcW w:w="1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March 31, 2014</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300" w:type="dxa"/>
            <w:vAlign w:val="bottom"/>
            <w:tcBorders>
              <w:bottom w:val="single" w:sz="8" w:color="EEEEEE"/>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3.00 - 13.84</w:t>
            </w:r>
          </w:p>
        </w:tc>
        <w:tc>
          <w:tcPr>
            <w:tcW w:w="320" w:type="dxa"/>
            <w:vAlign w:val="bottom"/>
            <w:tcBorders>
              <w:bottom w:val="single" w:sz="8" w:color="EEEEEE"/>
            </w:tcBorders>
          </w:tcPr>
          <w:p>
            <w:pPr>
              <w:spacing w:after="0"/>
              <w:rPr>
                <w:sz w:val="22"/>
                <w:szCs w:val="22"/>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5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March 31, 2014</w:t>
            </w:r>
          </w:p>
        </w:tc>
        <w:tc>
          <w:tcPr>
            <w:tcW w:w="15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307</w:t>
            </w:r>
          </w:p>
        </w:tc>
        <w:tc>
          <w:tcPr>
            <w:tcW w:w="300" w:type="dxa"/>
            <w:vAlign w:val="bottom"/>
            <w:tcBorders>
              <w:bottom w:val="single" w:sz="8" w:color="EEEEEE"/>
            </w:tcBorders>
            <w:shd w:val="clear" w:color="auto" w:fill="EEEEEE"/>
          </w:tcPr>
          <w:p>
            <w:pPr>
              <w:spacing w:after="0"/>
              <w:rPr>
                <w:sz w:val="17"/>
                <w:szCs w:val="17"/>
                <w:color w:val="auto"/>
              </w:rPr>
            </w:pPr>
          </w:p>
        </w:tc>
        <w:tc>
          <w:tcPr>
            <w:tcW w:w="16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3.00 - 9.00</w:t>
            </w:r>
          </w:p>
        </w:tc>
        <w:tc>
          <w:tcPr>
            <w:tcW w:w="320" w:type="dxa"/>
            <w:vAlign w:val="bottom"/>
            <w:tcBorders>
              <w:bottom w:val="single" w:sz="8" w:color="EEEEEE"/>
            </w:tcBorders>
            <w:shd w:val="clear" w:color="auto" w:fill="EEEEEE"/>
          </w:tcPr>
          <w:p>
            <w:pPr>
              <w:spacing w:after="0"/>
              <w:rPr>
                <w:sz w:val="17"/>
                <w:szCs w:val="17"/>
                <w:color w:val="auto"/>
              </w:rPr>
            </w:pPr>
          </w:p>
        </w:tc>
        <w:tc>
          <w:tcPr>
            <w:tcW w:w="16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6.346</w:t>
            </w:r>
          </w:p>
        </w:tc>
        <w:tc>
          <w:tcPr>
            <w:tcW w:w="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1,357</w:t>
            </w:r>
          </w:p>
        </w:tc>
        <w:tc>
          <w:tcPr>
            <w:tcW w:w="30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3.00 - 13.84</w:t>
            </w:r>
          </w:p>
        </w:tc>
        <w:tc>
          <w:tcPr>
            <w:tcW w:w="320" w:type="dxa"/>
            <w:vAlign w:val="bottom"/>
            <w:vMerge w:val="continue"/>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8.798</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March 31, 2014, total compensation cost related to unvested stock options not yet recognized was $5.4 million, which is expected to be expensed over a weighted-average period of 3.27 years. The aggregated intrinsic value of options outstanding and options exercisable as of March 31, 2014 was $23.6 million and $5.6 million,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170"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Warrants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March 31, 2014, the Company had outstanding warrants to purchase: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15,999 shares of common stock at an exercise price of $6.25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9,999 shares of common stock at an exercise price of $15.00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6,667 shares of common stock at an exercise price of $10.50 per share.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three months ended March 31, 2014, $2,000 of expense was recorded related to these warrants. As of March 31, 2014, $14,000 of deferred compensation remains to be expensed for these warrants.</w:t>
      </w:r>
    </w:p>
    <w:p>
      <w:pPr>
        <w:spacing w:after="0" w:line="17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25, 2013,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Secondary Offering of Common Stock</w:t>
      </w:r>
    </w:p>
    <w:p>
      <w:pPr>
        <w:spacing w:after="0" w:line="225"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On March 19, 2014, the Company sold 2.0 million shares of its common stock in a secondary offering at a price of $24.25 per share, providing proceeds of $45.7 million net of expenses and underwriting discounts and commissions. The Company’s secondary offering closed on March 25, 2014.</w:t>
      </w: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product manufacturing plants. Long-lived assets in the tables below comprise only property, plant, equipment and intangible assets (in thousands):</w:t>
      </w:r>
    </w:p>
    <w:p>
      <w:pPr>
        <w:spacing w:after="0" w:line="24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EEEEEE"/>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380" w:type="dxa"/>
            <w:vAlign w:val="bottom"/>
            <w:gridSpan w:val="2"/>
          </w:tcPr>
          <w:p>
            <w:pPr>
              <w:ind w:left="400"/>
              <w:spacing w:after="0"/>
              <w:rPr>
                <w:sz w:val="20"/>
                <w:szCs w:val="20"/>
                <w:color w:val="auto"/>
              </w:rPr>
            </w:pPr>
            <w:r>
              <w:rPr>
                <w:rFonts w:ascii="Arial" w:cs="Arial" w:eastAsia="Arial" w:hAnsi="Arial"/>
                <w:sz w:val="18"/>
                <w:szCs w:val="18"/>
                <w:color w:val="auto"/>
              </w:rPr>
              <w:t>United States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5,137</w:t>
            </w:r>
          </w:p>
        </w:tc>
        <w:tc>
          <w:tcPr>
            <w:tcW w:w="3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2,401</w:t>
            </w:r>
          </w:p>
        </w:tc>
      </w:tr>
      <w:tr>
        <w:trPr>
          <w:trHeight w:val="216"/>
        </w:trPr>
        <w:tc>
          <w:tcPr>
            <w:tcW w:w="53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14,340</w:t>
            </w:r>
          </w:p>
        </w:tc>
        <w:tc>
          <w:tcPr>
            <w:tcW w:w="3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5,935</w:t>
            </w:r>
          </w:p>
        </w:tc>
      </w:tr>
      <w:tr>
        <w:trPr>
          <w:trHeight w:val="230"/>
        </w:trPr>
        <w:tc>
          <w:tcPr>
            <w:tcW w:w="5380" w:type="dxa"/>
            <w:vAlign w:val="bottom"/>
            <w:gridSpan w:val="2"/>
          </w:tcPr>
          <w:p>
            <w:pPr>
              <w:ind w:left="400"/>
              <w:spacing w:after="0"/>
              <w:rPr>
                <w:sz w:val="20"/>
                <w:szCs w:val="20"/>
                <w:color w:val="auto"/>
              </w:rPr>
            </w:pPr>
            <w:r>
              <w:rPr>
                <w:rFonts w:ascii="Arial" w:cs="Arial" w:eastAsia="Arial" w:hAnsi="Arial"/>
                <w:sz w:val="18"/>
                <w:szCs w:val="18"/>
                <w:color w:val="auto"/>
              </w:rPr>
              <w:t>China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5,382</w:t>
            </w:r>
          </w:p>
        </w:tc>
        <w:tc>
          <w:tcPr>
            <w:tcW w:w="3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5,981</w:t>
            </w:r>
          </w:p>
        </w:tc>
      </w:tr>
      <w:tr>
        <w:trPr>
          <w:trHeight w:val="223"/>
        </w:trPr>
        <w:tc>
          <w:tcPr>
            <w:tcW w:w="434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24,859</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5"/>
          </w:tcPr>
          <w:p>
            <w:pPr>
              <w:jc w:val="right"/>
              <w:ind w:right="1040"/>
              <w:spacing w:after="0"/>
              <w:rPr>
                <w:sz w:val="20"/>
                <w:szCs w:val="20"/>
                <w:color w:val="auto"/>
              </w:rPr>
            </w:pPr>
            <w:r>
              <w:rPr>
                <w:rFonts w:ascii="Arial" w:cs="Arial" w:eastAsia="Arial" w:hAnsi="Arial"/>
                <w:sz w:val="18"/>
                <w:szCs w:val="18"/>
                <w:b w:val="1"/>
                <w:bCs w:val="1"/>
                <w:color w:val="auto"/>
              </w:rPr>
              <w:t>For the period ending</w:t>
            </w:r>
          </w:p>
        </w:tc>
      </w:tr>
      <w:tr>
        <w:trPr>
          <w:trHeight w:val="223"/>
        </w:trPr>
        <w:tc>
          <w:tcPr>
            <w:tcW w:w="4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9"/>
                <w:szCs w:val="19"/>
                <w:color w:val="auto"/>
              </w:rPr>
            </w:pPr>
          </w:p>
        </w:tc>
      </w:tr>
      <w:tr>
        <w:trPr>
          <w:trHeight w:val="210"/>
        </w:trPr>
        <w:tc>
          <w:tcPr>
            <w:tcW w:w="43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8"/>
                <w:szCs w:val="18"/>
                <w:color w:val="auto"/>
              </w:rPr>
            </w:pPr>
          </w:p>
        </w:tc>
      </w:tr>
      <w:tr>
        <w:trPr>
          <w:trHeight w:val="210"/>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80" w:type="dxa"/>
            <w:vAlign w:val="bottom"/>
            <w:gridSpan w:val="2"/>
          </w:tcPr>
          <w:p>
            <w:pPr>
              <w:ind w:left="400"/>
              <w:spacing w:after="0"/>
              <w:rPr>
                <w:sz w:val="20"/>
                <w:szCs w:val="20"/>
                <w:color w:val="auto"/>
              </w:rPr>
            </w:pPr>
            <w:r>
              <w:rPr>
                <w:rFonts w:ascii="Arial" w:cs="Arial" w:eastAsia="Arial" w:hAnsi="Arial"/>
                <w:sz w:val="18"/>
                <w:szCs w:val="18"/>
                <w:color w:val="auto"/>
              </w:rPr>
              <w:t>United States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12,964</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r>
      <w:tr>
        <w:trPr>
          <w:trHeight w:val="216"/>
        </w:trPr>
        <w:tc>
          <w:tcPr>
            <w:tcW w:w="45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10,597</w:t>
            </w:r>
          </w:p>
        </w:tc>
        <w:tc>
          <w:tcPr>
            <w:tcW w:w="20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7,192</w:t>
            </w:r>
          </w:p>
        </w:tc>
      </w:tr>
      <w:tr>
        <w:trPr>
          <w:trHeight w:val="230"/>
        </w:trPr>
        <w:tc>
          <w:tcPr>
            <w:tcW w:w="4580" w:type="dxa"/>
            <w:vAlign w:val="bottom"/>
            <w:gridSpan w:val="2"/>
          </w:tcPr>
          <w:p>
            <w:pPr>
              <w:ind w:left="400"/>
              <w:spacing w:after="0"/>
              <w:rPr>
                <w:sz w:val="20"/>
                <w:szCs w:val="20"/>
                <w:color w:val="auto"/>
              </w:rPr>
            </w:pPr>
            <w:r>
              <w:rPr>
                <w:rFonts w:ascii="Arial" w:cs="Arial" w:eastAsia="Arial" w:hAnsi="Arial"/>
                <w:sz w:val="18"/>
                <w:szCs w:val="18"/>
                <w:color w:val="auto"/>
              </w:rPr>
              <w:t>China</w:t>
            </w:r>
          </w:p>
        </w:tc>
        <w:tc>
          <w:tcPr>
            <w:tcW w:w="1360" w:type="dxa"/>
            <w:vAlign w:val="bottom"/>
          </w:tcPr>
          <w:p>
            <w:pPr>
              <w:jc w:val="right"/>
              <w:spacing w:after="0"/>
              <w:rPr>
                <w:sz w:val="20"/>
                <w:szCs w:val="20"/>
                <w:color w:val="auto"/>
              </w:rPr>
            </w:pPr>
            <w:r>
              <w:rPr>
                <w:rFonts w:ascii="Arial" w:cs="Arial" w:eastAsia="Arial" w:hAnsi="Arial"/>
                <w:sz w:val="18"/>
                <w:szCs w:val="18"/>
                <w:color w:val="auto"/>
              </w:rPr>
              <w:t>16,511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16,337</w:t>
            </w:r>
          </w:p>
        </w:tc>
      </w:tr>
      <w:tr>
        <w:trPr>
          <w:trHeight w:val="223"/>
        </w:trPr>
        <w:tc>
          <w:tcPr>
            <w:tcW w:w="43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40,072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Repayment of Debt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April 1, 2014, the Company paid $8.1 million to East West Bank from the net proceeds received in its secondary offering to extinguish its entire debt balances. Also in April 2014, the Company repaid $1.3 million of its credit line with a China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1, 2014, the Company’s Taiwan facility entered into a new lease agreement for office and manufacturing space in New Taipei City, Taiwan.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has a term of 15 years commencing on June 1, 2014.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March 31, 2014 and the audited consolidated financial statements and notes thereto and management’s discussion and analysis of financial condition and results of operations for the fiscal year ended December 31, 2013 included in our Annual Report on Form 10-K. .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a leading, vertically integrated provider of fiber-optic access networking products. We target three networking end-markets: Cable TV Broadband, or CATV, Fiber-to-the-Home, or FTTH and internet data centers. In designing products for our customers, we begin with the fundamental building blocks of lasers and laser components. From these foundational products, we design and manufacture optical communications products at varying levels of integration, from components, subassemblies and modules to complete turn-key equipment. We tailor our products to our customers’ needs and specifications, but leverage fundamental laser technology across our different products.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three end markets we target are all driven by increasing bandwidth demand fueled by the growth of network-connected devices, video traffic, cloud computing and online social networking. To address this increased bandwidth demand, CATV and FTTH service providers are investing to enhance the capacity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required bandwidth.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better control over product quality and manufacturing costs. The lasers we manufacture are proven to be reliable over time and highly tolerant of changes in temperature and humidity, making them well-suited to the CATV and FTTH markets where networking equipment is often installed outdoors.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partnered with our manufacturing locations. In our U.S. facility, we manufacture our laser chips, sub-assemblies and components. We manufacture our laser chips only within our U.S. facility, where our laser R&amp;D team is located. In our Taiwan location, we manufacture transceivers for the FTTH and internet data center markets, which incorporate our own laser chips and components made in the U.S. In our China facility, we take advantage of lower labor costs and manufacture most of our CATV equipment systems, such as headend transmitters and outdoor nodes. Each facility conducts testing on the components, modules or subsystems it manufactures and each facility is certified to ISO 9001:2000.</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5" w:name="page16"/>
    <w:bookmarkEnd w:id="15"/>
    <w:p>
      <w:pPr>
        <w:ind w:right="2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provides long-lasting relationships and promotes higher customer retention.</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have grown our revenue at a 33.1% CAGR between 2009 and 2013, including 23.7% growth year-over-year from 2012 to 2013. Our revenue growth in 2013 was driven primarily by increasing revenue from our internet data center customers. Growth in the first three months of 2014 has been driven primarily by increasing revenue from our internet data center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13115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 forth our consolidated results of operations for the periods presented and as a percentage of our revenue for those periods.</w:t>
      </w:r>
    </w:p>
    <w:p>
      <w:pPr>
        <w:spacing w:after="0" w:line="25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Borders>
              <w:bottom w:val="single" w:sz="8" w:color="EEEEEE"/>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EEEEEE"/>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c>
          <w:tcPr>
            <w:tcW w:w="3440" w:type="dxa"/>
            <w:vAlign w:val="bottom"/>
          </w:tcPr>
          <w:p>
            <w:pPr>
              <w:spacing w:after="0"/>
              <w:rPr>
                <w:sz w:val="19"/>
                <w:szCs w:val="19"/>
                <w:color w:val="auto"/>
              </w:rPr>
            </w:pPr>
          </w:p>
        </w:tc>
      </w:tr>
      <w:tr>
        <w:trPr>
          <w:trHeight w:val="210"/>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100.0%</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EEEEEE"/>
          </w:tcPr>
          <w:p>
            <w:pPr>
              <w:spacing w:after="0"/>
              <w:rPr>
                <w:sz w:val="18"/>
                <w:szCs w:val="18"/>
                <w:color w:val="auto"/>
              </w:rPr>
            </w:pPr>
          </w:p>
        </w:tc>
        <w:tc>
          <w:tcPr>
            <w:tcW w:w="3440" w:type="dxa"/>
            <w:vAlign w:val="bottom"/>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65.2%</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3440" w:type="dxa"/>
            <w:vAlign w:val="bottom"/>
          </w:tcPr>
          <w:p>
            <w:pPr>
              <w:spacing w:after="0"/>
              <w:rPr>
                <w:sz w:val="19"/>
                <w:szCs w:val="19"/>
                <w:color w:val="auto"/>
              </w:rPr>
            </w:pPr>
          </w:p>
        </w:tc>
      </w:tr>
      <w:tr>
        <w:trPr>
          <w:trHeight w:val="210"/>
        </w:trPr>
        <w:tc>
          <w:tcPr>
            <w:tcW w:w="4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top w:val="single" w:sz="8" w:color="EEEEEE"/>
            </w:tcBorders>
            <w:shd w:val="clear" w:color="auto" w:fill="EEEEEE"/>
          </w:tcPr>
          <w:p>
            <w:pPr>
              <w:spacing w:after="0"/>
              <w:rPr>
                <w:sz w:val="18"/>
                <w:szCs w:val="18"/>
                <w:color w:val="auto"/>
              </w:rPr>
            </w:pPr>
          </w:p>
        </w:tc>
        <w:tc>
          <w:tcPr>
            <w:tcW w:w="3440" w:type="dxa"/>
            <w:vAlign w:val="bottom"/>
          </w:tcPr>
          <w:p>
            <w:pPr>
              <w:spacing w:after="0"/>
              <w:rPr>
                <w:sz w:val="18"/>
                <w:szCs w:val="18"/>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53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14.3%</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14.0%</w:t>
            </w:r>
          </w:p>
        </w:tc>
        <w:tc>
          <w:tcPr>
            <w:tcW w:w="3440" w:type="dxa"/>
            <w:vAlign w:val="bottom"/>
          </w:tcPr>
          <w:p>
            <w:pPr>
              <w:spacing w:after="0"/>
              <w:rPr>
                <w:sz w:val="18"/>
                <w:szCs w:val="18"/>
                <w:color w:val="auto"/>
              </w:rPr>
            </w:pPr>
          </w:p>
        </w:tc>
      </w:tr>
      <w:tr>
        <w:trPr>
          <w:trHeight w:val="216"/>
        </w:trPr>
        <w:tc>
          <w:tcPr>
            <w:tcW w:w="536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3440" w:type="dxa"/>
            <w:vAlign w:val="bottom"/>
          </w:tcPr>
          <w:p>
            <w:pPr>
              <w:spacing w:after="0"/>
              <w:rPr>
                <w:sz w:val="18"/>
                <w:szCs w:val="18"/>
                <w:color w:val="auto"/>
              </w:rPr>
            </w:pPr>
          </w:p>
        </w:tc>
      </w:tr>
      <w:tr>
        <w:trPr>
          <w:trHeight w:val="230"/>
        </w:trPr>
        <w:tc>
          <w:tcPr>
            <w:tcW w:w="53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14.3%</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w:t>
            </w:r>
          </w:p>
        </w:tc>
        <w:tc>
          <w:tcPr>
            <w:tcW w:w="3440" w:type="dxa"/>
            <w:vAlign w:val="bottom"/>
          </w:tcPr>
          <w:p>
            <w:pPr>
              <w:spacing w:after="0"/>
              <w:rPr>
                <w:sz w:val="19"/>
                <w:szCs w:val="19"/>
                <w:color w:val="auto"/>
              </w:rPr>
            </w:pPr>
          </w:p>
        </w:tc>
      </w:tr>
      <w:tr>
        <w:trPr>
          <w:trHeight w:val="210"/>
        </w:trPr>
        <w:tc>
          <w:tcPr>
            <w:tcW w:w="43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Borders>
              <w:bottom w:val="single" w:sz="8" w:color="EEEEEE"/>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EEEEEE"/>
            </w:tcBorders>
          </w:tcPr>
          <w:p>
            <w:pPr>
              <w:spacing w:after="0"/>
              <w:rPr>
                <w:sz w:val="18"/>
                <w:szCs w:val="18"/>
                <w:color w:val="auto"/>
              </w:rPr>
            </w:pPr>
          </w:p>
        </w:tc>
        <w:tc>
          <w:tcPr>
            <w:tcW w:w="3440" w:type="dxa"/>
            <w:vAlign w:val="bottom"/>
          </w:tcPr>
          <w:p>
            <w:pPr>
              <w:spacing w:after="0"/>
              <w:rPr>
                <w:sz w:val="18"/>
                <w:szCs w:val="18"/>
                <w:color w:val="auto"/>
              </w:rPr>
            </w:pPr>
          </w:p>
        </w:tc>
      </w:tr>
      <w:tr>
        <w:trPr>
          <w:trHeight w:val="210"/>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980" w:type="dxa"/>
            <w:vAlign w:val="bottom"/>
            <w:tcBorders>
              <w:bottom w:val="single" w:sz="8" w:color="auto"/>
            </w:tcBorders>
            <w:shd w:val="clear" w:color="auto" w:fill="EEEEEE"/>
          </w:tcPr>
          <w:p>
            <w:pPr>
              <w:spacing w:after="0"/>
              <w:rPr>
                <w:sz w:val="18"/>
                <w:szCs w:val="18"/>
                <w:color w:val="auto"/>
              </w:rPr>
            </w:pPr>
          </w:p>
        </w:tc>
        <w:tc>
          <w:tcPr>
            <w:tcW w:w="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EEEEEE"/>
          </w:tcPr>
          <w:p>
            <w:pPr>
              <w:spacing w:after="0"/>
              <w:rPr>
                <w:sz w:val="18"/>
                <w:szCs w:val="18"/>
                <w:color w:val="auto"/>
              </w:rPr>
            </w:pPr>
          </w:p>
        </w:tc>
        <w:tc>
          <w:tcPr>
            <w:tcW w:w="1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EEEEEE"/>
          </w:tcPr>
          <w:p>
            <w:pPr>
              <w:spacing w:after="0"/>
              <w:rPr>
                <w:sz w:val="18"/>
                <w:szCs w:val="18"/>
                <w:color w:val="auto"/>
              </w:rPr>
            </w:pPr>
          </w:p>
        </w:tc>
        <w:tc>
          <w:tcPr>
            <w:tcW w:w="3440" w:type="dxa"/>
            <w:vAlign w:val="bottom"/>
          </w:tcPr>
          <w:p>
            <w:pPr>
              <w:spacing w:after="0"/>
              <w:rPr>
                <w:sz w:val="18"/>
                <w:szCs w:val="18"/>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53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3440" w:type="dxa"/>
            <w:vAlign w:val="bottom"/>
          </w:tcPr>
          <w:p>
            <w:pPr>
              <w:spacing w:after="0"/>
              <w:rPr>
                <w:sz w:val="18"/>
                <w:szCs w:val="18"/>
                <w:color w:val="auto"/>
              </w:rPr>
            </w:pPr>
          </w:p>
        </w:tc>
      </w:tr>
      <w:tr>
        <w:trPr>
          <w:trHeight w:val="216"/>
        </w:trPr>
        <w:tc>
          <w:tcPr>
            <w:tcW w:w="536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3440" w:type="dxa"/>
            <w:vAlign w:val="bottom"/>
          </w:tcPr>
          <w:p>
            <w:pPr>
              <w:spacing w:after="0"/>
              <w:rPr>
                <w:sz w:val="18"/>
                <w:szCs w:val="18"/>
                <w:color w:val="auto"/>
              </w:rPr>
            </w:pPr>
          </w:p>
        </w:tc>
      </w:tr>
      <w:tr>
        <w:trPr>
          <w:trHeight w:val="230"/>
        </w:trPr>
        <w:tc>
          <w:tcPr>
            <w:tcW w:w="536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Other expense, net</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-0.1%</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-0.1%</w:t>
            </w:r>
          </w:p>
        </w:tc>
        <w:tc>
          <w:tcPr>
            <w:tcW w:w="3440" w:type="dxa"/>
            <w:vAlign w:val="bottom"/>
          </w:tcPr>
          <w:p>
            <w:pPr>
              <w:spacing w:after="0"/>
              <w:rPr>
                <w:sz w:val="19"/>
                <w:szCs w:val="19"/>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Total other expense</w:t>
            </w: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53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0.3%</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w:t>
            </w:r>
          </w:p>
        </w:tc>
        <w:tc>
          <w:tcPr>
            <w:tcW w:w="3440" w:type="dxa"/>
            <w:vAlign w:val="bottom"/>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3440" w:type="dxa"/>
            <w:vAlign w:val="bottom"/>
          </w:tcPr>
          <w:p>
            <w:pPr>
              <w:spacing w:after="0"/>
              <w:rPr>
                <w:sz w:val="19"/>
                <w:szCs w:val="19"/>
                <w:color w:val="auto"/>
              </w:rPr>
            </w:pPr>
          </w:p>
        </w:tc>
      </w:tr>
      <w:tr>
        <w:trPr>
          <w:trHeight w:val="223"/>
        </w:trPr>
        <w:tc>
          <w:tcPr>
            <w:tcW w:w="43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344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629"/>
        </w:trPr>
        <w:tc>
          <w:tcPr>
            <w:tcW w:w="4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 provides the revenue contribution from each of the markets we served for the three months ended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2014 and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60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4380" w:type="dxa"/>
            <w:vAlign w:val="bottom"/>
            <w:tcBorders>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bottom w:val="single" w:sz="8" w:color="EEEEEE"/>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w:t>
            </w:r>
          </w:p>
        </w:tc>
        <w:tc>
          <w:tcPr>
            <w:tcW w:w="300" w:type="dxa"/>
            <w:vAlign w:val="bottom"/>
            <w:shd w:val="clear" w:color="auto" w:fill="EEEEEE"/>
          </w:tcPr>
          <w:p>
            <w:pPr>
              <w:spacing w:after="0"/>
              <w:rPr>
                <w:sz w:val="18"/>
                <w:szCs w:val="18"/>
                <w:color w:val="auto"/>
              </w:rPr>
            </w:pP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EEEEEE"/>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Data Center</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8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8.9%</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188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r>
      <w:tr>
        <w:trPr>
          <w:trHeight w:val="223"/>
        </w:trPr>
        <w:tc>
          <w:tcPr>
            <w:tcW w:w="438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rPr>
              <w:t>Change</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3"/>
          </w:tcPr>
          <w:p>
            <w:pPr>
              <w:ind w:left="200"/>
              <w:spacing w:after="0"/>
              <w:rPr>
                <w:sz w:val="20"/>
                <w:szCs w:val="20"/>
                <w:color w:val="auto"/>
              </w:rPr>
            </w:pPr>
            <w:r>
              <w:rPr>
                <w:rFonts w:ascii="Arial" w:cs="Arial" w:eastAsia="Arial" w:hAnsi="Arial"/>
                <w:sz w:val="18"/>
                <w:szCs w:val="18"/>
                <w:b w:val="1"/>
                <w:bCs w:val="1"/>
                <w:color w:val="auto"/>
              </w:rPr>
              <w:t>Amount</w:t>
            </w:r>
          </w:p>
        </w:tc>
        <w:tc>
          <w:tcPr>
            <w:tcW w:w="11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CATV</w:t>
            </w:r>
          </w:p>
        </w:tc>
        <w:tc>
          <w:tcPr>
            <w:tcW w:w="1040" w:type="dxa"/>
            <w:vAlign w:val="bottom"/>
            <w:tcBorders>
              <w:top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9,748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8,259</w:t>
            </w:r>
          </w:p>
        </w:tc>
        <w:tc>
          <w:tcPr>
            <w:tcW w:w="3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1,489</w:t>
            </w:r>
          </w:p>
        </w:tc>
        <w:tc>
          <w:tcPr>
            <w:tcW w:w="3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Data Center</w:t>
            </w:r>
          </w:p>
        </w:tc>
        <w:tc>
          <w:tcPr>
            <w:tcW w:w="10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11,575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3,620</w:t>
            </w:r>
          </w:p>
        </w:tc>
        <w:tc>
          <w:tcPr>
            <w:tcW w:w="2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7,955</w:t>
            </w:r>
          </w:p>
        </w:tc>
        <w:tc>
          <w:tcPr>
            <w:tcW w:w="4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04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2,216</w:t>
            </w: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1,087</w:t>
            </w:r>
          </w:p>
        </w:tc>
        <w:tc>
          <w:tcPr>
            <w:tcW w:w="2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1,129</w:t>
            </w: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1,351</w:t>
            </w:r>
          </w:p>
        </w:tc>
        <w:tc>
          <w:tcPr>
            <w:tcW w:w="28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3900" w:type="dxa"/>
            <w:vAlign w:val="bottom"/>
            <w:tcBorders>
              <w:top w:val="single" w:sz="8" w:color="EEEEEE"/>
              <w:bottom w:val="single" w:sz="8" w:color="EEEEEE"/>
            </w:tcBorders>
            <w:shd w:val="clear" w:color="auto" w:fill="EEEEEE"/>
          </w:tcPr>
          <w:p>
            <w:pPr>
              <w:ind w:left="2620"/>
              <w:spacing w:after="0"/>
              <w:rPr>
                <w:sz w:val="20"/>
                <w:szCs w:val="20"/>
                <w:color w:val="auto"/>
              </w:rPr>
            </w:pPr>
            <w:r>
              <w:rPr>
                <w:rFonts w:ascii="Arial" w:cs="Arial" w:eastAsia="Arial" w:hAnsi="Arial"/>
                <w:sz w:val="18"/>
                <w:szCs w:val="18"/>
                <w:color w:val="auto"/>
              </w:rPr>
              <w:t>Total Revenue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24,859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14,317</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10,542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Revenues in the internet data center market were driven primarily by increasing demand for our 10 gigabits per second transceivers as our customers continued to upgrade their technology infrastructure. Revenues in the FTTH and other markets were driven primarily by the addition of new customers in the FTTH market and increasing sales to existing customers. The increase in revenues in the CATV market was a result of market wide weakness in 2013, particularly in China, as well as delays in orders as a consequence of mergers among several of our CATV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2014, our top ten customers represented 81.9% of our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jc w:val="right"/>
              <w:ind w:right="510"/>
              <w:spacing w:after="0"/>
              <w:rPr>
                <w:sz w:val="20"/>
                <w:szCs w:val="20"/>
                <w:color w:val="auto"/>
              </w:rPr>
            </w:pPr>
            <w:r>
              <w:rPr>
                <w:rFonts w:ascii="Arial" w:cs="Arial" w:eastAsia="Arial" w:hAnsi="Arial"/>
                <w:sz w:val="18"/>
                <w:szCs w:val="18"/>
                <w:b w:val="1"/>
                <w:bCs w:val="1"/>
                <w:color w:val="auto"/>
                <w:w w:val="92"/>
              </w:rPr>
              <w:t>Three months ended March 31,</w:t>
            </w:r>
          </w:p>
        </w:tc>
        <w:tc>
          <w:tcPr>
            <w:tcW w:w="10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10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w:t>
            </w: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0"/>
        </w:trPr>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8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16,206</w:t>
            </w: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65.2%</w:t>
            </w:r>
          </w:p>
        </w:tc>
        <w:tc>
          <w:tcPr>
            <w:tcW w:w="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jc w:val="right"/>
              <w:ind w:right="350"/>
              <w:spacing w:after="0"/>
              <w:rPr>
                <w:sz w:val="20"/>
                <w:szCs w:val="20"/>
                <w:color w:val="auto"/>
              </w:rPr>
            </w:pPr>
            <w:r>
              <w:rPr>
                <w:rFonts w:ascii="Arial" w:cs="Arial" w:eastAsia="Arial" w:hAnsi="Arial"/>
                <w:sz w:val="18"/>
                <w:szCs w:val="18"/>
                <w:color w:val="auto"/>
              </w:rPr>
              <w:t>9,732</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68.0%</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6,474</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Gross margin</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 of goods sold increased by $6.5 million, or 66.5%, from the three months ended March 31, 2014 to the three months ended March 31, 2013, primarily due to an 11.5% increase in sales or 73.6% over the prior year.</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Within our markets, we sell similar products in different geographic regions at different prices, and therefore realize different gross margins among these similar products. The increase in gross margin from 32.0% to 34.8% for the three months ended March 31, 2014 was the result of sales of higher margin data center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2"/>
              </w:rPr>
              <w:t>Three months ended March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7"/>
          </w:tcPr>
          <w:p>
            <w:pPr>
              <w:ind w:left="140"/>
              <w:spacing w:after="0" w:line="195" w:lineRule="exact"/>
              <w:rPr>
                <w:sz w:val="20"/>
                <w:szCs w:val="20"/>
                <w:color w:val="auto"/>
              </w:rPr>
            </w:pPr>
            <w:r>
              <w:rPr>
                <w:rFonts w:ascii="Arial" w:cs="Arial" w:eastAsia="Arial" w:hAnsi="Arial"/>
                <w:sz w:val="18"/>
                <w:szCs w:val="18"/>
                <w:b w:val="1"/>
                <w:bCs w:val="1"/>
                <w:color w:val="auto"/>
                <w:w w:val="98"/>
              </w:rPr>
              <w:t>(in thousands, except percentages)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6"/>
        </w:trPr>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3,546</w:t>
            </w:r>
          </w:p>
        </w:tc>
        <w:tc>
          <w:tcPr>
            <w:tcW w:w="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1,542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1,333</w:t>
            </w:r>
          </w:p>
        </w:tc>
        <w:tc>
          <w:tcPr>
            <w:tcW w:w="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3,554</w:t>
            </w:r>
          </w:p>
        </w:tc>
        <w:tc>
          <w:tcPr>
            <w:tcW w:w="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1,180</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w:t>
            </w:r>
          </w:p>
        </w:tc>
        <w:tc>
          <w:tcPr>
            <w:tcW w:w="3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-599440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-325120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720"/>
            <w:col w:w="8680"/>
          </w:cols>
          <w:pgMar w:left="240" w:top="665"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Research and development expense increased by $1.5 million, or 76.9%, from the three months ended March 31, 2013 compared to the three months ended March 31, 2014. This was primarily due to increases in personnel costs, R&amp;D work orders and project costs related to FTTH and other new product development, and increase in depreciation expenses resulting from additional equipment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 increased by $0.4 million, or 47.0%, from the three months ended March 31, 2013 compared to the three months ended March 31, 2014. This was due to an increase in personnel costs from additional sales and marketing staff to better serve our customers and an increase in sales commissions directly related to our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General and administrative expense increased by $1.2 million, or 49.7%, from the three months ended March 31, 2013 compared to the three months ended March 31, 2014. This was primarily due to an increase in share-based compensation expense as well as an increase in personnel costs, expenses related to being a public company, professional fees and travel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8"/>
                <w:szCs w:val="18"/>
                <w:b w:val="1"/>
                <w:bCs w:val="1"/>
                <w:color w:val="auto"/>
                <w:w w:val="92"/>
              </w:rPr>
              <w:t>Three months ended March 31,</w:t>
            </w:r>
          </w:p>
        </w:tc>
        <w:tc>
          <w:tcPr>
            <w:tcW w:w="10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1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0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jc w:val="right"/>
              <w:ind w:right="330"/>
              <w:spacing w:after="0" w:line="191"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2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13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7"/>
          </w:tcPr>
          <w:p>
            <w:pPr>
              <w:jc w:val="right"/>
              <w:ind w:right="300"/>
              <w:spacing w:after="0"/>
              <w:rPr>
                <w:sz w:val="20"/>
                <w:szCs w:val="20"/>
                <w:color w:val="auto"/>
              </w:rPr>
            </w:pPr>
            <w:r>
              <w:rPr>
                <w:rFonts w:ascii="Arial" w:cs="Arial" w:eastAsia="Arial" w:hAnsi="Arial"/>
                <w:sz w:val="18"/>
                <w:szCs w:val="18"/>
                <w:b w:val="1"/>
                <w:bCs w:val="1"/>
                <w:color w:val="auto"/>
                <w:w w:val="90"/>
              </w:rPr>
              <w:t>(in thousands, except percentages)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0.3%</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295.0%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r>
      <w:tr>
        <w:trPr>
          <w:trHeight w:val="230"/>
        </w:trPr>
        <w:tc>
          <w:tcPr>
            <w:tcW w:w="2340" w:type="dxa"/>
            <w:vAlign w:val="bottom"/>
            <w:shd w:val="clear" w:color="auto" w:fill="EEEEEE"/>
          </w:tcPr>
          <w:p>
            <w:pPr>
              <w:spacing w:after="0"/>
              <w:rPr>
                <w:sz w:val="20"/>
                <w:szCs w:val="20"/>
                <w:color w:val="auto"/>
              </w:rPr>
            </w:pPr>
            <w:r>
              <w:rPr>
                <w:rFonts w:ascii="Arial" w:cs="Arial" w:eastAsia="Arial" w:hAnsi="Arial"/>
                <w:sz w:val="18"/>
                <w:szCs w:val="18"/>
                <w:color w:val="auto"/>
              </w:rPr>
              <w:t>Other expense, net</w:t>
            </w:r>
          </w:p>
        </w:tc>
        <w:tc>
          <w:tcPr>
            <w:tcW w:w="40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w:t>
            </w:r>
          </w:p>
        </w:tc>
        <w:tc>
          <w:tcPr>
            <w:tcW w:w="6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EEEEEE"/>
          </w:tcPr>
          <w:p>
            <w:pPr>
              <w:spacing w:after="0"/>
              <w:rPr>
                <w:sz w:val="19"/>
                <w:szCs w:val="19"/>
                <w:color w:val="auto"/>
              </w:rPr>
            </w:pP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(237.5%)</w:t>
            </w:r>
          </w:p>
        </w:tc>
      </w:tr>
      <w:tr>
        <w:trPr>
          <w:trHeight w:val="223"/>
        </w:trPr>
        <w:tc>
          <w:tcPr>
            <w:tcW w:w="2340" w:type="dxa"/>
            <w:vAlign w:val="bottom"/>
          </w:tcPr>
          <w:p>
            <w:pPr>
              <w:ind w:left="200"/>
              <w:spacing w:after="0"/>
              <w:rPr>
                <w:sz w:val="20"/>
                <w:szCs w:val="20"/>
                <w:color w:val="auto"/>
              </w:rPr>
            </w:pPr>
            <w:r>
              <w:rPr>
                <w:rFonts w:ascii="Arial" w:cs="Arial" w:eastAsia="Arial" w:hAnsi="Arial"/>
                <w:sz w:val="18"/>
                <w:szCs w:val="18"/>
                <w:color w:val="auto"/>
              </w:rPr>
              <w:t>Total other expense, net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net other expense decreased by $0.2 million from the three months ended March 31, 2013 compared to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decreased overall for the period due to the benefit of lower interest rates as well as lower loan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 due to higher cash and investment balances.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Other net expense increased due to an unrealized foreign exchange loss recognized resulting from the depreciation of the Asia currencies against the U.S. dollar offset by government subsidies received in China. We qualify as a high-tech enterprise in China and are paid subsidies from time to time based upon the revenue earned in China by the Chinese government to foster local high-tech manufacturing.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3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Three months ended March 31,</w:t>
            </w:r>
          </w:p>
        </w:tc>
        <w:tc>
          <w:tcPr>
            <w:tcW w:w="1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2014</w:t>
            </w:r>
          </w:p>
        </w:tc>
        <w:tc>
          <w:tcPr>
            <w:tcW w:w="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right"/>
              <w:ind w:right="2150"/>
              <w:spacing w:after="0"/>
              <w:rPr>
                <w:sz w:val="20"/>
                <w:szCs w:val="20"/>
                <w:color w:val="auto"/>
              </w:rPr>
            </w:pPr>
            <w:r>
              <w:rPr>
                <w:rFonts w:ascii="Arial" w:cs="Arial" w:eastAsia="Arial" w:hAnsi="Arial"/>
                <w:sz w:val="18"/>
                <w:szCs w:val="18"/>
                <w:b w:val="1"/>
                <w:bCs w:val="1"/>
                <w:color w:val="auto"/>
              </w:rPr>
              <w:t>2013</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6"/>
              </w:rPr>
              <w:t>(in thousands, except percentages)</w:t>
            </w: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2960" w:type="dxa"/>
            <w:vAlign w:val="bottom"/>
            <w:shd w:val="clear" w:color="auto" w:fill="EEEEEE"/>
          </w:tcPr>
          <w:p>
            <w:pPr>
              <w:jc w:val="right"/>
              <w:ind w:right="15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rPr>
              <w:t>25</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income tax expense for the three month ended March 31, 2014 consists of U.S. alternative minimum tax recorded during the period. Due to historic losses in the U.S., our net deferred tax assets are fully offset by a deferred tax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$31.5 million, net of underwriting discounts and commissions and offering expenses. On March 25, 2014, we completed a secondary offering, in which we issued and sold 2.0 million shares of our common stock at an offering price of $24.25 per share, providing proceeds of $45.7 million, net of underwriting discounts and commissions and offering expenses. As of March 31, 2014, our cash, cash equivalents, restricted cash and short-term investments totaled $61.1 million. Cash and cash equivalents are held for working capital purposes and are invested primarily in money market or time deposit funds. We do not enter into investments for trading or speculative purposes.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660"/>
              <w:spacing w:after="0"/>
              <w:rPr>
                <w:sz w:val="20"/>
                <w:szCs w:val="20"/>
                <w:color w:val="auto"/>
              </w:rPr>
            </w:pPr>
            <w:r>
              <w:rPr>
                <w:rFonts w:ascii="Arial" w:cs="Arial" w:eastAsia="Arial" w:hAnsi="Arial"/>
                <w:sz w:val="18"/>
                <w:szCs w:val="18"/>
                <w:color w:val="auto"/>
                <w:w w:val="97"/>
              </w:rPr>
              <w:t>The table below sets forth selected cash flow data for the periods presented (in thousands):</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80" w:type="dxa"/>
            <w:vAlign w:val="bottom"/>
          </w:tcPr>
          <w:p>
            <w:pPr>
              <w:spacing w:after="0"/>
              <w:rPr>
                <w:sz w:val="24"/>
                <w:szCs w:val="24"/>
                <w:color w:val="auto"/>
              </w:rPr>
            </w:pPr>
          </w:p>
        </w:tc>
        <w:tc>
          <w:tcPr>
            <w:tcW w:w="30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7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5"/>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1040" w:type="dxa"/>
            <w:vAlign w:val="bottom"/>
            <w:tcBorders>
              <w:top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(8,708)</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(946)</w:t>
            </w: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financing activities</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40,030</w:t>
            </w:r>
          </w:p>
        </w:tc>
        <w:tc>
          <w:tcPr>
            <w:tcW w:w="1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(2,667)</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30,405</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9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(2,146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For the three months ended March 31, 2014, net cash used in operating activities was $0.1 million. During the three months ended March 31, 2014, we recorded a slight net income. The net income incorporated non-cash charges, including depreciation and amortization of $1.2 million, share-based compensation expenses of $0.5 million and non-cash increases to our inventory reserve account of $0.3 million. Cash used in operating activities primarily related to an increase in accounts receivable from the sale of our products and an increase in inventory related to sales orders, offset by cash provided by an increase in accounts payable and an increase in accrued liabilities.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For the three months ended March 31, 2013, net cash provided by operating activities was $1.3 million. During the three months ended March 31, 2013, we recognized a net loss of $1.0 million. The net loss incorporated non-cash charges, including depreciation and amortization of $0.7 million, share-based compensation expenses of $0.1 million and non-cash increases to our inventory reserve account of $0.1 million. Cash provided by operating activities primarily related to a decrease in accounts receivable from the sale of our products and the decrease in notes receivable from our vendors, offset by cash used in an increase in accrued liabilities and a decrease in other current assets.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For the three months ended March 31, 2014, net cash used in investing activities was $8.7 million for the purchase of additional machinery and equipment and the payment for intellectual property licenses to support new product development efforts and manufacturing activities.</w:t>
      </w:r>
    </w:p>
    <w:p>
      <w:pPr>
        <w:spacing w:after="0" w:line="1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three months ended March 31, 2013, net cash used in investing activities was $1.0 million for the purchase of additional machinery and equipment to support new product development efforts and manufacturing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activity associated with our various lending arrangements.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For the three months ended March 31, 2014, our financing activities provided $40.0 million in cash. We received $45.7 million in net proceeds from a secondary offering of common stock. We received $0.1 million from the exercise of stock options. These increases were offset by the repayment of</w:t>
      </w:r>
    </w:p>
    <w:p>
      <w:pPr>
        <w:ind w:right="320"/>
        <w:spacing w:after="0" w:line="261" w:lineRule="auto"/>
        <w:rPr>
          <w:sz w:val="20"/>
          <w:szCs w:val="20"/>
          <w:color w:val="auto"/>
        </w:rPr>
      </w:pPr>
      <w:r>
        <w:rPr>
          <w:rFonts w:ascii="Arial" w:cs="Arial" w:eastAsia="Arial" w:hAnsi="Arial"/>
          <w:sz w:val="18"/>
          <w:szCs w:val="18"/>
          <w:color w:val="auto"/>
        </w:rPr>
        <w:t>$5.7 million in net borrowings associated with our bank loans and an increase in our restricted cash by $0.1 million, related to the compensating balances required for bank acceptance notes in China.</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March 31, 2013, our financing activities used $2.7 million in cash. We repaid $2.5 million in net borrowings associated with our bank loans and increased our restricted cash by $0.3 million, related to the compensating balances required for bank acceptance notes in China. Cash used was offset by $0.1 million received from the exercise of stock options and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have lending arrangements with several financial institutions, including a loan and security agreement with East West Bank in the U.S., several lines of credit arrangements for our China subsidiary and lines of credit and financing agreements for our Taiwan location.</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As of March 31, 2014, our loan and security agreement in the U.S. included a $7.0 million revolving line of credit which matures on November 15, 2015. Also included with the same bank is a term loan with monthly payments of principal and interest that matures on November 15, 2014. As of March 31, 2014, we had nothing outstanding under the revolving line of credit and $3.0 million outstanding on the term loan.</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0.75%, currently a total of 4.0%. As of March 31, 2014, $5.0 million has been drawn against this equipment term loan.</w:t>
      </w:r>
    </w:p>
    <w:p>
      <w:pPr>
        <w:spacing w:after="0" w:line="15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loan and security agreement requires us to maintain certain financial covenants, including a minimum current ratio, maximum debt over net worth ratio and minimum debt service coverage. The agreement also restricts our minimum cash deposits and the percentage of deposit with other banks. As of March 31, 2014, we were in compliance with all covenants contained in this agreement.</w:t>
      </w:r>
    </w:p>
    <w:p>
      <w:pPr>
        <w:spacing w:after="0" w:line="18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As of March 31, 2014, our China subsidiary had a line of credit facility with China banks totaling $20.0 million. As of March 31, 2014, a total of $1.6 million was outstanding under various notes, each with its own maturity date and each renewing annually from April 2014 to August 2014. The notes that begin to mature in April 2014 are expected to be extinguished and converted to bank acceptance facility to reduce interest expenses.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our China subsidiary had a U.S. currency based loan of $1.8 million under various notes with four-month terms.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Taiwan location had an outstanding note payable with a financing company to mature on July 31, 2015.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0" w:name="page21"/>
    <w:bookmarkEnd w:id="20"/>
    <w:p>
      <w:pPr>
        <w:ind w:right="140" w:firstLine="648"/>
        <w:spacing w:after="0" w:line="279" w:lineRule="auto"/>
        <w:rPr>
          <w:sz w:val="20"/>
          <w:szCs w:val="20"/>
          <w:color w:val="auto"/>
        </w:rPr>
      </w:pPr>
      <w:r>
        <w:rPr>
          <w:rFonts w:ascii="Arial" w:cs="Arial" w:eastAsia="Arial" w:hAnsi="Arial"/>
          <w:sz w:val="17"/>
          <w:szCs w:val="17"/>
          <w:color w:val="auto"/>
        </w:rPr>
        <w:t>In December 2013, our Taiwan location entered into one year revolving Credit Facility Agreements with Taiwan banks, for a total of $8.0 million. Borrowings under the Credit Facility will be used for general corporate purposes. Our obligations under the credit facility are secured by our $8 million cash deposit in a one-year CD with such banks. Borrowings under the credit facility will bear interest at a rate equal to the Taiwan Time Deposit Interest Rate Index plus 0.41%, which is currently 1.78%. As of March 31, 2014, $7.6 million was outstanding under this credit facility.</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Frequently, we also direct our banking partners to issue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March 31, 2014, our restricted cash totaled $0.8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financing is required from outside sources, we may not be able to raise it on terms acceptable to us, if at all. If we are unable to raise additional capital when desired, our business, operating results and financial condition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March 31, 2014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5"/>
              </w:rPr>
              <w:t>Payments due by period</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8"/>
              </w:rPr>
              <w:t>More than 5</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3"/>
              </w:rPr>
              <w:t>Less than 1 Year</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Years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80" w:type="dxa"/>
            <w:vAlign w:val="bottom"/>
            <w:tcBorders>
              <w:top w:val="single" w:sz="8" w:color="EEEEEE"/>
            </w:tcBorders>
            <w:shd w:val="clear" w:color="auto" w:fill="EEEEEE"/>
          </w:tcPr>
          <w:p>
            <w:pPr>
              <w:spacing w:after="0" w:line="186" w:lineRule="exact"/>
              <w:rPr>
                <w:sz w:val="20"/>
                <w:szCs w:val="20"/>
                <w:color w:val="auto"/>
              </w:rPr>
            </w:pPr>
            <w:r>
              <w:rPr>
                <w:rFonts w:ascii="Arial" w:cs="Arial" w:eastAsia="Arial" w:hAnsi="Arial"/>
                <w:sz w:val="18"/>
                <w:szCs w:val="18"/>
                <w:color w:val="auto"/>
              </w:rPr>
              <w:t>Bank acceptance payable and long-</w:t>
            </w:r>
          </w:p>
        </w:tc>
        <w:tc>
          <w:tcPr>
            <w:tcW w:w="300" w:type="dxa"/>
            <w:vAlign w:val="bottom"/>
            <w:tcBorders>
              <w:top w:val="single" w:sz="8" w:color="auto"/>
            </w:tcBorders>
            <w:shd w:val="clear" w:color="auto" w:fill="EEEEEE"/>
          </w:tcPr>
          <w:p>
            <w:pPr>
              <w:spacing w:after="0"/>
              <w:rPr>
                <w:sz w:val="16"/>
                <w:szCs w:val="16"/>
                <w:color w:val="auto"/>
              </w:rPr>
            </w:pPr>
          </w:p>
        </w:tc>
        <w:tc>
          <w:tcPr>
            <w:tcW w:w="1080" w:type="dxa"/>
            <w:vAlign w:val="bottom"/>
            <w:tcBorders>
              <w:top w:val="single" w:sz="8" w:color="auto"/>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60" w:type="dxa"/>
            <w:vAlign w:val="bottom"/>
            <w:tcBorders>
              <w:top w:val="single" w:sz="8" w:color="EEEEEE"/>
            </w:tcBorders>
            <w:shd w:val="clear" w:color="auto" w:fill="EEEEEE"/>
          </w:tcPr>
          <w:p>
            <w:pPr>
              <w:spacing w:after="0"/>
              <w:rPr>
                <w:sz w:val="16"/>
                <w:szCs w:val="16"/>
                <w:color w:val="auto"/>
              </w:rPr>
            </w:pPr>
          </w:p>
        </w:tc>
        <w:tc>
          <w:tcPr>
            <w:tcW w:w="500" w:type="dxa"/>
            <w:vAlign w:val="bottom"/>
            <w:tcBorders>
              <w:top w:val="single" w:sz="8" w:color="auto"/>
            </w:tcBorders>
            <w:shd w:val="clear" w:color="auto" w:fill="EEEEEE"/>
          </w:tcPr>
          <w:p>
            <w:pPr>
              <w:spacing w:after="0"/>
              <w:rPr>
                <w:sz w:val="16"/>
                <w:szCs w:val="16"/>
                <w:color w:val="auto"/>
              </w:rPr>
            </w:pPr>
          </w:p>
        </w:tc>
        <w:tc>
          <w:tcPr>
            <w:tcW w:w="880" w:type="dxa"/>
            <w:vAlign w:val="bottom"/>
            <w:tcBorders>
              <w:top w:val="single" w:sz="8" w:color="auto"/>
            </w:tcBorders>
            <w:shd w:val="clear" w:color="auto" w:fill="EEEEEE"/>
          </w:tcPr>
          <w:p>
            <w:pPr>
              <w:spacing w:after="0"/>
              <w:rPr>
                <w:sz w:val="16"/>
                <w:szCs w:val="16"/>
                <w:color w:val="auto"/>
              </w:rPr>
            </w:pPr>
          </w:p>
        </w:tc>
        <w:tc>
          <w:tcPr>
            <w:tcW w:w="40" w:type="dxa"/>
            <w:vAlign w:val="bottom"/>
            <w:tcBorders>
              <w:top w:val="single" w:sz="8" w:color="EEEEEE"/>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340" w:type="dxa"/>
            <w:vAlign w:val="bottom"/>
            <w:tcBorders>
              <w:top w:val="single" w:sz="8" w:color="EEEEEE"/>
            </w:tcBorders>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auto"/>
            </w:tcBorders>
            <w:shd w:val="clear" w:color="auto" w:fill="EEEEEE"/>
          </w:tcPr>
          <w:p>
            <w:pPr>
              <w:spacing w:after="0"/>
              <w:rPr>
                <w:sz w:val="16"/>
                <w:szCs w:val="16"/>
                <w:color w:val="auto"/>
              </w:rPr>
            </w:pPr>
          </w:p>
        </w:tc>
        <w:tc>
          <w:tcPr>
            <w:tcW w:w="122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80" w:type="dxa"/>
            <w:vAlign w:val="bottom"/>
            <w:shd w:val="clear" w:color="auto" w:fill="EEEEEE"/>
          </w:tcPr>
          <w:p>
            <w:pPr>
              <w:ind w:left="180"/>
              <w:spacing w:after="0" w:line="266" w:lineRule="exact"/>
              <w:rPr>
                <w:sz w:val="20"/>
                <w:szCs w:val="20"/>
                <w:color w:val="auto"/>
              </w:rPr>
            </w:pPr>
            <w:r>
              <w:rPr>
                <w:rFonts w:ascii="Arial" w:cs="Arial" w:eastAsia="Arial" w:hAnsi="Arial"/>
                <w:sz w:val="18"/>
                <w:szCs w:val="18"/>
                <w:color w:val="auto"/>
              </w:rPr>
              <w:t>term debt</w:t>
            </w:r>
            <w:r>
              <w:rPr>
                <w:rFonts w:ascii="Arial" w:cs="Arial" w:eastAsia="Arial" w:hAnsi="Arial"/>
                <w:sz w:val="30"/>
                <w:szCs w:val="30"/>
                <w:color w:val="auto"/>
                <w:vertAlign w:val="superscript"/>
              </w:rPr>
              <w:t>(1)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22,579</w:t>
            </w:r>
          </w:p>
        </w:tc>
        <w:tc>
          <w:tcPr>
            <w:tcW w:w="660" w:type="dxa"/>
            <w:vAlign w:val="bottom"/>
            <w:gridSpan w:val="2"/>
            <w:shd w:val="clear" w:color="auto" w:fill="EEEEEE"/>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18,754</w:t>
            </w:r>
          </w:p>
        </w:tc>
        <w:tc>
          <w:tcPr>
            <w:tcW w:w="5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3,111</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80" w:type="dxa"/>
            <w:vAlign w:val="bottom"/>
          </w:tcPr>
          <w:p>
            <w:pPr>
              <w:spacing w:after="0" w:line="269"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300" w:type="dxa"/>
            <w:vAlign w:val="bottom"/>
          </w:tcPr>
          <w:p>
            <w:pPr>
              <w:spacing w:after="0"/>
              <w:rPr>
                <w:sz w:val="23"/>
                <w:szCs w:val="2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15,594</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668</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982</w:t>
            </w:r>
          </w:p>
        </w:tc>
        <w:tc>
          <w:tcPr>
            <w:tcW w:w="22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23"/>
                <w:szCs w:val="2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13,112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commitments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38,173</w:t>
            </w:r>
          </w:p>
        </w:tc>
        <w:tc>
          <w:tcPr>
            <w:tcW w:w="6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19,422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4,093</w:t>
            </w:r>
          </w:p>
        </w:tc>
        <w:tc>
          <w:tcPr>
            <w:tcW w:w="3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1,546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13,112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6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March 31, 2014, we did not, and we do not currently,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annual report on Form 10-K for the year ended December 31, 2013,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March 31, 2014, a portion of our U.S. debt bears a fixed rate of interest, and a portion of our U.S. debt bears a variable rate of interest that is based on the prime rate. The debt subject to variable rates is subject to fluctuation in the prime rate. As of March 31, 2014, the interest on our China debt varied based on when each term loan is drawn. Once drawn the interest remains fixed for the term of that draw, and is therefore subject to fluctuations. As of March 31, 2014, we had not hedged our interest rate risk.</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March 31, 2014, an increase of 1.0% in each of our interest rates would have resulted in an increase of $30,000 in our interest expense for such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6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16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three months ended March 31, 2014, 5.6% of our revenue was denominated in RMB and no revenue was denominated in NT dollars. In the three months ended March 31, 2014, 15.7% of our operating expenses were denominated in RMB and 29.3%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three months ended March 31, 2014, our operating expenses would have been higher by $40,000.</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As of March 31, 2014, we held the U.S. dollar equivalent of approximately $10.8 million in RMB and a negligible amount in NT dollars, including cash and cash equivalents. With respect to our cash and cash equivalents as of March 31, 2014, a 1.0% change in the exchange rates between the RMB and the U.S. dollar or the NT dollar and the U.S. dollar would result in $0.1 million or an immaterial change in our total cash and cash equivalents.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three months ended March 31, 2014 and 2013, we recognized a foreign currency transaction gain of $0.1 million and an immaterial loss,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3" w:name="page24"/>
    <w:bookmarkEnd w:id="23"/>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2014, we were not involved in any material pending legal proceedings.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generate much of our revenue from a limited number of customers. In 2011, 2012 and 2013 and the three months ended March 31, 2014, our top ten customers represented 76.6%, 77.6% 76.9% and 81.9% of our revenue, respectively. In 2013, Cisco Systems, Inc. represented 21.8% of our revenue, Amazon represented 18.2% of our revenue and Biogenomics Corp., a distributor, represented 8.7% of our total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5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Historically, we have generated much of our revenue from the CATV market. In 2011, 2012, 2013 and the three months ended March 31, 2014, the CATV market represented 81.4%, 78.6%, 60.4% and 39.2%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February 2014, Time Warner and Comcast, the two largest CATV providers in the U.S., announced that they agreed to merge. We are unable to predict what impact this transaction, if completed, would have on the CATV market or on our business.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4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and internet data center markets, and our business could be harmed if these markets do not develop as we expect.</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have only recently begun offering products to the FTTH and internet data center markets.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6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00" w:lineRule="exact"/>
        <w:rPr>
          <w:sz w:val="20"/>
          <w:szCs w:val="20"/>
          <w:color w:val="auto"/>
        </w:rPr>
      </w:pPr>
    </w:p>
    <w:p>
      <w:pPr>
        <w:spacing w:after="0" w:line="20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938 of our employees as of December 31, 2013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w:t>
      </w:r>
    </w:p>
    <w:p>
      <w:pPr>
        <w:spacing w:after="0" w:line="225"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We have a history of losses and we may incur additional losses in future periods. In the years ended December 31, 2011, 2012 and 2013, we experienced net losses of $5.3 million, $0.9 million and $1.4 million, respectively. As of December 31, 2013 and March 31, 2014, our accumulated deficit was $83.3 million and $83.2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0" w:lineRule="exact"/>
        <w:rPr>
          <w:rFonts w:ascii="Arial" w:cs="Arial" w:eastAsia="Arial" w:hAnsi="Arial"/>
          <w:sz w:val="17"/>
          <w:szCs w:val="17"/>
          <w:color w:val="auto"/>
        </w:rPr>
      </w:pPr>
    </w:p>
    <w:p>
      <w:pPr>
        <w:ind w:left="980" w:right="780" w:hanging="324"/>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2011, 2012 and 2013, 52.2%, 55.7%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9" w:lineRule="exact"/>
        <w:rPr>
          <w:rFonts w:ascii="Arial" w:cs="Arial" w:eastAsia="Arial" w:hAnsi="Arial"/>
          <w:sz w:val="18"/>
          <w:szCs w:val="18"/>
          <w:color w:val="auto"/>
        </w:rPr>
      </w:pPr>
    </w:p>
    <w:p>
      <w:pPr>
        <w:ind w:left="980" w:right="6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ind w:left="980" w:right="12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2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 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agreements with East West Bank in the U.S., and our China subsidiary has a line of credit arrangement.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difficulties integrating the business relationships with suppliers and customers of the acquired business with our existing business relationships;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5" w:name="page36"/>
    <w:bookmarkEnd w:id="35"/>
    <w:p>
      <w:pPr>
        <w:ind w:right="160" w:firstLine="648"/>
        <w:spacing w:after="0" w:line="312" w:lineRule="auto"/>
        <w:rPr>
          <w:sz w:val="20"/>
          <w:szCs w:val="20"/>
          <w:color w:val="auto"/>
        </w:rPr>
      </w:pPr>
      <w:r>
        <w:rPr>
          <w:rFonts w:ascii="Arial" w:cs="Arial" w:eastAsia="Arial" w:hAnsi="Arial"/>
          <w:sz w:val="16"/>
          <w:szCs w:val="16"/>
          <w:color w:val="auto"/>
        </w:rPr>
        <w:t>In connection with the audit of our financial statements for the period ended December 31, 2012, we identified a material weakness related to the inappropriate recording of certain inventory returned for re-work in China as a reduction in cost of sales. We remediated this material weakness in 2013 and we did not identify any material weaknesses in connection with the audit of our financial statements for the period ended December 31, 2013.</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 of December 31, 2013, we had U.S. accumulated net operating losses, or NOLs, of approximately $65.7 million for U.S. federal income tax purposes. We also had research and development credit carry forwards totaling $1.6 million as of December 31, 2013, which begin to expire in 2020. Under Section 382 of the Internal Revenue Code of 1986, as amended, if a corporation undergoes an “ownership change,” the corporation’s ability to use its pre-change NOLs, capital loss carry 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 forwards are limited in dollar amount. As of December 31, 2013, of the total accumulated NOL, only $40.3 million is available for utilization in 2014 and thereafter to shelter federal taxable income. Each year after 2014, an additional $0.3 million is added to the total available NOL, until a maximum of $43.9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demands and new regulations related to conflict-free minerals may adversely affect us.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the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We have not yet realized benefits from this reduction in tax rate because we have not yet generated taxable income in China. Any future increase in the enterprise income tax rate applicable to us or the expiration or other limitation of preferential tax rates available to us could increase our tax liabilities and reduce our net income.</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own a significant percentage of our stock and have significant control of our management and affairs, and they can take actions that may be against your best interests.</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of May 7, 2014, our executive officers and directors, and entities that are affiliated with them, beneficially own an aggregate of approximately 5.2% of our outstanding common stock.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of May 7, 2014, we had 14,785,065 shares of common stock outstanding. The 5,625,235 shares sold in our initial public offering and our follow-on offering are immediately tradable without restriction. In addition, on March 25, 2014, approximately 6.0 million shares became tradable without restriction upon the expiration of lock-up agreements executed in connection with our initial public offering. On June 18, 2014, 0.9 million shares will be eligible for sale upon the expiration of lock-up agreements executed in connection with our follow-on offering, subject in some cases to volume and other restrictions under Rules 144 and 701 under the Securities Act of 1933, as amended, or the Securities Act, and various vesting agreements. The representatives of the underwriters may, in their sole discretion and at any time without notice, release all or any portion of the securities subject to lock-up agreements.</w:t>
      </w:r>
    </w:p>
    <w:p>
      <w:pPr>
        <w:spacing w:after="0" w:line="1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November 19, 2013, we registered 2,600,000 shares of our common stock that we have issued or may issue under our equity plans, which shares will be eligible for sale upon the expiration of lock-up agreements, subject in some cases to volume and other restrictions under Rules 144 and 701 under the Securities Act, and various vesting agreements. In addition, some of our employees, including some of our named executive officers, may enter into 10b5-1 trading plans regarding sales of shares of our common stock. These plans provide for sales to occur from time to time after the expiration of the lock-up period related to our initial public offering and our follow-on offering, or with respect to any employee who has entered into a 10b5-1 trading plan. If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0" w:name="page41"/>
    <w:bookmarkEnd w:id="40"/>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right="8860" w:firstLine="8"/>
        <w:spacing w:after="0" w:line="501"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Unregistered Securities None.</w:t>
      </w: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 the proceeds of the offering, we invested $10.5 million for the purchase of machinery and equipment and $8.1 million for inventory to support our new product development efforts and repaid $7.0 million of outstanding debt.</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3"/>
          </w:tcPr>
          <w:p>
            <w:pPr>
              <w:ind w:left="208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May 12, 2014</w:t>
            </w:r>
          </w:p>
        </w:tc>
        <w:tc>
          <w:tcPr>
            <w:tcW w:w="7880" w:type="dxa"/>
            <w:vAlign w:val="bottom"/>
            <w:gridSpan w:val="3"/>
          </w:tcPr>
          <w:p>
            <w:pPr>
              <w:ind w:left="2080"/>
              <w:spacing w:after="0"/>
              <w:rPr>
                <w:sz w:val="20"/>
                <w:szCs w:val="20"/>
                <w:color w:val="auto"/>
              </w:rPr>
            </w:pPr>
            <w:r>
              <w:rPr>
                <w:rFonts w:ascii="Arial" w:cs="Arial" w:eastAsia="Arial" w:hAnsi="Arial"/>
                <w:sz w:val="18"/>
                <w:szCs w:val="18"/>
                <w:color w:val="auto"/>
              </w:rPr>
              <w:t>By:    /s/ James L. Dunn, Jr.,</w:t>
            </w:r>
          </w:p>
        </w:tc>
      </w:tr>
      <w:tr>
        <w:trPr>
          <w:trHeight w:val="222"/>
        </w:trPr>
        <w:tc>
          <w:tcPr>
            <w:tcW w:w="3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L. Dunn, Jr.,</w:t>
            </w:r>
          </w:p>
        </w:tc>
        <w:tc>
          <w:tcPr>
            <w:tcW w:w="3640" w:type="dxa"/>
            <w:vAlign w:val="bottom"/>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864"/>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43</w:t>
            </w:r>
          </w:p>
        </w:tc>
        <w:tc>
          <w:tcPr>
            <w:tcW w:w="16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320" w:type="dxa"/>
            <w:vAlign w:val="bottom"/>
            <w:gridSpan w:val="4"/>
          </w:tcPr>
          <w:p>
            <w:pPr>
              <w:ind w:left="1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3.1*</w:t>
            </w:r>
          </w:p>
        </w:tc>
        <w:tc>
          <w:tcPr>
            <w:tcW w:w="460" w:type="dxa"/>
            <w:vAlign w:val="bottom"/>
            <w:shd w:val="clear" w:color="auto" w:fill="EEEEEE"/>
          </w:tcPr>
          <w:p>
            <w:pPr>
              <w:spacing w:after="0"/>
              <w:rPr>
                <w:sz w:val="18"/>
                <w:szCs w:val="18"/>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Amended and Restated Certificate of Incorporation, as currently in effect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3.2*</w:t>
            </w:r>
          </w:p>
        </w:tc>
        <w:tc>
          <w:tcPr>
            <w:tcW w:w="460" w:type="dxa"/>
            <w:vAlign w:val="bottom"/>
            <w:shd w:val="clear" w:color="auto" w:fill="EEEEEE"/>
          </w:tcPr>
          <w:p>
            <w:pPr>
              <w:spacing w:after="0"/>
              <w:rPr>
                <w:sz w:val="18"/>
                <w:szCs w:val="18"/>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Amended and Restated Bylaws, as currently in effect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10.1*</w:t>
            </w:r>
          </w:p>
        </w:tc>
        <w:tc>
          <w:tcPr>
            <w:tcW w:w="460" w:type="dxa"/>
            <w:vAlign w:val="bottom"/>
            <w:shd w:val="clear" w:color="auto" w:fill="EEEEEE"/>
          </w:tcPr>
          <w:p>
            <w:pPr>
              <w:spacing w:after="0"/>
              <w:rPr>
                <w:sz w:val="18"/>
                <w:szCs w:val="18"/>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2013 Equity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EEEEEE"/>
          </w:tcPr>
          <w:p>
            <w:pPr>
              <w:spacing w:after="0"/>
              <w:rPr>
                <w:sz w:val="18"/>
                <w:szCs w:val="18"/>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w w:val="95"/>
              </w:rPr>
              <w:t>Translation of Chinese form of RMB Working Capital Loan Agreement between Global Technology Inc. and China Construction 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10.3*</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89"/>
              </w:rPr>
              <w:t>Translation of Chinese lease agreement dated September 11, 2013 between the registrant and Admiral Overseas Corporation for space on 5F,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10.4*</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96"/>
              </w:rPr>
              <w:t>Translation of Chinese Amendment to Office Lease Agreement dated August 28, 2013 between the registrant and Admiral Overseas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Corporation for space on 4F, 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10.5*</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96"/>
              </w:rPr>
              <w:t>Translation of Chinese Amendment to Office Lease Agreement dated August 28, 2013 between the registrant and Admiral Overseas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Corporation for space on 6-7F, No.700, Jhongjheng Rd., Jhonghe District, New Taipei City 23552, Taiwan (R.O.C.)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EEEEEE"/>
          </w:tcPr>
          <w:p>
            <w:pPr>
              <w:spacing w:after="0"/>
              <w:rPr>
                <w:sz w:val="20"/>
                <w:szCs w:val="20"/>
                <w:color w:val="auto"/>
              </w:rPr>
            </w:pPr>
            <w:r>
              <w:rPr>
                <w:rFonts w:ascii="Arial" w:cs="Arial" w:eastAsia="Arial" w:hAnsi="Arial"/>
                <w:sz w:val="18"/>
                <w:szCs w:val="18"/>
                <w:color w:val="auto"/>
              </w:rPr>
              <w:t>10.6*</w:t>
            </w:r>
          </w:p>
        </w:tc>
        <w:tc>
          <w:tcPr>
            <w:tcW w:w="460" w:type="dxa"/>
            <w:vAlign w:val="bottom"/>
            <w:shd w:val="clear" w:color="auto" w:fill="EEEEEE"/>
          </w:tcPr>
          <w:p>
            <w:pPr>
              <w:spacing w:after="0"/>
              <w:rPr>
                <w:sz w:val="18"/>
                <w:szCs w:val="18"/>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w w:val="97"/>
              </w:rPr>
              <w:t>Translation of Chinese form of USD Trust Receipt Loan Agreement between Global Technology Inc. and China Construction 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31.1**</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91"/>
              </w:rPr>
              <w:t>Certification of Chief Executive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31.2**</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92"/>
              </w:rPr>
              <w:t>Certification of Chief Financial Officer pursuant to Exchange Act Rule, 13a-14(a) and 15d-14(a),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32.1**</w:t>
            </w:r>
          </w:p>
        </w:tc>
        <w:tc>
          <w:tcPr>
            <w:tcW w:w="460" w:type="dxa"/>
            <w:vAlign w:val="bottom"/>
            <w:shd w:val="clear" w:color="auto" w:fill="EEEEEE"/>
          </w:tcPr>
          <w:p>
            <w:pPr>
              <w:spacing w:after="0"/>
              <w:rPr>
                <w:sz w:val="17"/>
                <w:szCs w:val="17"/>
                <w:color w:val="auto"/>
              </w:rPr>
            </w:pPr>
          </w:p>
        </w:tc>
        <w:tc>
          <w:tcPr>
            <w:tcW w:w="10320" w:type="dxa"/>
            <w:vAlign w:val="bottom"/>
            <w:gridSpan w:val="4"/>
            <w:shd w:val="clear" w:color="auto" w:fill="EEEEEE"/>
          </w:tcPr>
          <w:p>
            <w:pPr>
              <w:ind w:left="160"/>
              <w:spacing w:after="0" w:line="201" w:lineRule="exact"/>
              <w:rPr>
                <w:sz w:val="20"/>
                <w:szCs w:val="20"/>
                <w:color w:val="auto"/>
              </w:rPr>
            </w:pPr>
            <w:r>
              <w:rPr>
                <w:rFonts w:ascii="Arial" w:cs="Arial" w:eastAsia="Arial" w:hAnsi="Arial"/>
                <w:sz w:val="18"/>
                <w:szCs w:val="18"/>
                <w:color w:val="auto"/>
                <w:w w:val="93"/>
              </w:rPr>
              <w:t>Certification pursuant to 18 U.S.C. 1350, adopted pursuant to Section 906 of the Sarbanes-Oxley Act of 2002, by Chief Executive Officer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101.INS***</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101.SCH***</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101.CAL***</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101.DEF***</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101.LAB***</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101.PRE***</w:t>
            </w:r>
          </w:p>
        </w:tc>
        <w:tc>
          <w:tcPr>
            <w:tcW w:w="10320" w:type="dxa"/>
            <w:vAlign w:val="bottom"/>
            <w:gridSpan w:val="4"/>
            <w:shd w:val="clear" w:color="auto" w:fill="EEEEEE"/>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5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920" w:firstLine="8"/>
        <w:spacing w:after="0" w:line="258"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 w:lineRule="exact"/>
        <w:rPr>
          <w:rFonts w:ascii="Arial" w:cs="Arial" w:eastAsia="Arial" w:hAnsi="Arial"/>
          <w:sz w:val="18"/>
          <w:szCs w:val="18"/>
          <w:color w:val="auto"/>
        </w:rPr>
      </w:pPr>
    </w:p>
    <w:p>
      <w:pPr>
        <w:ind w:right="20"/>
        <w:spacing w:after="0" w:line="255" w:lineRule="auto"/>
        <w:rPr>
          <w:rFonts w:ascii="Arial" w:cs="Arial" w:eastAsia="Arial" w:hAnsi="Arial"/>
          <w:sz w:val="18"/>
          <w:szCs w:val="18"/>
          <w:color w:val="auto"/>
        </w:rPr>
      </w:pPr>
      <w:r>
        <w:rPr>
          <w:rFonts w:ascii="Arial" w:cs="Arial" w:eastAsia="Arial" w:hAnsi="Arial"/>
          <w:sz w:val="18"/>
          <w:szCs w:val="18"/>
          <w:color w:val="auto"/>
        </w:rPr>
        <w:t>*** 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right="300" w:firstLine="424"/>
        <w:spacing w:after="0" w:line="342" w:lineRule="auto"/>
        <w:tabs>
          <w:tab w:leader="none" w:pos="5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24"/>
        <w:spacing w:after="0" w:line="277" w:lineRule="auto"/>
        <w:tabs>
          <w:tab w:leader="none" w:pos="5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424"/>
        <w:spacing w:after="0" w:line="277" w:lineRule="auto"/>
        <w:tabs>
          <w:tab w:leader="none" w:pos="5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left="420" w:hanging="7"/>
        <w:spacing w:after="0" w:line="264"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308" w:lineRule="auto"/>
        <w:tabs>
          <w:tab w:leader="none" w:pos="6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right="80" w:hanging="7"/>
        <w:spacing w:after="0" w:line="264" w:lineRule="auto"/>
        <w:tabs>
          <w:tab w:leader="none" w:pos="6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24"/>
        <w:spacing w:after="0" w:line="308" w:lineRule="auto"/>
        <w:tabs>
          <w:tab w:leader="none" w:pos="596"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20" w:hanging="7"/>
        <w:spacing w:after="0" w:line="277" w:lineRule="auto"/>
        <w:tabs>
          <w:tab w:leader="none" w:pos="6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380"/>
          </w:cols>
          <w:pgMar w:left="240" w:top="111" w:right="279" w:bottom="1440" w:gutter="0" w:footer="0" w:header="0"/>
        </w:sectPr>
      </w:pPr>
    </w:p>
    <w:bookmarkStart w:id="45" w:name="page46"/>
    <w:bookmarkEnd w:id="45"/>
    <w:p>
      <w:pPr>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L. Dunn, Jr., certify that:</w:t>
      </w:r>
    </w:p>
    <w:p>
      <w:pPr>
        <w:spacing w:after="0" w:line="225" w:lineRule="exact"/>
        <w:rPr>
          <w:sz w:val="20"/>
          <w:szCs w:val="20"/>
          <w:color w:val="auto"/>
        </w:rPr>
      </w:pPr>
    </w:p>
    <w:p>
      <w:pPr>
        <w:ind w:left="600" w:hanging="176"/>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225" w:lineRule="exact"/>
        <w:rPr>
          <w:rFonts w:ascii="Arial" w:cs="Arial" w:eastAsia="Arial" w:hAnsi="Arial"/>
          <w:sz w:val="18"/>
          <w:szCs w:val="18"/>
          <w:color w:val="auto"/>
        </w:rPr>
      </w:pPr>
    </w:p>
    <w:p>
      <w:pPr>
        <w:ind w:right="300" w:firstLine="424"/>
        <w:spacing w:after="0" w:line="342"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24"/>
        <w:spacing w:after="0" w:line="277"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500" w:firstLine="424"/>
        <w:spacing w:after="0" w:line="277" w:lineRule="auto"/>
        <w:tabs>
          <w:tab w:leader="none" w:pos="5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left="420" w:hanging="7"/>
        <w:spacing w:after="0" w:line="264"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20" w:right="20" w:hanging="7"/>
        <w:spacing w:after="0" w:line="308" w:lineRule="auto"/>
        <w:tabs>
          <w:tab w:leader="none" w:pos="6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right="80" w:hanging="7"/>
        <w:spacing w:after="0" w:line="264" w:lineRule="auto"/>
        <w:tabs>
          <w:tab w:leader="none" w:pos="654"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424"/>
        <w:spacing w:after="0" w:line="308" w:lineRule="auto"/>
        <w:tabs>
          <w:tab w:leader="none" w:pos="5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420" w:right="420" w:hanging="7"/>
        <w:spacing w:after="0" w:line="277" w:lineRule="auto"/>
        <w:tabs>
          <w:tab w:leader="none" w:pos="65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L. Dunn,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 Dunn,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w:t>
      </w:r>
    </w:p>
    <w:p>
      <w:pPr>
        <w:sectPr>
          <w:pgSz w:w="11900" w:h="16838" w:orient="portrait"/>
          <w:cols w:equalWidth="0" w:num="1">
            <w:col w:w="11380"/>
          </w:cols>
          <w:pgMar w:left="240" w:top="112" w:right="2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20" w:firstLine="416"/>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James L. Dunn, Jr., Chief Financial Officer and Senior Vice President of the Company, each hereby certifies that, to the best of his knowledge:</w:t>
      </w:r>
    </w:p>
    <w:p>
      <w:pPr>
        <w:spacing w:after="0" w:line="187" w:lineRule="exact"/>
        <w:rPr>
          <w:sz w:val="20"/>
          <w:szCs w:val="20"/>
          <w:color w:val="auto"/>
        </w:rPr>
      </w:pPr>
    </w:p>
    <w:p>
      <w:pPr>
        <w:ind w:right="400" w:firstLine="424"/>
        <w:spacing w:after="0" w:line="277" w:lineRule="auto"/>
        <w:tabs>
          <w:tab w:leader="none" w:pos="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2014, to which this Certification is attached as Exhibit 32.1 (the “Quarterly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20" w:firstLine="424"/>
        <w:spacing w:after="0" w:line="277" w:lineRule="auto"/>
        <w:tabs>
          <w:tab w:leader="none" w:pos="59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gridSpan w:val="3"/>
          </w:tcPr>
          <w:p>
            <w:pPr>
              <w:spacing w:after="0"/>
              <w:rPr>
                <w:sz w:val="20"/>
                <w:szCs w:val="20"/>
                <w:color w:val="auto"/>
              </w:rPr>
            </w:pPr>
            <w:r>
              <w:rPr>
                <w:rFonts w:ascii="Arial" w:cs="Arial" w:eastAsia="Arial" w:hAnsi="Arial"/>
                <w:sz w:val="18"/>
                <w:szCs w:val="18"/>
                <w:color w:val="auto"/>
              </w:rPr>
              <w:t>/s/ Chih-Hsiang (Thompson) Lin</w:t>
            </w:r>
          </w:p>
        </w:tc>
        <w:tc>
          <w:tcPr>
            <w:tcW w:w="5360" w:type="dxa"/>
            <w:vAlign w:val="bottom"/>
          </w:tcPr>
          <w:p>
            <w:pPr>
              <w:spacing w:after="0"/>
              <w:rPr>
                <w:sz w:val="20"/>
                <w:szCs w:val="20"/>
                <w:color w:val="auto"/>
              </w:rPr>
            </w:pPr>
            <w:r>
              <w:rPr>
                <w:rFonts w:ascii="Arial" w:cs="Arial" w:eastAsia="Arial" w:hAnsi="Arial"/>
                <w:sz w:val="18"/>
                <w:szCs w:val="18"/>
                <w:color w:val="auto"/>
              </w:rPr>
              <w:t>/s/ James L. Dunn, Jr.</w:t>
            </w:r>
          </w:p>
        </w:tc>
      </w:tr>
      <w:tr>
        <w:trPr>
          <w:trHeight w:val="202"/>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Chih-Hsiang (Thompson) Lin</w:t>
            </w:r>
          </w:p>
        </w:tc>
        <w:tc>
          <w:tcPr>
            <w:tcW w:w="68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L. Dunn, Jr.</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28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lvl w:ilvl="1">
      <w:lvlJc w:val="left"/>
      <w:lvlText w:val="•"/>
      <w:numFmt w:val="bullet"/>
      <w:start w:val="1"/>
    </w:lvl>
  </w:abstractNum>
  <w:abstractNum w:abstractNumId="6">
    <w:nsid w:val="4E6AFB66"/>
    <w:multiLevelType w:val="hybridMultilevel"/>
    <w:lvl w:ilvl="0">
      <w:lvlJc w:val="left"/>
      <w:lvlText w:val="%1."/>
      <w:numFmt w:val="decimal"/>
      <w:start w:val="4"/>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2019-12-07T02:50:24Z</dcterms:created>
  <dcterms:modified xsi:type="dcterms:W3CDTF">2019-12-07T02:50:24Z</dcterms:modified>
</cp:coreProperties>
</file>