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46"/>
          <w:szCs w:val="46"/>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t>2025 Annual Report</w:t>
      </w:r>
    </w:p>
    <w:p>
      <w:pPr>
        <w:sectPr>
          <w:pgSz w:w="11880" w:h="15480" w:orient="portrait"/>
          <w:cols w:equalWidth="0" w:num="1">
            <w:col w:w="9680"/>
          </w:cols>
          <w:pgMar w:left="760" w:top="741" w:right="1440" w:bottom="1440" w:gutter="0" w:footer="0" w:header="0"/>
        </w:sectPr>
      </w:pPr>
    </w:p>
    <w:bookmarkStart w:id="1" w:name="page2"/>
    <w:bookmarkEnd w:id="1"/>
    <w:p>
      <w:pPr>
        <w:spacing w:after="0"/>
        <w:rPr>
          <w:sz w:val="20"/>
          <w:szCs w:val="20"/>
          <w:color w:val="auto"/>
        </w:rPr>
      </w:pPr>
      <w:r>
        <w:rPr>
          <w:rFonts w:ascii="Arial" w:cs="Arial" w:eastAsia="Arial" w:hAnsi="Arial"/>
          <w:sz w:val="20"/>
          <w:szCs w:val="20"/>
          <w:color w:val="auto"/>
        </w:rPr>
        <w:t>To Our Stockholders:</w:t>
      </w:r>
    </w:p>
    <w:p>
      <w:pPr>
        <w:spacing w:after="0" w:line="259" w:lineRule="exact"/>
        <w:rPr>
          <w:sz w:val="20"/>
          <w:szCs w:val="20"/>
          <w:color w:val="auto"/>
        </w:rPr>
      </w:pPr>
    </w:p>
    <w:p>
      <w:pPr>
        <w:jc w:val="both"/>
        <w:ind w:right="20"/>
        <w:spacing w:after="0" w:line="264" w:lineRule="auto"/>
        <w:rPr>
          <w:sz w:val="20"/>
          <w:szCs w:val="20"/>
          <w:color w:val="auto"/>
        </w:rPr>
      </w:pPr>
      <w:r>
        <w:rPr>
          <w:rFonts w:ascii="Arial" w:cs="Arial" w:eastAsia="Arial" w:hAnsi="Arial"/>
          <w:sz w:val="20"/>
          <w:szCs w:val="20"/>
          <w:color w:val="auto"/>
        </w:rPr>
        <w:t>It is my pleasure as CEO of AOI to have the chance to write to you again this year. What an exciting time for our industry in general, and especially for AOI! The unprecedented demand we are experiencing across our product lines, and especially within our data center-focused transceiver products, is enabling us to make long-planned additions to our manufacturing capacity for optical transceivers and the laser chips that enable them. As a result, we are in the early stages of the largest expansion in our company’s 29 year history.</w:t>
      </w:r>
    </w:p>
    <w:p>
      <w:pPr>
        <w:spacing w:after="0" w:line="201" w:lineRule="exact"/>
        <w:rPr>
          <w:sz w:val="20"/>
          <w:szCs w:val="20"/>
          <w:color w:val="auto"/>
        </w:rPr>
      </w:pPr>
    </w:p>
    <w:p>
      <w:pPr>
        <w:jc w:val="both"/>
        <w:ind w:right="20"/>
        <w:spacing w:after="0" w:line="264" w:lineRule="auto"/>
        <w:rPr>
          <w:sz w:val="20"/>
          <w:szCs w:val="20"/>
          <w:color w:val="auto"/>
        </w:rPr>
      </w:pPr>
      <w:r>
        <w:rPr>
          <w:rFonts w:ascii="Arial" w:cs="Arial" w:eastAsia="Arial" w:hAnsi="Arial"/>
          <w:sz w:val="20"/>
          <w:szCs w:val="20"/>
          <w:color w:val="auto"/>
        </w:rPr>
        <w:t>When I wrote to you last year at this time, I talked about several initiatives, including the beginning of this capacity expansion, our plan to ramp production for our then newly- engaged hyperscale data center customers, and driving new production for our CATV products. I am very happy to report that not only has our team executed well on these initiatives, but the scope of our expansion has significantly increased since last year, based on new customer opportunities and expanding of our market share within our existing customer base.</w:t>
      </w:r>
    </w:p>
    <w:p>
      <w:pPr>
        <w:spacing w:after="0" w:line="200" w:lineRule="exact"/>
        <w:rPr>
          <w:sz w:val="20"/>
          <w:szCs w:val="20"/>
          <w:color w:val="auto"/>
        </w:rPr>
      </w:pPr>
    </w:p>
    <w:p>
      <w:pPr>
        <w:jc w:val="both"/>
        <w:ind w:right="20"/>
        <w:spacing w:after="0" w:line="261" w:lineRule="auto"/>
        <w:rPr>
          <w:sz w:val="20"/>
          <w:szCs w:val="20"/>
          <w:color w:val="auto"/>
        </w:rPr>
      </w:pPr>
      <w:r>
        <w:rPr>
          <w:rFonts w:ascii="Arial" w:cs="Arial" w:eastAsia="Arial" w:hAnsi="Arial"/>
          <w:sz w:val="20"/>
          <w:szCs w:val="20"/>
          <w:color w:val="auto"/>
        </w:rPr>
        <w:t>Two years ago in my letter to you, I discussed our view that US-based manufacturing was viewed favorably by our customers and that increasing our production in the US would be a key to our future success. I am pleased to report that we have also executed on that plan, having increased our square footage in the Houston area by more than 6.5x (from about 130,000 square feet to over 880,000 square feet as of the date I’m writing this). Over the past several years, we have purposefully developed and scaled automation across key elements of our production process, which has been essential to our ability to increase our capacity in the US. This increase is a critical step as we prepare for higher-volume production of our next generation datacenter products.</w:t>
      </w:r>
    </w:p>
    <w:p>
      <w:pPr>
        <w:spacing w:after="0" w:line="200" w:lineRule="exact"/>
        <w:rPr>
          <w:sz w:val="20"/>
          <w:szCs w:val="20"/>
          <w:color w:val="auto"/>
        </w:rPr>
      </w:pPr>
    </w:p>
    <w:p>
      <w:pPr>
        <w:spacing w:after="0" w:line="247" w:lineRule="exact"/>
        <w:rPr>
          <w:sz w:val="20"/>
          <w:szCs w:val="20"/>
          <w:color w:val="auto"/>
        </w:rPr>
      </w:pPr>
    </w:p>
    <w:p>
      <w:pPr>
        <w:jc w:val="both"/>
        <w:ind w:right="20"/>
        <w:spacing w:after="0" w:line="268" w:lineRule="auto"/>
        <w:rPr>
          <w:sz w:val="20"/>
          <w:szCs w:val="20"/>
          <w:color w:val="auto"/>
        </w:rPr>
      </w:pPr>
      <w:r>
        <w:rPr>
          <w:rFonts w:ascii="Arial" w:cs="Arial" w:eastAsia="Arial" w:hAnsi="Arial"/>
          <w:sz w:val="20"/>
          <w:szCs w:val="20"/>
          <w:color w:val="auto"/>
        </w:rPr>
        <w:t>We are well along in the build out of “Fab 2” near our long-time headquarters facility in Sugar Land, a project for which we have secured significant tax incentives from our City, County, and the State of Texas. They are all excited (as are we) to see the renaissance of optical manufacturing in the US and the associated innovation, job creation, and local enablement of the AI-data center supply chain.</w:t>
      </w:r>
    </w:p>
    <w:p>
      <w:pPr>
        <w:spacing w:after="0" w:line="195" w:lineRule="exact"/>
        <w:rPr>
          <w:sz w:val="20"/>
          <w:szCs w:val="20"/>
          <w:color w:val="auto"/>
        </w:rPr>
      </w:pPr>
    </w:p>
    <w:p>
      <w:pPr>
        <w:jc w:val="both"/>
        <w:ind w:right="20"/>
        <w:spacing w:after="0" w:line="267" w:lineRule="auto"/>
        <w:rPr>
          <w:sz w:val="20"/>
          <w:szCs w:val="20"/>
          <w:color w:val="auto"/>
        </w:rPr>
      </w:pPr>
      <w:r>
        <w:rPr>
          <w:rFonts w:ascii="Arial" w:cs="Arial" w:eastAsia="Arial" w:hAnsi="Arial"/>
          <w:sz w:val="20"/>
          <w:szCs w:val="20"/>
          <w:color w:val="auto"/>
        </w:rPr>
        <w:t>Over the next year, we will continue to work very hard to complete the build-out of these new facilities, which we expect to be fully operating at capacity by the end of next year. We expect to see a continual ramp in our overall production capability as portions of these facilities, along with our expanded capabilities at our Taiwan facility, come online and begin to contribute to revenue.</w:t>
      </w:r>
    </w:p>
    <w:p>
      <w:pPr>
        <w:spacing w:after="0" w:line="197"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Given the strong demand for our products, we’ve outlined some significant growth goals for our AOI. While inarguably ambitious, these are not targets which emerged suddenly, rather they emerged after years of planning, preparation, customer engagement, product development, and capital deployment. While we have faced uncertainties during the process of planning this expansion, we have taken the time necessary to reduce these uncertainties to a manageable level through careful study of our markets, frank and detailed discussions with our customers, supply-chain partners, and equipment suppliers, and innovation in product design and manufacturing techniques. We are not merely riding a wave, but we have deliberately built an engine that we believe can propel and sustain us for many years to come. We believe having a geographically diverse manufacturing footprint, combined with our vertical integration, positions us well to accelerate our growth this year and beyond. This is what our customers demand of us, and it is what we expect of ourselves.</w:t>
      </w:r>
    </w:p>
    <w:p>
      <w:pPr>
        <w:spacing w:after="0" w:line="364" w:lineRule="exact"/>
        <w:rPr>
          <w:sz w:val="20"/>
          <w:szCs w:val="20"/>
          <w:color w:val="auto"/>
        </w:rPr>
      </w:pPr>
    </w:p>
    <w:p>
      <w:pPr>
        <w:jc w:val="both"/>
        <w:ind w:right="20"/>
        <w:spacing w:after="0" w:line="300" w:lineRule="auto"/>
        <w:rPr>
          <w:sz w:val="20"/>
          <w:szCs w:val="20"/>
          <w:color w:val="auto"/>
        </w:rPr>
      </w:pPr>
      <w:r>
        <w:rPr>
          <w:rFonts w:ascii="Arial" w:cs="Arial" w:eastAsia="Arial" w:hAnsi="Arial"/>
          <w:sz w:val="19"/>
          <w:szCs w:val="19"/>
          <w:color w:val="auto"/>
        </w:rPr>
        <w:t>I’d like to close by thanking you, our shareholders, for your confidence in and support of AOI, particularly in our expansion plans. Every day, I and over 6,000 other AOI-ers come to work and do our very best to build a company worthy of the confidence which has been placed in us by you, our investors, our customers, and our fellow employees whose families and lives are built upon AOI’s success. We take this work seriously and I would be remiss indeed if I failed to thank all my fellow AOI team members for their hard work, diligent preparation, and dedication to excellence, all of which will be required in abundance as we continue our growth trajectory.</w:t>
      </w:r>
    </w:p>
    <w:p>
      <w:pPr>
        <w:spacing w:after="0" w:line="101"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wp:posOffset>
            </wp:positionV>
            <wp:extent cx="1143000" cy="3530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43000" cy="353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Thompson Lin, Founder, President and CEO</w:t>
      </w:r>
    </w:p>
    <w:p>
      <w:pPr>
        <w:spacing w:after="0" w:line="200" w:lineRule="exact"/>
        <w:rPr>
          <w:sz w:val="20"/>
          <w:szCs w:val="20"/>
          <w:color w:val="auto"/>
        </w:rPr>
      </w:pPr>
    </w:p>
    <w:p>
      <w:pPr>
        <w:spacing w:after="0" w:line="216"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highlight w:val="black"/>
        </w:rPr>
        <w:t>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-121285</wp:posOffset>
            </wp:positionV>
            <wp:extent cx="6018530" cy="296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18530" cy="296545"/>
                    </a:xfrm>
                    <a:prstGeom prst="rect">
                      <a:avLst/>
                    </a:prstGeom>
                    <a:noFill/>
                  </pic:spPr>
                </pic:pic>
              </a:graphicData>
            </a:graphic>
          </wp:anchor>
        </w:drawing>
      </w:r>
    </w:p>
    <w:p>
      <w:pPr>
        <w:sectPr>
          <w:pgSz w:w="11880" w:h="15480" w:orient="portrait"/>
          <w:cols w:equalWidth="0" w:num="1">
            <w:col w:w="9940"/>
          </w:cols>
          <w:pgMar w:left="980" w:top="667" w:right="960" w:bottom="6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UNITED STATES</w:t>
      </w:r>
    </w:p>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1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FORM 10-K</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(Mark One)</w:t>
      </w:r>
    </w:p>
    <w:p>
      <w:pPr>
        <w:spacing w:after="0" w:line="29" w:lineRule="exact"/>
        <w:rPr>
          <w:sz w:val="20"/>
          <w:szCs w:val="20"/>
          <w:color w:val="auto"/>
        </w:rPr>
      </w:pPr>
    </w:p>
    <w:p>
      <w:pPr>
        <w:ind w:left="3980" w:right="3140" w:hanging="3970"/>
        <w:spacing w:after="0" w:line="484" w:lineRule="auto"/>
        <w:tabs>
          <w:tab w:leader="none" w:pos="332"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ANNUAL REPORT PURSUANT TO SECTION 13 OR 15(d) OF THE SECURITIES EXCHANGE ACT OF 1934 For the fiscal year ended December 31, 2025</w:t>
      </w:r>
    </w:p>
    <w:p>
      <w:pPr>
        <w:ind w:left="5260"/>
        <w:spacing w:after="0"/>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OR</w:t>
      </w:r>
    </w:p>
    <w:p>
      <w:pPr>
        <w:spacing w:after="0" w:line="178" w:lineRule="exact"/>
        <w:rPr>
          <w:sz w:val="20"/>
          <w:szCs w:val="20"/>
          <w:color w:val="auto"/>
        </w:rPr>
      </w:pPr>
    </w:p>
    <w:p>
      <w:pPr>
        <w:ind w:left="340" w:hanging="330"/>
        <w:spacing w:after="0"/>
        <w:tabs>
          <w:tab w:leader="none" w:pos="340" w:val="left"/>
        </w:tabs>
        <w:numPr>
          <w:ilvl w:val="0"/>
          <w:numId w:val="2"/>
        </w:numPr>
        <w:rPr>
          <w:rFonts w:ascii="MS PGothic" w:cs="MS PGothic" w:eastAsia="MS PGothic" w:hAnsi="MS PGothic"/>
          <w:sz w:val="15"/>
          <w:szCs w:val="15"/>
          <w:b w:val="1"/>
          <w:bCs w:val="1"/>
          <w:color w:val="auto"/>
        </w:rPr>
      </w:pPr>
      <w:r>
        <w:rPr>
          <w:rFonts w:ascii="Times New Roman" w:cs="Times New Roman" w:eastAsia="Times New Roman" w:hAnsi="Times New Roman"/>
          <w:sz w:val="15"/>
          <w:szCs w:val="15"/>
          <w:b w:val="1"/>
          <w:bCs w:val="1"/>
          <w:color w:val="auto"/>
        </w:rPr>
        <w:t>TRANSITION REPORT PURSUANT TO SECTION 13 OR 15(d) OF THE SECURITIES EXCHANGE ACT OF 1934</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520" w:type="dxa"/>
            <w:vAlign w:val="bottom"/>
          </w:tcPr>
          <w:p>
            <w:pPr>
              <w:spacing w:after="0"/>
              <w:rPr>
                <w:sz w:val="15"/>
                <w:szCs w:val="15"/>
                <w:color w:val="auto"/>
              </w:rPr>
            </w:pPr>
          </w:p>
        </w:tc>
        <w:tc>
          <w:tcPr>
            <w:tcW w:w="2040" w:type="dxa"/>
            <w:vAlign w:val="bottom"/>
          </w:tcPr>
          <w:p>
            <w:pPr>
              <w:ind w:left="60"/>
              <w:spacing w:after="0"/>
              <w:rPr>
                <w:sz w:val="20"/>
                <w:szCs w:val="20"/>
                <w:color w:val="auto"/>
              </w:rPr>
            </w:pPr>
            <w:r>
              <w:rPr>
                <w:rFonts w:ascii="Times New Roman" w:cs="Times New Roman" w:eastAsia="Times New Roman" w:hAnsi="Times New Roman"/>
                <w:sz w:val="15"/>
                <w:szCs w:val="15"/>
                <w:b w:val="1"/>
                <w:bCs w:val="1"/>
                <w:color w:val="auto"/>
              </w:rPr>
              <w:t>For the transition period from</w:t>
            </w:r>
          </w:p>
        </w:tc>
        <w:tc>
          <w:tcPr>
            <w:tcW w:w="7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w:t>
            </w:r>
          </w:p>
        </w:tc>
        <w:tc>
          <w:tcPr>
            <w:tcW w:w="720" w:type="dxa"/>
            <w:vAlign w:val="bottom"/>
            <w:tcBorders>
              <w:bottom w:val="single" w:sz="8" w:color="auto"/>
            </w:tcBorders>
          </w:tcPr>
          <w:p>
            <w:pPr>
              <w:spacing w:after="0"/>
              <w:rPr>
                <w:sz w:val="15"/>
                <w:szCs w:val="15"/>
                <w:color w:val="auto"/>
              </w:rPr>
            </w:pPr>
          </w:p>
        </w:tc>
        <w:tc>
          <w:tcPr>
            <w:tcW w:w="3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7"/>
        </w:trPr>
        <w:tc>
          <w:tcPr>
            <w:tcW w:w="3520" w:type="dxa"/>
            <w:vAlign w:val="bottom"/>
          </w:tcPr>
          <w:p>
            <w:pPr>
              <w:spacing w:after="0"/>
              <w:rPr>
                <w:sz w:val="24"/>
                <w:szCs w:val="24"/>
                <w:color w:val="auto"/>
              </w:rPr>
            </w:pPr>
          </w:p>
        </w:tc>
        <w:tc>
          <w:tcPr>
            <w:tcW w:w="7280" w:type="dxa"/>
            <w:vAlign w:val="bottom"/>
            <w:gridSpan w:val="6"/>
          </w:tcPr>
          <w:p>
            <w:pPr>
              <w:jc w:val="center"/>
              <w:ind w:right="3464"/>
              <w:spacing w:after="0"/>
              <w:rPr>
                <w:sz w:val="20"/>
                <w:szCs w:val="20"/>
                <w:color w:val="auto"/>
              </w:rPr>
            </w:pPr>
            <w:r>
              <w:rPr>
                <w:rFonts w:ascii="Times New Roman" w:cs="Times New Roman" w:eastAsia="Times New Roman" w:hAnsi="Times New Roman"/>
                <w:sz w:val="15"/>
                <w:szCs w:val="15"/>
                <w:b w:val="1"/>
                <w:bCs w:val="1"/>
                <w:color w:val="auto"/>
              </w:rPr>
              <w:t>Commission File Number: 001-36083</w:t>
            </w:r>
          </w:p>
        </w:tc>
        <w:tc>
          <w:tcPr>
            <w:tcW w:w="0" w:type="dxa"/>
            <w:vAlign w:val="bottom"/>
          </w:tcPr>
          <w:p>
            <w:pPr>
              <w:spacing w:after="0"/>
              <w:rPr>
                <w:sz w:val="1"/>
                <w:szCs w:val="1"/>
                <w:color w:val="auto"/>
              </w:rPr>
            </w:pPr>
          </w:p>
        </w:tc>
      </w:tr>
      <w:tr>
        <w:trPr>
          <w:trHeight w:val="308"/>
        </w:trPr>
        <w:tc>
          <w:tcPr>
            <w:tcW w:w="3520" w:type="dxa"/>
            <w:vAlign w:val="bottom"/>
          </w:tcPr>
          <w:p>
            <w:pPr>
              <w:spacing w:after="0"/>
              <w:rPr>
                <w:sz w:val="24"/>
                <w:szCs w:val="24"/>
                <w:color w:val="auto"/>
              </w:rPr>
            </w:pPr>
          </w:p>
        </w:tc>
        <w:tc>
          <w:tcPr>
            <w:tcW w:w="2820" w:type="dxa"/>
            <w:vAlign w:val="bottom"/>
            <w:gridSpan w:val="3"/>
          </w:tcPr>
          <w:p>
            <w:pPr>
              <w:jc w:val="center"/>
              <w:ind w:left="824"/>
              <w:spacing w:after="0"/>
              <w:rPr>
                <w:sz w:val="20"/>
                <w:szCs w:val="20"/>
                <w:color w:val="auto"/>
              </w:rPr>
            </w:pPr>
            <w:r>
              <w:rPr>
                <w:rFonts w:ascii="Times New Roman" w:cs="Times New Roman" w:eastAsia="Times New Roman" w:hAnsi="Times New Roman"/>
                <w:sz w:val="15"/>
                <w:szCs w:val="15"/>
                <w:b w:val="1"/>
                <w:bCs w:val="1"/>
                <w:color w:val="auto"/>
              </w:rPr>
              <w:t>Applied Optoelectronics, Inc.</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3520" w:type="dxa"/>
            <w:vAlign w:val="bottom"/>
          </w:tcPr>
          <w:p>
            <w:pPr>
              <w:spacing w:after="0"/>
              <w:rPr>
                <w:sz w:val="15"/>
                <w:szCs w:val="15"/>
                <w:color w:val="auto"/>
              </w:rPr>
            </w:pPr>
          </w:p>
        </w:tc>
        <w:tc>
          <w:tcPr>
            <w:tcW w:w="7280" w:type="dxa"/>
            <w:vAlign w:val="bottom"/>
            <w:gridSpan w:val="6"/>
          </w:tcPr>
          <w:p>
            <w:pPr>
              <w:ind w:left="160"/>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tc>
        <w:tc>
          <w:tcPr>
            <w:tcW w:w="0" w:type="dxa"/>
            <w:vAlign w:val="bottom"/>
          </w:tcPr>
          <w:p>
            <w:pPr>
              <w:spacing w:after="0"/>
              <w:rPr>
                <w:sz w:val="1"/>
                <w:szCs w:val="1"/>
                <w:color w:val="auto"/>
              </w:rPr>
            </w:pPr>
          </w:p>
        </w:tc>
      </w:tr>
      <w:tr>
        <w:trPr>
          <w:trHeight w:val="182"/>
        </w:trPr>
        <w:tc>
          <w:tcPr>
            <w:tcW w:w="3520" w:type="dxa"/>
            <w:vAlign w:val="bottom"/>
          </w:tcPr>
          <w:p>
            <w:pPr>
              <w:jc w:val="center"/>
              <w:ind w:left="1804"/>
              <w:spacing w:after="0"/>
              <w:rPr>
                <w:sz w:val="20"/>
                <w:szCs w:val="20"/>
                <w:color w:val="auto"/>
              </w:rPr>
            </w:pPr>
            <w:r>
              <w:rPr>
                <w:rFonts w:ascii="Times New Roman" w:cs="Times New Roman" w:eastAsia="Times New Roman" w:hAnsi="Times New Roman"/>
                <w:sz w:val="15"/>
                <w:szCs w:val="15"/>
                <w:b w:val="1"/>
                <w:bCs w:val="1"/>
                <w:color w:val="auto"/>
                <w:w w:val="98"/>
              </w:rPr>
              <w:t>Delaware</w:t>
            </w:r>
          </w:p>
        </w:tc>
        <w:tc>
          <w:tcPr>
            <w:tcW w:w="20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60" w:type="dxa"/>
            <w:vAlign w:val="bottom"/>
            <w:gridSpan w:val="3"/>
          </w:tcPr>
          <w:p>
            <w:pPr>
              <w:jc w:val="right"/>
              <w:ind w:right="2264"/>
              <w:spacing w:after="0"/>
              <w:rPr>
                <w:sz w:val="20"/>
                <w:szCs w:val="20"/>
                <w:color w:val="auto"/>
              </w:rPr>
            </w:pPr>
            <w:r>
              <w:rPr>
                <w:rFonts w:ascii="Times New Roman" w:cs="Times New Roman" w:eastAsia="Times New Roman" w:hAnsi="Times New Roman"/>
                <w:sz w:val="15"/>
                <w:szCs w:val="15"/>
                <w:b w:val="1"/>
                <w:bCs w:val="1"/>
                <w:color w:val="auto"/>
              </w:rPr>
              <w:t>76-0533927</w:t>
            </w:r>
          </w:p>
        </w:tc>
        <w:tc>
          <w:tcPr>
            <w:tcW w:w="0" w:type="dxa"/>
            <w:vAlign w:val="bottom"/>
          </w:tcPr>
          <w:p>
            <w:pPr>
              <w:spacing w:after="0"/>
              <w:rPr>
                <w:sz w:val="1"/>
                <w:szCs w:val="1"/>
                <w:color w:val="auto"/>
              </w:rPr>
            </w:pPr>
          </w:p>
        </w:tc>
      </w:tr>
      <w:tr>
        <w:trPr>
          <w:trHeight w:val="177"/>
        </w:trPr>
        <w:tc>
          <w:tcPr>
            <w:tcW w:w="6340" w:type="dxa"/>
            <w:vAlign w:val="bottom"/>
            <w:gridSpan w:val="4"/>
          </w:tcPr>
          <w:p>
            <w:pPr>
              <w:jc w:val="center"/>
              <w:ind w:right="940"/>
              <w:spacing w:after="0"/>
              <w:rPr>
                <w:sz w:val="20"/>
                <w:szCs w:val="20"/>
                <w:color w:val="auto"/>
              </w:rPr>
            </w:pPr>
            <w:r>
              <w:rPr>
                <w:rFonts w:ascii="Times New Roman" w:cs="Times New Roman" w:eastAsia="Times New Roman" w:hAnsi="Times New Roman"/>
                <w:sz w:val="15"/>
                <w:szCs w:val="15"/>
                <w:b w:val="1"/>
                <w:bCs w:val="1"/>
                <w:color w:val="auto"/>
              </w:rPr>
              <w:t>(State or other jurisdiction of incorporation or organization)</w:t>
            </w:r>
          </w:p>
        </w:tc>
        <w:tc>
          <w:tcPr>
            <w:tcW w:w="160" w:type="dxa"/>
            <w:vAlign w:val="bottom"/>
          </w:tcPr>
          <w:p>
            <w:pPr>
              <w:spacing w:after="0"/>
              <w:rPr>
                <w:sz w:val="15"/>
                <w:szCs w:val="15"/>
                <w:color w:val="auto"/>
              </w:rPr>
            </w:pPr>
          </w:p>
        </w:tc>
        <w:tc>
          <w:tcPr>
            <w:tcW w:w="4300" w:type="dxa"/>
            <w:vAlign w:val="bottom"/>
            <w:gridSpan w:val="2"/>
          </w:tcPr>
          <w:p>
            <w:pPr>
              <w:jc w:val="center"/>
              <w:ind w:right="1004"/>
              <w:spacing w:after="0"/>
              <w:rPr>
                <w:sz w:val="20"/>
                <w:szCs w:val="20"/>
                <w:color w:val="auto"/>
              </w:rPr>
            </w:pPr>
            <w:r>
              <w:rPr>
                <w:rFonts w:ascii="Times New Roman" w:cs="Times New Roman" w:eastAsia="Times New Roman" w:hAnsi="Times New Roman"/>
                <w:sz w:val="15"/>
                <w:szCs w:val="15"/>
                <w:b w:val="1"/>
                <w:bCs w:val="1"/>
                <w:color w:val="auto"/>
              </w:rPr>
              <w:t>(I.R.S. Employer Identification No.)</w:t>
            </w:r>
          </w:p>
        </w:tc>
        <w:tc>
          <w:tcPr>
            <w:tcW w:w="0" w:type="dxa"/>
            <w:vAlign w:val="bottom"/>
          </w:tcPr>
          <w:p>
            <w:pPr>
              <w:spacing w:after="0"/>
              <w:rPr>
                <w:sz w:val="1"/>
                <w:szCs w:val="1"/>
                <w:color w:val="auto"/>
              </w:rPr>
            </w:pPr>
          </w:p>
        </w:tc>
      </w:tr>
      <w:tr>
        <w:trPr>
          <w:trHeight w:val="173"/>
        </w:trPr>
        <w:tc>
          <w:tcPr>
            <w:tcW w:w="3520" w:type="dxa"/>
            <w:vAlign w:val="bottom"/>
          </w:tcPr>
          <w:p>
            <w:pPr>
              <w:spacing w:after="0"/>
              <w:rPr>
                <w:sz w:val="15"/>
                <w:szCs w:val="15"/>
                <w:color w:val="auto"/>
              </w:rPr>
            </w:pPr>
          </w:p>
        </w:tc>
        <w:tc>
          <w:tcPr>
            <w:tcW w:w="2820" w:type="dxa"/>
            <w:vAlign w:val="bottom"/>
            <w:gridSpan w:val="3"/>
          </w:tcPr>
          <w:p>
            <w:pPr>
              <w:jc w:val="center"/>
              <w:ind w:left="824"/>
              <w:spacing w:after="0"/>
              <w:rPr>
                <w:sz w:val="20"/>
                <w:szCs w:val="20"/>
                <w:color w:val="auto"/>
              </w:rPr>
            </w:pPr>
            <w:r>
              <w:rPr>
                <w:rFonts w:ascii="Times New Roman" w:cs="Times New Roman" w:eastAsia="Times New Roman" w:hAnsi="Times New Roman"/>
                <w:sz w:val="15"/>
                <w:szCs w:val="15"/>
                <w:b w:val="1"/>
                <w:bCs w:val="1"/>
                <w:color w:val="auto"/>
                <w:w w:val="99"/>
              </w:rPr>
              <w:t>13139 Jess Pirtle Blvd.</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520" w:type="dxa"/>
            <w:vAlign w:val="bottom"/>
          </w:tcPr>
          <w:p>
            <w:pPr>
              <w:spacing w:after="0"/>
              <w:rPr>
                <w:sz w:val="15"/>
                <w:szCs w:val="15"/>
                <w:color w:val="auto"/>
              </w:rPr>
            </w:pPr>
          </w:p>
        </w:tc>
        <w:tc>
          <w:tcPr>
            <w:tcW w:w="2820" w:type="dxa"/>
            <w:vAlign w:val="bottom"/>
            <w:gridSpan w:val="3"/>
          </w:tcPr>
          <w:p>
            <w:pPr>
              <w:jc w:val="center"/>
              <w:ind w:left="884"/>
              <w:spacing w:after="0"/>
              <w:rPr>
                <w:sz w:val="20"/>
                <w:szCs w:val="20"/>
                <w:color w:val="auto"/>
              </w:rPr>
            </w:pPr>
            <w:r>
              <w:rPr>
                <w:rFonts w:ascii="Times New Roman" w:cs="Times New Roman" w:eastAsia="Times New Roman" w:hAnsi="Times New Roman"/>
                <w:sz w:val="15"/>
                <w:szCs w:val="15"/>
                <w:b w:val="1"/>
                <w:bCs w:val="1"/>
                <w:color w:val="auto"/>
              </w:rPr>
              <w:t>Sugar Land, TX 77478</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520" w:type="dxa"/>
            <w:vAlign w:val="bottom"/>
          </w:tcPr>
          <w:p>
            <w:pPr>
              <w:spacing w:after="0"/>
              <w:rPr>
                <w:sz w:val="18"/>
                <w:szCs w:val="18"/>
                <w:color w:val="auto"/>
              </w:rPr>
            </w:pPr>
          </w:p>
        </w:tc>
        <w:tc>
          <w:tcPr>
            <w:tcW w:w="7280" w:type="dxa"/>
            <w:vAlign w:val="bottom"/>
            <w:gridSpan w:val="6"/>
          </w:tcPr>
          <w:p>
            <w:pPr>
              <w:jc w:val="center"/>
              <w:ind w:right="3484"/>
              <w:spacing w:after="0"/>
              <w:rPr>
                <w:sz w:val="20"/>
                <w:szCs w:val="20"/>
                <w:color w:val="auto"/>
              </w:rPr>
            </w:pPr>
            <w:r>
              <w:rPr>
                <w:rFonts w:ascii="Times New Roman" w:cs="Times New Roman" w:eastAsia="Times New Roman" w:hAnsi="Times New Roman"/>
                <w:sz w:val="15"/>
                <w:szCs w:val="15"/>
                <w:b w:val="1"/>
                <w:bCs w:val="1"/>
                <w:color w:val="auto"/>
                <w:w w:val="99"/>
              </w:rPr>
              <w:t>(Address of principal executive offices)</w:t>
            </w:r>
          </w:p>
        </w:tc>
        <w:tc>
          <w:tcPr>
            <w:tcW w:w="0" w:type="dxa"/>
            <w:vAlign w:val="bottom"/>
          </w:tcPr>
          <w:p>
            <w:pPr>
              <w:spacing w:after="0"/>
              <w:rPr>
                <w:sz w:val="1"/>
                <w:szCs w:val="1"/>
                <w:color w:val="auto"/>
              </w:rPr>
            </w:pPr>
          </w:p>
        </w:tc>
      </w:tr>
      <w:tr>
        <w:trPr>
          <w:trHeight w:val="311"/>
        </w:trPr>
        <w:tc>
          <w:tcPr>
            <w:tcW w:w="3520" w:type="dxa"/>
            <w:vAlign w:val="bottom"/>
          </w:tcPr>
          <w:p>
            <w:pPr>
              <w:spacing w:after="0"/>
              <w:rPr>
                <w:sz w:val="24"/>
                <w:szCs w:val="24"/>
                <w:color w:val="auto"/>
              </w:rPr>
            </w:pPr>
          </w:p>
        </w:tc>
        <w:tc>
          <w:tcPr>
            <w:tcW w:w="2780" w:type="dxa"/>
            <w:vAlign w:val="bottom"/>
            <w:gridSpan w:val="2"/>
          </w:tcPr>
          <w:p>
            <w:pPr>
              <w:jc w:val="center"/>
              <w:ind w:left="884"/>
              <w:spacing w:after="0"/>
              <w:rPr>
                <w:sz w:val="20"/>
                <w:szCs w:val="20"/>
                <w:color w:val="auto"/>
              </w:rPr>
            </w:pPr>
            <w:r>
              <w:rPr>
                <w:rFonts w:ascii="Times New Roman" w:cs="Times New Roman" w:eastAsia="Times New Roman" w:hAnsi="Times New Roman"/>
                <w:sz w:val="15"/>
                <w:szCs w:val="15"/>
                <w:b w:val="1"/>
                <w:bCs w:val="1"/>
                <w:color w:val="auto"/>
              </w:rPr>
              <w:t>(281) 295-1800</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352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tc>
        <w:tc>
          <w:tcPr>
            <w:tcW w:w="7280" w:type="dxa"/>
            <w:vAlign w:val="bottom"/>
            <w:gridSpan w:val="6"/>
          </w:tcPr>
          <w:p>
            <w:pPr>
              <w:jc w:val="center"/>
              <w:ind w:right="3524"/>
              <w:spacing w:after="0"/>
              <w:rPr>
                <w:sz w:val="20"/>
                <w:szCs w:val="20"/>
                <w:color w:val="auto"/>
              </w:rPr>
            </w:pPr>
            <w:r>
              <w:rPr>
                <w:rFonts w:ascii="Times New Roman" w:cs="Times New Roman" w:eastAsia="Times New Roman" w:hAnsi="Times New Roman"/>
                <w:sz w:val="15"/>
                <w:szCs w:val="15"/>
                <w:b w:val="1"/>
                <w:bCs w:val="1"/>
                <w:color w:val="auto"/>
                <w:w w:val="99"/>
              </w:rPr>
              <w:t>(Registrant’s telephone number)</w:t>
            </w:r>
          </w:p>
        </w:tc>
        <w:tc>
          <w:tcPr>
            <w:tcW w:w="0" w:type="dxa"/>
            <w:vAlign w:val="bottom"/>
          </w:tcPr>
          <w:p>
            <w:pPr>
              <w:spacing w:after="0"/>
              <w:rPr>
                <w:sz w:val="1"/>
                <w:szCs w:val="1"/>
                <w:color w:val="auto"/>
              </w:rPr>
            </w:pPr>
          </w:p>
        </w:tc>
      </w:tr>
      <w:tr>
        <w:trPr>
          <w:trHeight w:val="143"/>
        </w:trPr>
        <w:tc>
          <w:tcPr>
            <w:tcW w:w="3520" w:type="dxa"/>
            <w:vAlign w:val="bottom"/>
            <w:vMerge w:val="continue"/>
          </w:tcPr>
          <w:p>
            <w:pPr>
              <w:spacing w:after="0"/>
              <w:rPr>
                <w:sz w:val="12"/>
                <w:szCs w:val="12"/>
                <w:color w:val="auto"/>
              </w:rPr>
            </w:pPr>
          </w:p>
        </w:tc>
        <w:tc>
          <w:tcPr>
            <w:tcW w:w="2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20" w:type="dxa"/>
            <w:vAlign w:val="bottom"/>
            <w:tcBorders>
              <w:bottom w:val="single" w:sz="8" w:color="auto"/>
            </w:tcBorders>
          </w:tcPr>
          <w:p>
            <w:pPr>
              <w:jc w:val="center"/>
              <w:ind w:left="724"/>
              <w:spacing w:after="0"/>
              <w:rPr>
                <w:sz w:val="20"/>
                <w:szCs w:val="20"/>
                <w:color w:val="auto"/>
              </w:rPr>
            </w:pPr>
            <w:r>
              <w:rPr>
                <w:rFonts w:ascii="Times New Roman" w:cs="Times New Roman" w:eastAsia="Times New Roman" w:hAnsi="Times New Roman"/>
                <w:sz w:val="15"/>
                <w:szCs w:val="15"/>
                <w:color w:val="auto"/>
                <w:w w:val="99"/>
              </w:rPr>
              <w:t>Title of each class</w:t>
            </w:r>
          </w:p>
        </w:tc>
        <w:tc>
          <w:tcPr>
            <w:tcW w:w="2820" w:type="dxa"/>
            <w:vAlign w:val="bottom"/>
            <w:tcBorders>
              <w:bottom w:val="single" w:sz="8" w:color="auto"/>
            </w:tcBorders>
            <w:gridSpan w:val="3"/>
          </w:tcPr>
          <w:p>
            <w:pPr>
              <w:jc w:val="center"/>
              <w:ind w:left="884"/>
              <w:spacing w:after="0"/>
              <w:rPr>
                <w:sz w:val="20"/>
                <w:szCs w:val="20"/>
                <w:color w:val="auto"/>
              </w:rPr>
            </w:pPr>
            <w:r>
              <w:rPr>
                <w:rFonts w:ascii="Times New Roman" w:cs="Times New Roman" w:eastAsia="Times New Roman" w:hAnsi="Times New Roman"/>
                <w:sz w:val="15"/>
                <w:szCs w:val="15"/>
                <w:color w:val="auto"/>
              </w:rPr>
              <w:t>Trading Symbol(s)</w:t>
            </w:r>
          </w:p>
        </w:tc>
        <w:tc>
          <w:tcPr>
            <w:tcW w:w="160" w:type="dxa"/>
            <w:vAlign w:val="bottom"/>
            <w:tcBorders>
              <w:bottom w:val="single" w:sz="8" w:color="auto"/>
            </w:tcBorders>
          </w:tcPr>
          <w:p>
            <w:pPr>
              <w:spacing w:after="0"/>
              <w:rPr>
                <w:sz w:val="18"/>
                <w:szCs w:val="18"/>
                <w:color w:val="auto"/>
              </w:rPr>
            </w:pPr>
          </w:p>
        </w:tc>
        <w:tc>
          <w:tcPr>
            <w:tcW w:w="43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color w:val="auto"/>
              </w:rPr>
              <w:t>Trading Name of each exchange on which registered</w:t>
            </w:r>
          </w:p>
        </w:tc>
        <w:tc>
          <w:tcPr>
            <w:tcW w:w="0" w:type="dxa"/>
            <w:vAlign w:val="bottom"/>
          </w:tcPr>
          <w:p>
            <w:pPr>
              <w:spacing w:after="0"/>
              <w:rPr>
                <w:sz w:val="1"/>
                <w:szCs w:val="1"/>
                <w:color w:val="auto"/>
              </w:rPr>
            </w:pPr>
          </w:p>
        </w:tc>
      </w:tr>
      <w:tr>
        <w:trPr>
          <w:trHeight w:val="203"/>
        </w:trPr>
        <w:tc>
          <w:tcPr>
            <w:tcW w:w="3520" w:type="dxa"/>
            <w:vAlign w:val="bottom"/>
          </w:tcPr>
          <w:p>
            <w:pPr>
              <w:jc w:val="center"/>
              <w:ind w:left="744"/>
              <w:spacing w:after="0"/>
              <w:rPr>
                <w:sz w:val="20"/>
                <w:szCs w:val="20"/>
                <w:color w:val="auto"/>
              </w:rPr>
            </w:pPr>
            <w:r>
              <w:rPr>
                <w:rFonts w:ascii="Times New Roman" w:cs="Times New Roman" w:eastAsia="Times New Roman" w:hAnsi="Times New Roman"/>
                <w:sz w:val="15"/>
                <w:szCs w:val="15"/>
                <w:color w:val="auto"/>
                <w:w w:val="99"/>
              </w:rPr>
              <w:t>Common Stock, Par value $0.001</w:t>
            </w:r>
          </w:p>
        </w:tc>
        <w:tc>
          <w:tcPr>
            <w:tcW w:w="2820" w:type="dxa"/>
            <w:vAlign w:val="bottom"/>
            <w:gridSpan w:val="3"/>
          </w:tcPr>
          <w:p>
            <w:pPr>
              <w:jc w:val="center"/>
              <w:ind w:left="884"/>
              <w:spacing w:after="0"/>
              <w:rPr>
                <w:sz w:val="20"/>
                <w:szCs w:val="20"/>
                <w:color w:val="auto"/>
              </w:rPr>
            </w:pPr>
            <w:r>
              <w:rPr>
                <w:rFonts w:ascii="Times New Roman" w:cs="Times New Roman" w:eastAsia="Times New Roman" w:hAnsi="Times New Roman"/>
                <w:sz w:val="15"/>
                <w:szCs w:val="15"/>
                <w:color w:val="auto"/>
              </w:rPr>
              <w:t>AAOI</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580" w:type="dxa"/>
            <w:vAlign w:val="bottom"/>
          </w:tcPr>
          <w:p>
            <w:pPr>
              <w:jc w:val="center"/>
              <w:ind w:right="644"/>
              <w:spacing w:after="0"/>
              <w:rPr>
                <w:sz w:val="20"/>
                <w:szCs w:val="20"/>
                <w:color w:val="auto"/>
              </w:rPr>
            </w:pPr>
            <w:r>
              <w:rPr>
                <w:rFonts w:ascii="Times New Roman" w:cs="Times New Roman" w:eastAsia="Times New Roman" w:hAnsi="Times New Roman"/>
                <w:sz w:val="15"/>
                <w:szCs w:val="15"/>
                <w:color w:val="auto"/>
                <w:w w:val="99"/>
              </w:rPr>
              <w:t>NASDAQ Global Market</w:t>
            </w: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color w:val="auto"/>
        </w:rPr>
        <w:t>Securities registered pursuant to Section 12(g) of the Act: None</w:t>
      </w:r>
    </w:p>
    <w:p>
      <w:pPr>
        <w:spacing w:after="0" w:line="125" w:lineRule="exact"/>
        <w:rPr>
          <w:sz w:val="20"/>
          <w:szCs w:val="20"/>
          <w:color w:val="auto"/>
        </w:rPr>
      </w:pPr>
    </w:p>
    <w:p>
      <w:pPr>
        <w:ind w:left="440" w:right="1920"/>
        <w:spacing w:after="0" w:line="358" w:lineRule="exact"/>
        <w:rPr>
          <w:sz w:val="20"/>
          <w:szCs w:val="20"/>
          <w:color w:val="auto"/>
        </w:rPr>
      </w:pPr>
      <w:r>
        <w:rPr>
          <w:rFonts w:ascii="Times New Roman" w:cs="Times New Roman" w:eastAsia="Times New Roman" w:hAnsi="Times New Roman"/>
          <w:sz w:val="15"/>
          <w:szCs w:val="15"/>
          <w:color w:val="auto"/>
        </w:rPr>
        <w:t xml:space="preserve">Indicate by check mark if the registrant is a well-known seasoned issuer, as defined in Rule 405 of the Securities Act of 1933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Indicate by check mark if the registrant is not required to file reports pursuant to Section 13 or Section 15(d) of the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76" w:lineRule="exact"/>
        <w:rPr>
          <w:sz w:val="20"/>
          <w:szCs w:val="20"/>
          <w:color w:val="auto"/>
        </w:rPr>
      </w:pPr>
    </w:p>
    <w:p>
      <w:pPr>
        <w:ind w:right="600" w:firstLine="432"/>
        <w:spacing w:after="0" w:line="244"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73" w:lineRule="exact"/>
        <w:rPr>
          <w:sz w:val="20"/>
          <w:szCs w:val="20"/>
          <w:color w:val="auto"/>
        </w:rPr>
      </w:pPr>
      <w:r>
        <w:rPr>
          <w:rFonts w:ascii="Times New Roman" w:cs="Times New Roman" w:eastAsia="Times New Roman" w:hAnsi="Times New Roman"/>
          <w:sz w:val="15"/>
          <w:szCs w:val="15"/>
          <w:color w:val="auto"/>
        </w:rPr>
        <w:t xml:space="preserve">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215" w:lineRule="exact"/>
        <w:rPr>
          <w:sz w:val="20"/>
          <w:szCs w:val="20"/>
          <w:color w:val="auto"/>
        </w:rPr>
      </w:pPr>
    </w:p>
    <w:p>
      <w:pPr>
        <w:ind w:right="180" w:firstLine="432"/>
        <w:spacing w:after="0" w:line="235"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76" w:lineRule="exact"/>
        <w:rPr>
          <w:sz w:val="20"/>
          <w:szCs w:val="20"/>
          <w:color w:val="auto"/>
        </w:rPr>
      </w:pPr>
    </w:p>
    <w:p>
      <w:pPr>
        <w:ind w:right="160" w:firstLine="432"/>
        <w:spacing w:after="0" w:line="250"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and “smaller reporting company” and “emerging growth company” in Rule 12b-2 of the Exchange Act.</w:t>
      </w:r>
    </w:p>
    <w:tbl>
      <w:tblPr>
        <w:tblLayout w:type="fixed"/>
        <w:tblInd w:w="720" w:type="dxa"/>
        <w:tblCellMar>
          <w:top w:w="0" w:type="dxa"/>
          <w:left w:w="0" w:type="dxa"/>
          <w:bottom w:w="0" w:type="dxa"/>
          <w:right w:w="0" w:type="dxa"/>
        </w:tblCellMar>
      </w:tblPr>
      <w:tr>
        <w:trPr>
          <w:trHeight w:val="167"/>
        </w:trPr>
        <w:tc>
          <w:tcPr>
            <w:tcW w:w="1900" w:type="dxa"/>
            <w:vAlign w:val="bottom"/>
          </w:tcPr>
          <w:p>
            <w:pPr>
              <w:spacing w:after="0" w:line="167" w:lineRule="exact"/>
              <w:rPr>
                <w:sz w:val="20"/>
                <w:szCs w:val="20"/>
                <w:color w:val="auto"/>
              </w:rPr>
            </w:pPr>
            <w:r>
              <w:rPr>
                <w:rFonts w:ascii="Times New Roman" w:cs="Times New Roman" w:eastAsia="Times New Roman" w:hAnsi="Times New Roman"/>
                <w:sz w:val="15"/>
                <w:szCs w:val="15"/>
                <w:color w:val="auto"/>
              </w:rPr>
              <w:t>Large accelerated filer</w:t>
            </w:r>
          </w:p>
        </w:tc>
        <w:tc>
          <w:tcPr>
            <w:tcW w:w="1500" w:type="dxa"/>
            <w:vAlign w:val="bottom"/>
          </w:tcPr>
          <w:p>
            <w:pPr>
              <w:ind w:left="520"/>
              <w:spacing w:after="0" w:line="151" w:lineRule="exact"/>
              <w:rPr>
                <w:sz w:val="20"/>
                <w:szCs w:val="20"/>
                <w:color w:val="auto"/>
              </w:rPr>
            </w:pPr>
            <w:r>
              <w:rPr>
                <w:rFonts w:ascii="MS PGothic" w:cs="MS PGothic" w:eastAsia="MS PGothic" w:hAnsi="MS PGothic"/>
                <w:sz w:val="15"/>
                <w:szCs w:val="15"/>
                <w:color w:val="auto"/>
              </w:rPr>
              <w:t>☒</w:t>
            </w:r>
          </w:p>
        </w:tc>
        <w:tc>
          <w:tcPr>
            <w:tcW w:w="3260" w:type="dxa"/>
            <w:vAlign w:val="bottom"/>
          </w:tcPr>
          <w:p>
            <w:pPr>
              <w:ind w:left="860"/>
              <w:spacing w:after="0" w:line="167" w:lineRule="exact"/>
              <w:rPr>
                <w:sz w:val="20"/>
                <w:szCs w:val="20"/>
                <w:color w:val="auto"/>
              </w:rPr>
            </w:pPr>
            <w:r>
              <w:rPr>
                <w:rFonts w:ascii="Times New Roman" w:cs="Times New Roman" w:eastAsia="Times New Roman" w:hAnsi="Times New Roman"/>
                <w:sz w:val="15"/>
                <w:szCs w:val="15"/>
                <w:color w:val="auto"/>
              </w:rPr>
              <w:t>Accelerated filer</w:t>
            </w:r>
          </w:p>
        </w:tc>
        <w:tc>
          <w:tcPr>
            <w:tcW w:w="860" w:type="dxa"/>
            <w:vAlign w:val="bottom"/>
          </w:tcPr>
          <w:p>
            <w:pPr>
              <w:ind w:left="7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9"/>
        </w:trPr>
        <w:tc>
          <w:tcPr>
            <w:tcW w:w="190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1500" w:type="dxa"/>
            <w:vAlign w:val="bottom"/>
          </w:tcPr>
          <w:p>
            <w:pPr>
              <w:ind w:left="520"/>
              <w:spacing w:after="0" w:line="151" w:lineRule="exact"/>
              <w:rPr>
                <w:sz w:val="20"/>
                <w:szCs w:val="20"/>
                <w:color w:val="auto"/>
              </w:rPr>
            </w:pPr>
            <w:r>
              <w:rPr>
                <w:rFonts w:ascii="MS PGothic" w:cs="MS PGothic" w:eastAsia="MS PGothic" w:hAnsi="MS PGothic"/>
                <w:sz w:val="15"/>
                <w:szCs w:val="15"/>
                <w:color w:val="auto"/>
              </w:rPr>
              <w:t>☐</w:t>
            </w:r>
          </w:p>
        </w:tc>
        <w:tc>
          <w:tcPr>
            <w:tcW w:w="3260" w:type="dxa"/>
            <w:vAlign w:val="bottom"/>
          </w:tcPr>
          <w:p>
            <w:pPr>
              <w:ind w:left="86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860" w:type="dxa"/>
            <w:vAlign w:val="bottom"/>
          </w:tcPr>
          <w:p>
            <w:pPr>
              <w:ind w:left="7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43"/>
        </w:trPr>
        <w:tc>
          <w:tcPr>
            <w:tcW w:w="19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260" w:type="dxa"/>
            <w:vAlign w:val="bottom"/>
          </w:tcPr>
          <w:p>
            <w:pPr>
              <w:ind w:left="860"/>
              <w:spacing w:after="0"/>
              <w:rPr>
                <w:sz w:val="20"/>
                <w:szCs w:val="20"/>
                <w:color w:val="auto"/>
              </w:rPr>
            </w:pPr>
            <w:r>
              <w:rPr>
                <w:rFonts w:ascii="Times New Roman" w:cs="Times New Roman" w:eastAsia="Times New Roman" w:hAnsi="Times New Roman"/>
                <w:sz w:val="15"/>
                <w:szCs w:val="15"/>
                <w:color w:val="auto"/>
              </w:rPr>
              <w:t>Emerging growth company</w:t>
            </w:r>
          </w:p>
        </w:tc>
        <w:tc>
          <w:tcPr>
            <w:tcW w:w="860" w:type="dxa"/>
            <w:vAlign w:val="bottom"/>
          </w:tcPr>
          <w:p>
            <w:pPr>
              <w:ind w:left="7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59" w:lineRule="exact"/>
        <w:rPr>
          <w:sz w:val="20"/>
          <w:szCs w:val="20"/>
          <w:color w:val="auto"/>
        </w:rPr>
      </w:pPr>
    </w:p>
    <w:p>
      <w:pPr>
        <w:ind w:right="100" w:firstLine="439"/>
        <w:spacing w:after="0" w:line="235"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whether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76" w:lineRule="exact"/>
        <w:rPr>
          <w:sz w:val="20"/>
          <w:szCs w:val="20"/>
          <w:color w:val="auto"/>
        </w:rPr>
      </w:pPr>
    </w:p>
    <w:p>
      <w:pPr>
        <w:ind w:right="140" w:firstLine="439"/>
        <w:spacing w:after="0" w:line="235"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76" w:lineRule="exact"/>
        <w:rPr>
          <w:sz w:val="20"/>
          <w:szCs w:val="20"/>
          <w:color w:val="auto"/>
        </w:rPr>
      </w:pPr>
    </w:p>
    <w:p>
      <w:pPr>
        <w:ind w:right="240" w:firstLine="432"/>
        <w:spacing w:after="0" w:line="235" w:lineRule="exact"/>
        <w:rPr>
          <w:sz w:val="20"/>
          <w:szCs w:val="20"/>
          <w:color w:val="auto"/>
        </w:rPr>
      </w:pPr>
      <w:r>
        <w:rPr>
          <w:rFonts w:ascii="Times New Roman" w:cs="Times New Roman" w:eastAsia="Times New Roman" w:hAnsi="Times New Roman"/>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5"/>
          <w:szCs w:val="15"/>
          <w:color w:val="auto"/>
        </w:rPr>
        <w:t>☐</w:t>
      </w:r>
    </w:p>
    <w:p>
      <w:pPr>
        <w:spacing w:after="0" w:line="76" w:lineRule="exact"/>
        <w:rPr>
          <w:sz w:val="20"/>
          <w:szCs w:val="20"/>
          <w:color w:val="auto"/>
        </w:rPr>
      </w:pPr>
    </w:p>
    <w:p>
      <w:pPr>
        <w:ind w:right="260" w:firstLine="432"/>
        <w:spacing w:after="0" w:line="235" w:lineRule="exact"/>
        <w:rPr>
          <w:sz w:val="20"/>
          <w:szCs w:val="20"/>
          <w:color w:val="auto"/>
        </w:rPr>
      </w:pPr>
      <w:r>
        <w:rPr>
          <w:rFonts w:ascii="Times New Roman" w:cs="Times New Roman" w:eastAsia="Times New Roman" w:hAnsi="Times New Roman"/>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5"/>
          <w:szCs w:val="15"/>
          <w:color w:val="auto"/>
        </w:rPr>
        <w:t>☐</w:t>
      </w:r>
    </w:p>
    <w:p>
      <w:pPr>
        <w:spacing w:after="0" w:line="29" w:lineRule="exact"/>
        <w:rPr>
          <w:sz w:val="20"/>
          <w:szCs w:val="20"/>
          <w:color w:val="auto"/>
        </w:rPr>
      </w:pPr>
    </w:p>
    <w:p>
      <w:pPr>
        <w:ind w:left="440"/>
        <w:spacing w:after="0" w:line="173"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247" w:lineRule="exact"/>
        <w:rPr>
          <w:sz w:val="20"/>
          <w:szCs w:val="20"/>
          <w:color w:val="auto"/>
        </w:rPr>
      </w:pPr>
    </w:p>
    <w:p>
      <w:pPr>
        <w:ind w:right="100" w:firstLine="432"/>
        <w:spacing w:after="0" w:line="254" w:lineRule="auto"/>
        <w:rPr>
          <w:sz w:val="20"/>
          <w:szCs w:val="20"/>
          <w:color w:val="auto"/>
        </w:rPr>
      </w:pPr>
      <w:r>
        <w:rPr>
          <w:rFonts w:ascii="Times New Roman" w:cs="Times New Roman" w:eastAsia="Times New Roman" w:hAnsi="Times New Roman"/>
          <w:sz w:val="15"/>
          <w:szCs w:val="15"/>
          <w:color w:val="auto"/>
        </w:rPr>
        <w:t>As of June 30, 2025, the aggregate market value of the common stock held by non-affiliates of the Registrant was $1,491,234,829 based upon the closing sales price of the Registrant’s common stock as reported on the NASDAQ Global Markets on June 30, 2025 of $25.69 per share. Shares of common stock held by officers, directors and holders of more than ten percent of the outstanding common stock have been excluded from this calculation because such persons may be deemed to be affiliates. This determination of affiliate status is not necessarily a conclusive determination for other purposes.</w:t>
      </w:r>
    </w:p>
    <w:p>
      <w:pPr>
        <w:spacing w:after="0" w:line="1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color w:val="auto"/>
        </w:rPr>
        <w:t>As of February 24, 2026, the Registrant had 75,198,817 outstanding shares of Common Stock.</w:t>
      </w:r>
    </w:p>
    <w:p>
      <w:pPr>
        <w:spacing w:after="0" w:line="173"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5"/>
          <w:szCs w:val="15"/>
          <w:color w:val="auto"/>
        </w:rPr>
        <w:t>DOCUMENTS INCORPORATED BY REFERENCE</w:t>
      </w:r>
    </w:p>
    <w:p>
      <w:pPr>
        <w:spacing w:after="0" w:line="173" w:lineRule="exact"/>
        <w:rPr>
          <w:sz w:val="20"/>
          <w:szCs w:val="20"/>
          <w:color w:val="auto"/>
        </w:rPr>
      </w:pPr>
    </w:p>
    <w:p>
      <w:pPr>
        <w:jc w:val="both"/>
        <w:ind w:right="180" w:firstLine="432"/>
        <w:spacing w:after="0" w:line="261" w:lineRule="auto"/>
        <w:rPr>
          <w:sz w:val="20"/>
          <w:szCs w:val="20"/>
          <w:color w:val="auto"/>
        </w:rPr>
      </w:pPr>
      <w:r>
        <w:rPr>
          <w:rFonts w:ascii="Times New Roman" w:cs="Times New Roman" w:eastAsia="Times New Roman" w:hAnsi="Times New Roman"/>
          <w:sz w:val="15"/>
          <w:szCs w:val="15"/>
          <w:color w:val="auto"/>
        </w:rPr>
        <w:t>Portions of the Registrant’s definitive Proxy Statement for the Registrant’s 2026 Annual Meeting of Stockholders are incorporated by reference in Part III of this Annual Report on Form 10-K to the extent stated herein. The Proxy Statement will be filed with the Securities and Exchange Commission pursuant to Regulation 14A not later than 120 days of the Registrant’s fiscal year ended December 31, 2025.</w:t>
      </w:r>
    </w:p>
    <w:p>
      <w:pPr>
        <w:sectPr>
          <w:pgSz w:w="11880" w:h="15480" w:orient="portrait"/>
          <w:cols w:equalWidth="0" w:num="1">
            <w:col w:w="10800"/>
          </w:cols>
          <w:pgMar w:left="540" w:top="677" w:right="540" w:bottom="232"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900" w:type="dxa"/>
            <w:vAlign w:val="bottom"/>
          </w:tcPr>
          <w:p>
            <w:pPr>
              <w:spacing w:after="0"/>
              <w:rPr>
                <w:sz w:val="19"/>
                <w:szCs w:val="19"/>
                <w:color w:val="auto"/>
              </w:rPr>
            </w:pPr>
          </w:p>
        </w:tc>
        <w:tc>
          <w:tcPr>
            <w:tcW w:w="9040" w:type="dxa"/>
            <w:vAlign w:val="bottom"/>
          </w:tcPr>
          <w:p>
            <w:pPr>
              <w:ind w:left="3120"/>
              <w:spacing w:after="0"/>
              <w:rPr>
                <w:sz w:val="20"/>
                <w:szCs w:val="20"/>
                <w:color w:val="auto"/>
              </w:rPr>
            </w:pPr>
            <w:r>
              <w:rPr>
                <w:rFonts w:ascii="Times New Roman" w:cs="Times New Roman" w:eastAsia="Times New Roman" w:hAnsi="Times New Roman"/>
                <w:sz w:val="20"/>
                <w:szCs w:val="20"/>
                <w:b w:val="1"/>
                <w:bCs w:val="1"/>
                <w:color w:val="auto"/>
              </w:rPr>
              <w:t>Applied Optoelectronics, Inc.</w:t>
            </w:r>
          </w:p>
        </w:tc>
        <w:tc>
          <w:tcPr>
            <w:tcW w:w="520" w:type="dxa"/>
            <w:vAlign w:val="bottom"/>
          </w:tcPr>
          <w:p>
            <w:pPr>
              <w:spacing w:after="0"/>
              <w:rPr>
                <w:sz w:val="19"/>
                <w:szCs w:val="19"/>
                <w:color w:val="auto"/>
              </w:rPr>
            </w:pPr>
          </w:p>
        </w:tc>
      </w:tr>
      <w:tr>
        <w:trPr>
          <w:trHeight w:val="270"/>
        </w:trPr>
        <w:tc>
          <w:tcPr>
            <w:tcW w:w="900" w:type="dxa"/>
            <w:vAlign w:val="bottom"/>
          </w:tcPr>
          <w:p>
            <w:pPr>
              <w:spacing w:after="0"/>
              <w:rPr>
                <w:sz w:val="23"/>
                <w:szCs w:val="23"/>
                <w:color w:val="auto"/>
              </w:rPr>
            </w:pPr>
          </w:p>
        </w:tc>
        <w:tc>
          <w:tcPr>
            <w:tcW w:w="9040" w:type="dxa"/>
            <w:vAlign w:val="bottom"/>
          </w:tcPr>
          <w:p>
            <w:pPr>
              <w:ind w:left="358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520" w:type="dxa"/>
            <w:vAlign w:val="bottom"/>
          </w:tcPr>
          <w:p>
            <w:pPr>
              <w:spacing w:after="0"/>
              <w:rPr>
                <w:sz w:val="23"/>
                <w:szCs w:val="23"/>
                <w:color w:val="auto"/>
              </w:rPr>
            </w:pPr>
          </w:p>
        </w:tc>
      </w:tr>
      <w:tr>
        <w:trPr>
          <w:trHeight w:val="448"/>
        </w:trPr>
        <w:tc>
          <w:tcPr>
            <w:tcW w:w="900" w:type="dxa"/>
            <w:vAlign w:val="bottom"/>
          </w:tcPr>
          <w:p>
            <w:pPr>
              <w:spacing w:after="0"/>
              <w:rPr>
                <w:sz w:val="24"/>
                <w:szCs w:val="24"/>
                <w:color w:val="auto"/>
              </w:rPr>
            </w:pPr>
          </w:p>
        </w:tc>
        <w:tc>
          <w:tcPr>
            <w:tcW w:w="9040" w:type="dxa"/>
            <w:vAlign w:val="bottom"/>
          </w:tcPr>
          <w:p>
            <w:pPr>
              <w:spacing w:after="0"/>
              <w:rPr>
                <w:sz w:val="24"/>
                <w:szCs w:val="24"/>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20"/>
                <w:szCs w:val="20"/>
                <w:color w:val="auto"/>
                <w:w w:val="92"/>
              </w:rPr>
              <w:t>Page</w:t>
            </w:r>
          </w:p>
        </w:tc>
      </w:tr>
      <w:tr>
        <w:trPr>
          <w:trHeight w:val="47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Part I</w:t>
            </w:r>
          </w:p>
        </w:tc>
        <w:tc>
          <w:tcPr>
            <w:tcW w:w="9040" w:type="dxa"/>
            <w:vAlign w:val="bottom"/>
          </w:tcPr>
          <w:p>
            <w:pPr>
              <w:spacing w:after="0"/>
              <w:rPr>
                <w:sz w:val="24"/>
                <w:szCs w:val="24"/>
                <w:color w:val="auto"/>
              </w:rPr>
            </w:pPr>
          </w:p>
        </w:tc>
        <w:tc>
          <w:tcPr>
            <w:tcW w:w="520" w:type="dxa"/>
            <w:vAlign w:val="bottom"/>
          </w:tcPr>
          <w:p>
            <w:pPr>
              <w:jc w:val="center"/>
              <w:ind w:left="42"/>
              <w:spacing w:after="0"/>
              <w:rPr>
                <w:sz w:val="20"/>
                <w:szCs w:val="20"/>
                <w:color w:val="auto"/>
              </w:rPr>
            </w:pPr>
            <w:r>
              <w:rPr>
                <w:rFonts w:ascii="Times New Roman" w:cs="Times New Roman" w:eastAsia="Times New Roman" w:hAnsi="Times New Roman"/>
                <w:sz w:val="20"/>
                <w:szCs w:val="20"/>
                <w:color w:val="auto"/>
                <w:w w:val="99"/>
              </w:rPr>
              <w:t>3</w:t>
            </w:r>
          </w:p>
        </w:tc>
      </w:tr>
      <w:tr>
        <w:trPr>
          <w:trHeight w:val="47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Item 1.</w:t>
            </w:r>
          </w:p>
        </w:tc>
        <w:tc>
          <w:tcPr>
            <w:tcW w:w="90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Business</w:t>
            </w:r>
          </w:p>
        </w:tc>
        <w:tc>
          <w:tcPr>
            <w:tcW w:w="520" w:type="dxa"/>
            <w:vAlign w:val="bottom"/>
          </w:tcPr>
          <w:p>
            <w:pPr>
              <w:jc w:val="center"/>
              <w:ind w:left="42"/>
              <w:spacing w:after="0"/>
              <w:rPr>
                <w:sz w:val="20"/>
                <w:szCs w:val="20"/>
                <w:color w:val="auto"/>
              </w:rPr>
            </w:pPr>
            <w:r>
              <w:rPr>
                <w:rFonts w:ascii="Times New Roman" w:cs="Times New Roman" w:eastAsia="Times New Roman" w:hAnsi="Times New Roman"/>
                <w:sz w:val="20"/>
                <w:szCs w:val="20"/>
                <w:color w:val="auto"/>
                <w:w w:val="99"/>
              </w:rPr>
              <w:t>3</w:t>
            </w:r>
          </w:p>
        </w:tc>
      </w:tr>
      <w:tr>
        <w:trPr>
          <w:trHeight w:val="47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Item 1A.</w:t>
            </w:r>
          </w:p>
        </w:tc>
        <w:tc>
          <w:tcPr>
            <w:tcW w:w="90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Risk Factors</w:t>
            </w:r>
          </w:p>
        </w:tc>
        <w:tc>
          <w:tcPr>
            <w:tcW w:w="520" w:type="dxa"/>
            <w:vAlign w:val="bottom"/>
          </w:tcPr>
          <w:p>
            <w:pPr>
              <w:jc w:val="center"/>
              <w:ind w:left="22"/>
              <w:spacing w:after="0"/>
              <w:rPr>
                <w:sz w:val="20"/>
                <w:szCs w:val="20"/>
                <w:color w:val="auto"/>
              </w:rPr>
            </w:pPr>
            <w:r>
              <w:rPr>
                <w:rFonts w:ascii="Times New Roman" w:cs="Times New Roman" w:eastAsia="Times New Roman" w:hAnsi="Times New Roman"/>
                <w:sz w:val="20"/>
                <w:szCs w:val="20"/>
                <w:color w:val="auto"/>
                <w:w w:val="99"/>
              </w:rPr>
              <w:t>13</w:t>
            </w:r>
          </w:p>
        </w:tc>
      </w:tr>
      <w:tr>
        <w:trPr>
          <w:trHeight w:val="47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Item 1B.</w:t>
            </w:r>
          </w:p>
        </w:tc>
        <w:tc>
          <w:tcPr>
            <w:tcW w:w="90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Unresolved Staff Comments</w:t>
            </w:r>
          </w:p>
        </w:tc>
        <w:tc>
          <w:tcPr>
            <w:tcW w:w="520" w:type="dxa"/>
            <w:vAlign w:val="bottom"/>
          </w:tcPr>
          <w:p>
            <w:pPr>
              <w:jc w:val="center"/>
              <w:ind w:left="22"/>
              <w:spacing w:after="0"/>
              <w:rPr>
                <w:sz w:val="20"/>
                <w:szCs w:val="20"/>
                <w:color w:val="auto"/>
              </w:rPr>
            </w:pPr>
            <w:r>
              <w:rPr>
                <w:rFonts w:ascii="Times New Roman" w:cs="Times New Roman" w:eastAsia="Times New Roman" w:hAnsi="Times New Roman"/>
                <w:sz w:val="20"/>
                <w:szCs w:val="20"/>
                <w:color w:val="auto"/>
                <w:w w:val="99"/>
              </w:rPr>
              <w:t>30</w:t>
            </w:r>
          </w:p>
        </w:tc>
      </w:tr>
      <w:tr>
        <w:trPr>
          <w:trHeight w:val="47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Item 1C.</w:t>
            </w:r>
          </w:p>
        </w:tc>
        <w:tc>
          <w:tcPr>
            <w:tcW w:w="90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Cybersecurity</w:t>
            </w:r>
          </w:p>
        </w:tc>
        <w:tc>
          <w:tcPr>
            <w:tcW w:w="520" w:type="dxa"/>
            <w:vAlign w:val="bottom"/>
          </w:tcPr>
          <w:p>
            <w:pPr>
              <w:jc w:val="center"/>
              <w:ind w:left="22"/>
              <w:spacing w:after="0"/>
              <w:rPr>
                <w:sz w:val="20"/>
                <w:szCs w:val="20"/>
                <w:color w:val="auto"/>
              </w:rPr>
            </w:pPr>
            <w:r>
              <w:rPr>
                <w:rFonts w:ascii="Times New Roman" w:cs="Times New Roman" w:eastAsia="Times New Roman" w:hAnsi="Times New Roman"/>
                <w:sz w:val="20"/>
                <w:szCs w:val="20"/>
                <w:color w:val="auto"/>
                <w:w w:val="99"/>
              </w:rPr>
              <w:t>30</w:t>
            </w:r>
          </w:p>
        </w:tc>
      </w:tr>
      <w:tr>
        <w:trPr>
          <w:trHeight w:val="47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Item 2.</w:t>
            </w:r>
          </w:p>
        </w:tc>
        <w:tc>
          <w:tcPr>
            <w:tcW w:w="90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Properties</w:t>
            </w:r>
          </w:p>
        </w:tc>
        <w:tc>
          <w:tcPr>
            <w:tcW w:w="520" w:type="dxa"/>
            <w:vAlign w:val="bottom"/>
          </w:tcPr>
          <w:p>
            <w:pPr>
              <w:jc w:val="center"/>
              <w:ind w:left="22"/>
              <w:spacing w:after="0"/>
              <w:rPr>
                <w:sz w:val="20"/>
                <w:szCs w:val="20"/>
                <w:color w:val="auto"/>
              </w:rPr>
            </w:pPr>
            <w:r>
              <w:rPr>
                <w:rFonts w:ascii="Times New Roman" w:cs="Times New Roman" w:eastAsia="Times New Roman" w:hAnsi="Times New Roman"/>
                <w:sz w:val="20"/>
                <w:szCs w:val="20"/>
                <w:color w:val="auto"/>
                <w:w w:val="99"/>
              </w:rPr>
              <w:t>32</w:t>
            </w:r>
          </w:p>
        </w:tc>
      </w:tr>
      <w:tr>
        <w:trPr>
          <w:trHeight w:val="47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Item 3.</w:t>
            </w:r>
          </w:p>
        </w:tc>
        <w:tc>
          <w:tcPr>
            <w:tcW w:w="90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Legal Proceedings</w:t>
            </w:r>
          </w:p>
        </w:tc>
        <w:tc>
          <w:tcPr>
            <w:tcW w:w="520" w:type="dxa"/>
            <w:vAlign w:val="bottom"/>
          </w:tcPr>
          <w:p>
            <w:pPr>
              <w:jc w:val="center"/>
              <w:ind w:left="22"/>
              <w:spacing w:after="0"/>
              <w:rPr>
                <w:sz w:val="20"/>
                <w:szCs w:val="20"/>
                <w:color w:val="auto"/>
              </w:rPr>
            </w:pPr>
            <w:r>
              <w:rPr>
                <w:rFonts w:ascii="Times New Roman" w:cs="Times New Roman" w:eastAsia="Times New Roman" w:hAnsi="Times New Roman"/>
                <w:sz w:val="20"/>
                <w:szCs w:val="20"/>
                <w:color w:val="auto"/>
                <w:w w:val="99"/>
              </w:rPr>
              <w:t>32</w:t>
            </w:r>
          </w:p>
        </w:tc>
      </w:tr>
      <w:tr>
        <w:trPr>
          <w:trHeight w:val="47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Item 4.</w:t>
            </w:r>
          </w:p>
        </w:tc>
        <w:tc>
          <w:tcPr>
            <w:tcW w:w="90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Mine Safety Disclosure</w:t>
            </w:r>
          </w:p>
        </w:tc>
        <w:tc>
          <w:tcPr>
            <w:tcW w:w="520" w:type="dxa"/>
            <w:vAlign w:val="bottom"/>
          </w:tcPr>
          <w:p>
            <w:pPr>
              <w:jc w:val="center"/>
              <w:ind w:left="22"/>
              <w:spacing w:after="0"/>
              <w:rPr>
                <w:sz w:val="20"/>
                <w:szCs w:val="20"/>
                <w:color w:val="auto"/>
              </w:rPr>
            </w:pPr>
            <w:r>
              <w:rPr>
                <w:rFonts w:ascii="Times New Roman" w:cs="Times New Roman" w:eastAsia="Times New Roman" w:hAnsi="Times New Roman"/>
                <w:sz w:val="20"/>
                <w:szCs w:val="20"/>
                <w:color w:val="auto"/>
                <w:w w:val="99"/>
              </w:rPr>
              <w:t>32</w:t>
            </w:r>
          </w:p>
        </w:tc>
      </w:tr>
      <w:tr>
        <w:trPr>
          <w:trHeight w:val="47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Part II</w:t>
            </w:r>
          </w:p>
        </w:tc>
        <w:tc>
          <w:tcPr>
            <w:tcW w:w="9040" w:type="dxa"/>
            <w:vAlign w:val="bottom"/>
          </w:tcPr>
          <w:p>
            <w:pPr>
              <w:spacing w:after="0"/>
              <w:rPr>
                <w:sz w:val="24"/>
                <w:szCs w:val="24"/>
                <w:color w:val="auto"/>
              </w:rPr>
            </w:pPr>
          </w:p>
        </w:tc>
        <w:tc>
          <w:tcPr>
            <w:tcW w:w="520" w:type="dxa"/>
            <w:vAlign w:val="bottom"/>
          </w:tcPr>
          <w:p>
            <w:pPr>
              <w:jc w:val="center"/>
              <w:ind w:left="22"/>
              <w:spacing w:after="0"/>
              <w:rPr>
                <w:sz w:val="20"/>
                <w:szCs w:val="20"/>
                <w:color w:val="auto"/>
              </w:rPr>
            </w:pPr>
            <w:r>
              <w:rPr>
                <w:rFonts w:ascii="Times New Roman" w:cs="Times New Roman" w:eastAsia="Times New Roman" w:hAnsi="Times New Roman"/>
                <w:sz w:val="20"/>
                <w:szCs w:val="20"/>
                <w:color w:val="auto"/>
                <w:w w:val="99"/>
              </w:rPr>
              <w:t>33</w:t>
            </w:r>
          </w:p>
        </w:tc>
      </w:tr>
      <w:tr>
        <w:trPr>
          <w:trHeight w:val="47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Item 5.</w:t>
            </w:r>
          </w:p>
        </w:tc>
        <w:tc>
          <w:tcPr>
            <w:tcW w:w="904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9"/>
              </w:rPr>
              <w:t>Market for Registrant’s Common Equity, Related Stockholder Matters and Issuer Purchases of Equity Securities</w:t>
            </w:r>
          </w:p>
        </w:tc>
        <w:tc>
          <w:tcPr>
            <w:tcW w:w="520" w:type="dxa"/>
            <w:vAlign w:val="bottom"/>
          </w:tcPr>
          <w:p>
            <w:pPr>
              <w:jc w:val="center"/>
              <w:ind w:left="22"/>
              <w:spacing w:after="0"/>
              <w:rPr>
                <w:sz w:val="20"/>
                <w:szCs w:val="20"/>
                <w:color w:val="auto"/>
              </w:rPr>
            </w:pPr>
            <w:r>
              <w:rPr>
                <w:rFonts w:ascii="Times New Roman" w:cs="Times New Roman" w:eastAsia="Times New Roman" w:hAnsi="Times New Roman"/>
                <w:sz w:val="20"/>
                <w:szCs w:val="20"/>
                <w:color w:val="auto"/>
                <w:w w:val="99"/>
              </w:rPr>
              <w:t>33</w:t>
            </w:r>
          </w:p>
        </w:tc>
      </w:tr>
      <w:tr>
        <w:trPr>
          <w:trHeight w:val="47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Item 6.</w:t>
            </w:r>
          </w:p>
        </w:tc>
        <w:tc>
          <w:tcPr>
            <w:tcW w:w="90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[Reserved]</w:t>
            </w:r>
          </w:p>
        </w:tc>
        <w:tc>
          <w:tcPr>
            <w:tcW w:w="520" w:type="dxa"/>
            <w:vAlign w:val="bottom"/>
          </w:tcPr>
          <w:p>
            <w:pPr>
              <w:jc w:val="center"/>
              <w:ind w:left="22"/>
              <w:spacing w:after="0"/>
              <w:rPr>
                <w:sz w:val="20"/>
                <w:szCs w:val="20"/>
                <w:color w:val="auto"/>
              </w:rPr>
            </w:pPr>
            <w:r>
              <w:rPr>
                <w:rFonts w:ascii="Times New Roman" w:cs="Times New Roman" w:eastAsia="Times New Roman" w:hAnsi="Times New Roman"/>
                <w:sz w:val="20"/>
                <w:szCs w:val="20"/>
                <w:color w:val="auto"/>
                <w:w w:val="99"/>
              </w:rPr>
              <w:t>34</w:t>
            </w:r>
          </w:p>
        </w:tc>
      </w:tr>
      <w:tr>
        <w:trPr>
          <w:trHeight w:val="47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Item 7.</w:t>
            </w:r>
          </w:p>
        </w:tc>
        <w:tc>
          <w:tcPr>
            <w:tcW w:w="90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Management’s Discussion and Analysis of Financial Condition and Results of Operations</w:t>
            </w:r>
          </w:p>
        </w:tc>
        <w:tc>
          <w:tcPr>
            <w:tcW w:w="520" w:type="dxa"/>
            <w:vAlign w:val="bottom"/>
          </w:tcPr>
          <w:p>
            <w:pPr>
              <w:jc w:val="center"/>
              <w:ind w:left="22"/>
              <w:spacing w:after="0"/>
              <w:rPr>
                <w:sz w:val="20"/>
                <w:szCs w:val="20"/>
                <w:color w:val="auto"/>
              </w:rPr>
            </w:pPr>
            <w:r>
              <w:rPr>
                <w:rFonts w:ascii="Times New Roman" w:cs="Times New Roman" w:eastAsia="Times New Roman" w:hAnsi="Times New Roman"/>
                <w:sz w:val="20"/>
                <w:szCs w:val="20"/>
                <w:color w:val="auto"/>
                <w:w w:val="99"/>
              </w:rPr>
              <w:t>34</w:t>
            </w:r>
          </w:p>
        </w:tc>
      </w:tr>
      <w:tr>
        <w:trPr>
          <w:trHeight w:val="47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Item 7A.</w:t>
            </w:r>
          </w:p>
        </w:tc>
        <w:tc>
          <w:tcPr>
            <w:tcW w:w="90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Quantitative and Qualitative Disclosures about Market Risk</w:t>
            </w:r>
          </w:p>
        </w:tc>
        <w:tc>
          <w:tcPr>
            <w:tcW w:w="520" w:type="dxa"/>
            <w:vAlign w:val="bottom"/>
          </w:tcPr>
          <w:p>
            <w:pPr>
              <w:jc w:val="center"/>
              <w:ind w:left="22"/>
              <w:spacing w:after="0"/>
              <w:rPr>
                <w:sz w:val="20"/>
                <w:szCs w:val="20"/>
                <w:color w:val="auto"/>
              </w:rPr>
            </w:pPr>
            <w:r>
              <w:rPr>
                <w:rFonts w:ascii="Times New Roman" w:cs="Times New Roman" w:eastAsia="Times New Roman" w:hAnsi="Times New Roman"/>
                <w:sz w:val="20"/>
                <w:szCs w:val="20"/>
                <w:color w:val="auto"/>
                <w:w w:val="99"/>
              </w:rPr>
              <w:t>46</w:t>
            </w:r>
          </w:p>
        </w:tc>
      </w:tr>
      <w:tr>
        <w:trPr>
          <w:trHeight w:val="47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Item 8.</w:t>
            </w:r>
          </w:p>
        </w:tc>
        <w:tc>
          <w:tcPr>
            <w:tcW w:w="90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Financial Statements and Supplementary Data</w:t>
            </w:r>
          </w:p>
        </w:tc>
        <w:tc>
          <w:tcPr>
            <w:tcW w:w="520" w:type="dxa"/>
            <w:vAlign w:val="bottom"/>
          </w:tcPr>
          <w:p>
            <w:pPr>
              <w:jc w:val="center"/>
              <w:ind w:left="22"/>
              <w:spacing w:after="0"/>
              <w:rPr>
                <w:sz w:val="20"/>
                <w:szCs w:val="20"/>
                <w:color w:val="auto"/>
              </w:rPr>
            </w:pPr>
            <w:r>
              <w:rPr>
                <w:rFonts w:ascii="Times New Roman" w:cs="Times New Roman" w:eastAsia="Times New Roman" w:hAnsi="Times New Roman"/>
                <w:sz w:val="20"/>
                <w:szCs w:val="20"/>
                <w:color w:val="auto"/>
                <w:w w:val="99"/>
              </w:rPr>
              <w:t>47</w:t>
            </w:r>
          </w:p>
        </w:tc>
      </w:tr>
      <w:tr>
        <w:trPr>
          <w:trHeight w:val="47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Item 9.</w:t>
            </w:r>
          </w:p>
        </w:tc>
        <w:tc>
          <w:tcPr>
            <w:tcW w:w="90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Changes in and Disagreements with Accountants on Accounting and Financial Disclosure</w:t>
            </w:r>
          </w:p>
        </w:tc>
        <w:tc>
          <w:tcPr>
            <w:tcW w:w="520" w:type="dxa"/>
            <w:vAlign w:val="bottom"/>
          </w:tcPr>
          <w:p>
            <w:pPr>
              <w:jc w:val="center"/>
              <w:ind w:left="22"/>
              <w:spacing w:after="0"/>
              <w:rPr>
                <w:sz w:val="20"/>
                <w:szCs w:val="20"/>
                <w:color w:val="auto"/>
              </w:rPr>
            </w:pPr>
            <w:r>
              <w:rPr>
                <w:rFonts w:ascii="Times New Roman" w:cs="Times New Roman" w:eastAsia="Times New Roman" w:hAnsi="Times New Roman"/>
                <w:sz w:val="20"/>
                <w:szCs w:val="20"/>
                <w:color w:val="auto"/>
                <w:w w:val="99"/>
              </w:rPr>
              <w:t>47</w:t>
            </w:r>
          </w:p>
        </w:tc>
      </w:tr>
      <w:tr>
        <w:trPr>
          <w:trHeight w:val="47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Item 9A.</w:t>
            </w:r>
          </w:p>
        </w:tc>
        <w:tc>
          <w:tcPr>
            <w:tcW w:w="90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Controls and Procedures</w:t>
            </w:r>
          </w:p>
        </w:tc>
        <w:tc>
          <w:tcPr>
            <w:tcW w:w="520" w:type="dxa"/>
            <w:vAlign w:val="bottom"/>
          </w:tcPr>
          <w:p>
            <w:pPr>
              <w:jc w:val="center"/>
              <w:ind w:left="22"/>
              <w:spacing w:after="0"/>
              <w:rPr>
                <w:sz w:val="20"/>
                <w:szCs w:val="20"/>
                <w:color w:val="auto"/>
              </w:rPr>
            </w:pPr>
            <w:r>
              <w:rPr>
                <w:rFonts w:ascii="Times New Roman" w:cs="Times New Roman" w:eastAsia="Times New Roman" w:hAnsi="Times New Roman"/>
                <w:sz w:val="20"/>
                <w:szCs w:val="20"/>
                <w:color w:val="auto"/>
                <w:w w:val="99"/>
              </w:rPr>
              <w:t>47</w:t>
            </w:r>
          </w:p>
        </w:tc>
      </w:tr>
      <w:tr>
        <w:trPr>
          <w:trHeight w:val="47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Item 9B.</w:t>
            </w:r>
          </w:p>
        </w:tc>
        <w:tc>
          <w:tcPr>
            <w:tcW w:w="90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Other Information</w:t>
            </w:r>
          </w:p>
        </w:tc>
        <w:tc>
          <w:tcPr>
            <w:tcW w:w="520" w:type="dxa"/>
            <w:vAlign w:val="bottom"/>
          </w:tcPr>
          <w:p>
            <w:pPr>
              <w:jc w:val="center"/>
              <w:ind w:left="22"/>
              <w:spacing w:after="0"/>
              <w:rPr>
                <w:sz w:val="20"/>
                <w:szCs w:val="20"/>
                <w:color w:val="auto"/>
              </w:rPr>
            </w:pPr>
            <w:r>
              <w:rPr>
                <w:rFonts w:ascii="Times New Roman" w:cs="Times New Roman" w:eastAsia="Times New Roman" w:hAnsi="Times New Roman"/>
                <w:sz w:val="20"/>
                <w:szCs w:val="20"/>
                <w:color w:val="auto"/>
                <w:w w:val="99"/>
              </w:rPr>
              <w:t>50</w:t>
            </w:r>
          </w:p>
        </w:tc>
      </w:tr>
      <w:tr>
        <w:trPr>
          <w:trHeight w:val="47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Item 9C</w:t>
            </w:r>
          </w:p>
        </w:tc>
        <w:tc>
          <w:tcPr>
            <w:tcW w:w="90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Disclosure Regarding Foreign Jurisdictions that Prevent Inspections</w:t>
            </w:r>
          </w:p>
        </w:tc>
        <w:tc>
          <w:tcPr>
            <w:tcW w:w="520" w:type="dxa"/>
            <w:vAlign w:val="bottom"/>
          </w:tcPr>
          <w:p>
            <w:pPr>
              <w:jc w:val="center"/>
              <w:ind w:left="22"/>
              <w:spacing w:after="0"/>
              <w:rPr>
                <w:sz w:val="20"/>
                <w:szCs w:val="20"/>
                <w:color w:val="auto"/>
              </w:rPr>
            </w:pPr>
            <w:r>
              <w:rPr>
                <w:rFonts w:ascii="Times New Roman" w:cs="Times New Roman" w:eastAsia="Times New Roman" w:hAnsi="Times New Roman"/>
                <w:sz w:val="20"/>
                <w:szCs w:val="20"/>
                <w:color w:val="auto"/>
                <w:w w:val="99"/>
              </w:rPr>
              <w:t>50</w:t>
            </w:r>
          </w:p>
        </w:tc>
      </w:tr>
      <w:tr>
        <w:trPr>
          <w:trHeight w:val="47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Part III</w:t>
            </w:r>
          </w:p>
        </w:tc>
        <w:tc>
          <w:tcPr>
            <w:tcW w:w="9040" w:type="dxa"/>
            <w:vAlign w:val="bottom"/>
          </w:tcPr>
          <w:p>
            <w:pPr>
              <w:spacing w:after="0"/>
              <w:rPr>
                <w:sz w:val="24"/>
                <w:szCs w:val="24"/>
                <w:color w:val="auto"/>
              </w:rPr>
            </w:pPr>
          </w:p>
        </w:tc>
        <w:tc>
          <w:tcPr>
            <w:tcW w:w="520" w:type="dxa"/>
            <w:vAlign w:val="bottom"/>
          </w:tcPr>
          <w:p>
            <w:pPr>
              <w:jc w:val="center"/>
              <w:ind w:left="22"/>
              <w:spacing w:after="0"/>
              <w:rPr>
                <w:sz w:val="20"/>
                <w:szCs w:val="20"/>
                <w:color w:val="auto"/>
              </w:rPr>
            </w:pPr>
            <w:r>
              <w:rPr>
                <w:rFonts w:ascii="Times New Roman" w:cs="Times New Roman" w:eastAsia="Times New Roman" w:hAnsi="Times New Roman"/>
                <w:sz w:val="20"/>
                <w:szCs w:val="20"/>
                <w:color w:val="auto"/>
                <w:w w:val="99"/>
              </w:rPr>
              <w:t>51</w:t>
            </w:r>
          </w:p>
        </w:tc>
      </w:tr>
      <w:tr>
        <w:trPr>
          <w:trHeight w:val="47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Item 10.</w:t>
            </w:r>
          </w:p>
        </w:tc>
        <w:tc>
          <w:tcPr>
            <w:tcW w:w="90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Directors, Executive Officers and Corporate Governance</w:t>
            </w:r>
          </w:p>
        </w:tc>
        <w:tc>
          <w:tcPr>
            <w:tcW w:w="520" w:type="dxa"/>
            <w:vAlign w:val="bottom"/>
          </w:tcPr>
          <w:p>
            <w:pPr>
              <w:jc w:val="center"/>
              <w:ind w:left="22"/>
              <w:spacing w:after="0"/>
              <w:rPr>
                <w:sz w:val="20"/>
                <w:szCs w:val="20"/>
                <w:color w:val="auto"/>
              </w:rPr>
            </w:pPr>
            <w:r>
              <w:rPr>
                <w:rFonts w:ascii="Times New Roman" w:cs="Times New Roman" w:eastAsia="Times New Roman" w:hAnsi="Times New Roman"/>
                <w:sz w:val="20"/>
                <w:szCs w:val="20"/>
                <w:color w:val="auto"/>
                <w:w w:val="99"/>
              </w:rPr>
              <w:t>51</w:t>
            </w:r>
          </w:p>
        </w:tc>
      </w:tr>
      <w:tr>
        <w:trPr>
          <w:trHeight w:val="47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Item 11.</w:t>
            </w:r>
          </w:p>
        </w:tc>
        <w:tc>
          <w:tcPr>
            <w:tcW w:w="90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Executive Compensation</w:t>
            </w:r>
          </w:p>
        </w:tc>
        <w:tc>
          <w:tcPr>
            <w:tcW w:w="520" w:type="dxa"/>
            <w:vAlign w:val="bottom"/>
          </w:tcPr>
          <w:p>
            <w:pPr>
              <w:jc w:val="center"/>
              <w:ind w:left="22"/>
              <w:spacing w:after="0"/>
              <w:rPr>
                <w:sz w:val="20"/>
                <w:szCs w:val="20"/>
                <w:color w:val="auto"/>
              </w:rPr>
            </w:pPr>
            <w:r>
              <w:rPr>
                <w:rFonts w:ascii="Times New Roman" w:cs="Times New Roman" w:eastAsia="Times New Roman" w:hAnsi="Times New Roman"/>
                <w:sz w:val="20"/>
                <w:szCs w:val="20"/>
                <w:color w:val="auto"/>
                <w:w w:val="99"/>
              </w:rPr>
              <w:t>51</w:t>
            </w:r>
          </w:p>
        </w:tc>
      </w:tr>
      <w:tr>
        <w:trPr>
          <w:trHeight w:val="47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Item 12.</w:t>
            </w:r>
          </w:p>
        </w:tc>
        <w:tc>
          <w:tcPr>
            <w:tcW w:w="90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Security Ownership of Certain Beneficial Owners and Management and Related Stockholder Matters</w:t>
            </w:r>
          </w:p>
        </w:tc>
        <w:tc>
          <w:tcPr>
            <w:tcW w:w="520" w:type="dxa"/>
            <w:vAlign w:val="bottom"/>
          </w:tcPr>
          <w:p>
            <w:pPr>
              <w:jc w:val="center"/>
              <w:ind w:left="22"/>
              <w:spacing w:after="0"/>
              <w:rPr>
                <w:sz w:val="20"/>
                <w:szCs w:val="20"/>
                <w:color w:val="auto"/>
              </w:rPr>
            </w:pPr>
            <w:r>
              <w:rPr>
                <w:rFonts w:ascii="Times New Roman" w:cs="Times New Roman" w:eastAsia="Times New Roman" w:hAnsi="Times New Roman"/>
                <w:sz w:val="20"/>
                <w:szCs w:val="20"/>
                <w:color w:val="auto"/>
                <w:w w:val="99"/>
              </w:rPr>
              <w:t>51</w:t>
            </w:r>
          </w:p>
        </w:tc>
      </w:tr>
      <w:tr>
        <w:trPr>
          <w:trHeight w:val="47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Item 13.</w:t>
            </w:r>
          </w:p>
        </w:tc>
        <w:tc>
          <w:tcPr>
            <w:tcW w:w="90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Certain Relationships and Related Transactions, and Director Independence</w:t>
            </w:r>
          </w:p>
        </w:tc>
        <w:tc>
          <w:tcPr>
            <w:tcW w:w="520" w:type="dxa"/>
            <w:vAlign w:val="bottom"/>
          </w:tcPr>
          <w:p>
            <w:pPr>
              <w:jc w:val="center"/>
              <w:ind w:left="22"/>
              <w:spacing w:after="0"/>
              <w:rPr>
                <w:sz w:val="20"/>
                <w:szCs w:val="20"/>
                <w:color w:val="auto"/>
              </w:rPr>
            </w:pPr>
            <w:r>
              <w:rPr>
                <w:rFonts w:ascii="Times New Roman" w:cs="Times New Roman" w:eastAsia="Times New Roman" w:hAnsi="Times New Roman"/>
                <w:sz w:val="20"/>
                <w:szCs w:val="20"/>
                <w:color w:val="auto"/>
                <w:w w:val="99"/>
              </w:rPr>
              <w:t>51</w:t>
            </w:r>
          </w:p>
        </w:tc>
      </w:tr>
      <w:tr>
        <w:trPr>
          <w:trHeight w:val="47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Item 14.</w:t>
            </w:r>
          </w:p>
        </w:tc>
        <w:tc>
          <w:tcPr>
            <w:tcW w:w="90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Principal Accounting Fees and Services</w:t>
            </w:r>
          </w:p>
        </w:tc>
        <w:tc>
          <w:tcPr>
            <w:tcW w:w="520" w:type="dxa"/>
            <w:vAlign w:val="bottom"/>
          </w:tcPr>
          <w:p>
            <w:pPr>
              <w:jc w:val="center"/>
              <w:ind w:left="22"/>
              <w:spacing w:after="0"/>
              <w:rPr>
                <w:sz w:val="20"/>
                <w:szCs w:val="20"/>
                <w:color w:val="auto"/>
              </w:rPr>
            </w:pPr>
            <w:r>
              <w:rPr>
                <w:rFonts w:ascii="Times New Roman" w:cs="Times New Roman" w:eastAsia="Times New Roman" w:hAnsi="Times New Roman"/>
                <w:sz w:val="20"/>
                <w:szCs w:val="20"/>
                <w:color w:val="auto"/>
                <w:w w:val="99"/>
              </w:rPr>
              <w:t>51</w:t>
            </w:r>
          </w:p>
        </w:tc>
      </w:tr>
      <w:tr>
        <w:trPr>
          <w:trHeight w:val="47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Part IV</w:t>
            </w:r>
          </w:p>
        </w:tc>
        <w:tc>
          <w:tcPr>
            <w:tcW w:w="9040" w:type="dxa"/>
            <w:vAlign w:val="bottom"/>
          </w:tcPr>
          <w:p>
            <w:pPr>
              <w:spacing w:after="0"/>
              <w:rPr>
                <w:sz w:val="24"/>
                <w:szCs w:val="24"/>
                <w:color w:val="auto"/>
              </w:rPr>
            </w:pPr>
          </w:p>
        </w:tc>
        <w:tc>
          <w:tcPr>
            <w:tcW w:w="520" w:type="dxa"/>
            <w:vAlign w:val="bottom"/>
          </w:tcPr>
          <w:p>
            <w:pPr>
              <w:jc w:val="center"/>
              <w:ind w:left="22"/>
              <w:spacing w:after="0"/>
              <w:rPr>
                <w:sz w:val="20"/>
                <w:szCs w:val="20"/>
                <w:color w:val="auto"/>
              </w:rPr>
            </w:pPr>
            <w:r>
              <w:rPr>
                <w:rFonts w:ascii="Times New Roman" w:cs="Times New Roman" w:eastAsia="Times New Roman" w:hAnsi="Times New Roman"/>
                <w:sz w:val="20"/>
                <w:szCs w:val="20"/>
                <w:color w:val="auto"/>
                <w:w w:val="99"/>
              </w:rPr>
              <w:t>51</w:t>
            </w:r>
          </w:p>
        </w:tc>
      </w:tr>
      <w:tr>
        <w:trPr>
          <w:trHeight w:val="47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Item 15.</w:t>
            </w:r>
          </w:p>
        </w:tc>
        <w:tc>
          <w:tcPr>
            <w:tcW w:w="90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Exhibits and Financial Statement Schedules</w:t>
            </w:r>
          </w:p>
        </w:tc>
        <w:tc>
          <w:tcPr>
            <w:tcW w:w="520" w:type="dxa"/>
            <w:vAlign w:val="bottom"/>
          </w:tcPr>
          <w:p>
            <w:pPr>
              <w:jc w:val="center"/>
              <w:ind w:left="22"/>
              <w:spacing w:after="0"/>
              <w:rPr>
                <w:sz w:val="20"/>
                <w:szCs w:val="20"/>
                <w:color w:val="auto"/>
              </w:rPr>
            </w:pPr>
            <w:r>
              <w:rPr>
                <w:rFonts w:ascii="Times New Roman" w:cs="Times New Roman" w:eastAsia="Times New Roman" w:hAnsi="Times New Roman"/>
                <w:sz w:val="20"/>
                <w:szCs w:val="20"/>
                <w:color w:val="auto"/>
                <w:w w:val="99"/>
              </w:rPr>
              <w:t>51</w:t>
            </w:r>
          </w:p>
        </w:tc>
      </w:tr>
      <w:tr>
        <w:trPr>
          <w:trHeight w:val="47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Item 16.</w:t>
            </w:r>
          </w:p>
        </w:tc>
        <w:tc>
          <w:tcPr>
            <w:tcW w:w="90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Form 10-K Summary</w:t>
            </w:r>
          </w:p>
        </w:tc>
        <w:tc>
          <w:tcPr>
            <w:tcW w:w="520" w:type="dxa"/>
            <w:vAlign w:val="bottom"/>
          </w:tcPr>
          <w:p>
            <w:pPr>
              <w:jc w:val="center"/>
              <w:ind w:left="22"/>
              <w:spacing w:after="0"/>
              <w:rPr>
                <w:sz w:val="20"/>
                <w:szCs w:val="20"/>
                <w:color w:val="auto"/>
              </w:rPr>
            </w:pPr>
            <w:r>
              <w:rPr>
                <w:rFonts w:ascii="Times New Roman" w:cs="Times New Roman" w:eastAsia="Times New Roman" w:hAnsi="Times New Roman"/>
                <w:sz w:val="20"/>
                <w:szCs w:val="20"/>
                <w:color w:val="auto"/>
                <w:w w:val="99"/>
              </w:rPr>
              <w:t>51</w:t>
            </w:r>
          </w:p>
        </w:tc>
      </w:tr>
      <w:tr>
        <w:trPr>
          <w:trHeight w:val="47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Signatures</w:t>
            </w:r>
          </w:p>
        </w:tc>
        <w:tc>
          <w:tcPr>
            <w:tcW w:w="9040" w:type="dxa"/>
            <w:vAlign w:val="bottom"/>
          </w:tcPr>
          <w:p>
            <w:pPr>
              <w:spacing w:after="0"/>
              <w:rPr>
                <w:sz w:val="24"/>
                <w:szCs w:val="24"/>
                <w:color w:val="auto"/>
              </w:rPr>
            </w:pPr>
          </w:p>
        </w:tc>
        <w:tc>
          <w:tcPr>
            <w:tcW w:w="520" w:type="dxa"/>
            <w:vAlign w:val="bottom"/>
          </w:tcPr>
          <w:p>
            <w:pPr>
              <w:jc w:val="center"/>
              <w:ind w:left="22"/>
              <w:spacing w:after="0"/>
              <w:rPr>
                <w:sz w:val="20"/>
                <w:szCs w:val="20"/>
                <w:color w:val="auto"/>
              </w:rPr>
            </w:pPr>
            <w:r>
              <w:rPr>
                <w:rFonts w:ascii="Times New Roman" w:cs="Times New Roman" w:eastAsia="Times New Roman" w:hAnsi="Times New Roman"/>
                <w:sz w:val="20"/>
                <w:szCs w:val="20"/>
                <w:color w:val="auto"/>
                <w:w w:val="99"/>
              </w:rPr>
              <w:t>57</w:t>
            </w:r>
          </w:p>
        </w:tc>
      </w:tr>
    </w:tbl>
    <w:p>
      <w:pPr>
        <w:spacing w:after="0" w:line="200" w:lineRule="exact"/>
        <w:rPr>
          <w:sz w:val="20"/>
          <w:szCs w:val="20"/>
          <w:color w:val="auto"/>
        </w:rPr>
      </w:pPr>
    </w:p>
    <w:p>
      <w:pPr>
        <w:sectPr>
          <w:pgSz w:w="11880" w:h="15480" w:orient="portrait"/>
          <w:cols w:equalWidth="0" w:num="1">
            <w:col w:w="10460"/>
          </w:cols>
          <w:pgMar w:left="660" w:top="403" w:right="760" w:bottom="0" w:gutter="0" w:footer="0" w:header="0"/>
        </w:sectPr>
      </w:pP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2</w:t>
      </w:r>
    </w:p>
    <w:p>
      <w:pPr>
        <w:sectPr>
          <w:pgSz w:w="11880" w:h="15480" w:orient="portrait"/>
          <w:cols w:equalWidth="0" w:num="1">
            <w:col w:w="10460"/>
          </w:cols>
          <w:pgMar w:left="660" w:top="403" w:right="760" w:bottom="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0"/>
          <w:szCs w:val="20"/>
          <w:b w:val="1"/>
          <w:bCs w:val="1"/>
          <w:color w:val="auto"/>
        </w:rPr>
        <w:t>Forward-Looking Information</w:t>
      </w:r>
    </w:p>
    <w:p>
      <w:pPr>
        <w:spacing w:after="0" w:line="222" w:lineRule="exact"/>
        <w:rPr>
          <w:sz w:val="20"/>
          <w:szCs w:val="20"/>
          <w:color w:val="auto"/>
        </w:rPr>
      </w:pPr>
    </w:p>
    <w:p>
      <w:pPr>
        <w:jc w:val="both"/>
        <w:ind w:firstLine="706"/>
        <w:spacing w:after="0" w:line="264" w:lineRule="auto"/>
        <w:rPr>
          <w:sz w:val="20"/>
          <w:szCs w:val="20"/>
          <w:color w:val="auto"/>
        </w:rPr>
      </w:pPr>
      <w:r>
        <w:rPr>
          <w:rFonts w:ascii="Times New Roman" w:cs="Times New Roman" w:eastAsia="Times New Roman" w:hAnsi="Times New Roman"/>
          <w:sz w:val="18"/>
          <w:szCs w:val="18"/>
          <w:color w:val="auto"/>
        </w:rPr>
        <w:t>This Annual Report on Form 10-K ("Form 10-K") contains forward-looking statements that are based on our management’s beliefs and assumptions and on information currently available to our management, including statements appearing under the heading, “Management’s Discussion and Analysis of Financial Condition and Results of Operations”. The statements contained in this Form 10-K that are not purely historical are forward-looking statements within the meaning of the Private Securities Litigation Reform Act of 1995, Section 27A of the Securities Act of 1933, as amended, or the Securities Act, and Section 21E of the Securities Exchange Act of 1934, as amended, or the Exchange Act. In some cases, you can identify forward -looking statements by terminology such as ‘‘may,’’ ‘‘will,’’ ‘‘should,’’ ‘‘expects,’’ ‘‘plans,’’ ‘‘anticipates,’’ ‘‘believes,’’ ‘‘estimates,” “strategy,” “future,” “likely,” or “would” or by other similar expressions that convey uncertainty of future events or outcomes. These forward-looking statements involve risks and uncertainties, as well as assumptions and current expectations, which could cause the Company’s actual results to differ materially from those anticipated in such forward-looking statements. These risks and uncertainties include but are not limited to: statements about reduction in the size or quantity of customer orders; change in demand for the Company’s products due to industry conditions; our ability to maintain sufficient liquidity; changes in manufacturing operations; volatility in manufacturing costs; delays in shipments of products; disruptions in the supply chain; change in the rate of design wins or the rate of customer acceptance of new products; the Company’s reliance on a small number of customers for a substantial portion of its revenues; pricing pressure; a decline in demand for our customers’ products or their rate of deployment of their products; general conditions in the internet data center, cable television or CATV, telecommunications or telecom and fiber-to-the-home or FTTH; changes in the world economy (particularly in the United States and China); the negative effects of seasonality; expectations regarding the acquisition or divestiture of assets and business; realization of deferred tax assets; and other risks and uncertainties described more fully under the heading “Risk Factors” in this Form 10-K and those discussed in the Company’s other documents filed with or furnished to the Securities and Exchange Commission. You should not rely on forward-looking statements as predictions of future events. All forward-looking statements in this Form 10-K are based upon information available to us as of the date hereof, and qualified in their entirety by this cautionary statement. Except as required by law, we assume no obligation to update forward-looking statements for any reason after the date of this report to conform these statements to actual results or to changes in the Company’s expectations.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22" w:lineRule="exact"/>
        <w:rPr>
          <w:sz w:val="20"/>
          <w:szCs w:val="20"/>
          <w:color w:val="auto"/>
        </w:rPr>
      </w:pPr>
    </w:p>
    <w:p>
      <w:pPr>
        <w:jc w:val="both"/>
        <w:ind w:firstLine="706"/>
        <w:spacing w:after="0" w:line="246" w:lineRule="auto"/>
        <w:rPr>
          <w:sz w:val="20"/>
          <w:szCs w:val="20"/>
          <w:color w:val="auto"/>
        </w:rPr>
      </w:pPr>
      <w:r>
        <w:rPr>
          <w:rFonts w:ascii="Times New Roman" w:cs="Times New Roman" w:eastAsia="Times New Roman" w:hAnsi="Times New Roman"/>
          <w:sz w:val="20"/>
          <w:szCs w:val="20"/>
          <w:color w:val="auto"/>
        </w:rPr>
        <w:t>Applied Optoelectronics, Inc. (the "Company" or "AOI") is a leading, vertically integrated provider of fiber-optic networking products, primarily for four networking end-markets: internet data center, cable television ("CATV"), telecommunications, ("telecom"), and fiber-to-the- home ("FTTH"). We design and manufacture a range of optical communications products at varying levels of integration, from components, subassemblies and modules to complete turn-key equipment.</w:t>
      </w:r>
    </w:p>
    <w:p>
      <w:pPr>
        <w:spacing w:after="0" w:line="186" w:lineRule="exact"/>
        <w:rPr>
          <w:sz w:val="20"/>
          <w:szCs w:val="20"/>
          <w:color w:val="auto"/>
        </w:rPr>
      </w:pPr>
    </w:p>
    <w:p>
      <w:pPr>
        <w:jc w:val="both"/>
        <w:ind w:firstLine="706"/>
        <w:spacing w:after="0" w:line="243" w:lineRule="auto"/>
        <w:rPr>
          <w:sz w:val="20"/>
          <w:szCs w:val="20"/>
          <w:color w:val="auto"/>
        </w:rPr>
      </w:pPr>
      <w:r>
        <w:rPr>
          <w:rFonts w:ascii="Times New Roman" w:cs="Times New Roman" w:eastAsia="Times New Roman" w:hAnsi="Times New Roman"/>
          <w:sz w:val="20"/>
          <w:szCs w:val="20"/>
          <w:color w:val="auto"/>
        </w:rPr>
        <w:t>In designing products for our customers, we typically begin with the fundamental building blocks of lasers and laser components. From these foundational products, we design and manufacture a wide range of products to meet our customers’ needs and specifications, and such products differ from each other by their end market, intended use and level of integration. We are primarily focused on the higher-performance segments within all four of our target markets, which increasingly demand faster connectivity and innovation.</w:t>
      </w:r>
    </w:p>
    <w:p>
      <w:pPr>
        <w:spacing w:after="0" w:line="186" w:lineRule="exact"/>
        <w:rPr>
          <w:sz w:val="20"/>
          <w:szCs w:val="20"/>
          <w:color w:val="auto"/>
        </w:rPr>
      </w:pPr>
    </w:p>
    <w:p>
      <w:pPr>
        <w:jc w:val="both"/>
        <w:ind w:firstLine="706"/>
        <w:spacing w:after="0" w:line="269" w:lineRule="auto"/>
        <w:rPr>
          <w:sz w:val="20"/>
          <w:szCs w:val="20"/>
          <w:color w:val="auto"/>
        </w:rPr>
      </w:pPr>
      <w:r>
        <w:rPr>
          <w:rFonts w:ascii="Times New Roman" w:cs="Times New Roman" w:eastAsia="Times New Roman" w:hAnsi="Times New Roman"/>
          <w:sz w:val="18"/>
          <w:szCs w:val="18"/>
          <w:color w:val="auto"/>
        </w:rPr>
        <w:t>The four end markets we target are all driven by significant bandwidth demand fueled by the growth of network-connected devices, video traffic, cloud computing and online social networking. Within the internet data center market, we benefit from the increasing use of higher-capacity optical networking technology as a replacement for older, lower-speed optical interconnects, particularly as speeds reach 800 Gbps and above, as well as the movement to open internet data center architectures and the increasing use of in-house equipment design among leading internet companies. Within the CATV market, we benefit from a number of ongoing trends including the move to higher bandwidth networks among CATV service providers, especially the desire by CATV multiple system operators ("MSOs") to increase the return-path bandwidth available to offer to their customers. In the FTTH market, we benefit from continuing passive optical network deployments and system updates among telecom service providers. In the telecom market, we benefit from deployment of new high-speed fiber-optic networks by telecom network operators, including 5G networks.</w:t>
      </w:r>
    </w:p>
    <w:p>
      <w:pPr>
        <w:spacing w:after="0" w:line="168" w:lineRule="exact"/>
        <w:rPr>
          <w:sz w:val="20"/>
          <w:szCs w:val="20"/>
          <w:color w:val="auto"/>
        </w:rPr>
      </w:pPr>
    </w:p>
    <w:p>
      <w:pPr>
        <w:jc w:val="both"/>
        <w:ind w:firstLine="706"/>
        <w:spacing w:after="0" w:line="239" w:lineRule="auto"/>
        <w:rPr>
          <w:sz w:val="20"/>
          <w:szCs w:val="20"/>
          <w:color w:val="auto"/>
        </w:rPr>
      </w:pPr>
      <w:r>
        <w:rPr>
          <w:rFonts w:ascii="Times New Roman" w:cs="Times New Roman" w:eastAsia="Times New Roman" w:hAnsi="Times New Roman"/>
          <w:sz w:val="20"/>
          <w:szCs w:val="20"/>
          <w:color w:val="auto"/>
        </w:rPr>
        <w:t>The CATV market is our most established business, for which we supply a broad array of products, including lasers, transmitters and transceivers, and turn-key equipment. Sales of headend, node and distribution equipment, including amplifiers, have contributed significantly to our revenue in recent years as a result of our ability to meet the needs of CATV equipment vendors who have continued to outsource both the design and manufacturing of this equipment. In 2023, we began offering many of our CATV products directly to MSO customers, under Quantum Bandwidth™ brand name. We made this strategic decision in order to better address the needs of our MSO customers as we believe they are embarking on a complex and lengthy series of network upgrades that will likely require significant innovation from their equipment suppliers. By selling products directly to these customers, we believe that we will be able to address these needs more efficiently and will improve our time to market for these new innovations, which MSOs have indicated will be critical to timely rollout of their planned network upgrades.</w:t>
      </w:r>
    </w:p>
    <w:p>
      <w:pPr>
        <w:sectPr>
          <w:pgSz w:w="11880" w:h="15480" w:orient="portrait"/>
          <w:cols w:equalWidth="0" w:num="1">
            <w:col w:w="10600"/>
          </w:cols>
          <w:pgMar w:left="640" w:top="407"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880" w:h="15480" w:orient="portrait"/>
          <w:cols w:equalWidth="0" w:num="1">
            <w:col w:w="10600"/>
          </w:cols>
          <w:pgMar w:left="640" w:top="407" w:right="640" w:bottom="0" w:gutter="0" w:footer="0" w:header="0"/>
          <w:type w:val="continuous"/>
        </w:sectPr>
      </w:pPr>
    </w:p>
    <w:bookmarkStart w:id="5" w:name="page6"/>
    <w:bookmarkEnd w:id="5"/>
    <w:p>
      <w:pPr>
        <w:jc w:val="both"/>
        <w:ind w:firstLine="706"/>
        <w:spacing w:after="0" w:line="268" w:lineRule="auto"/>
        <w:rPr>
          <w:sz w:val="20"/>
          <w:szCs w:val="20"/>
          <w:color w:val="auto"/>
        </w:rPr>
      </w:pPr>
      <w:r>
        <w:rPr>
          <w:rFonts w:ascii="Times New Roman" w:cs="Times New Roman" w:eastAsia="Times New Roman" w:hAnsi="Times New Roman"/>
          <w:sz w:val="18"/>
          <w:szCs w:val="18"/>
          <w:color w:val="auto"/>
        </w:rPr>
        <w:t>The internet data center market is currently our fastest-growing business. Our customers in this market are generally large internet-based ("hyperscale") data center operators, along with equipment suppliers who supply our products along with others to our hyperscale data center operator customers. In both cases, we supply optical transceivers that plug into switches and servers within the data center and allow these network devices to send and receive data over fiber optic cables. The majority of the data center optical transceivers that we sell utilize our own lasers and subassemblies (we refer to the transceivers subassemblies as "light engines"), and we believe that our in- house technology and manufacturing capability for these lasers and subassemblies gives us an advantage over many of our competitors who often lack either development or manufacturing capabilities for these advanced optical modules. In addition, we believe that the significant automation employed in our production process for data center optical modules gives us advantages over our competitors in the ability to scale production rapidly, which is beneficial because the rapid adoption of artificial intelligence ("AI") is fueling a new wave of investment by hyperscale data center operators, as AI computing is very compute and bandwidth intensive.</w:t>
      </w:r>
    </w:p>
    <w:p>
      <w:pPr>
        <w:spacing w:after="0" w:line="168" w:lineRule="exact"/>
        <w:rPr>
          <w:sz w:val="20"/>
          <w:szCs w:val="20"/>
          <w:color w:val="auto"/>
        </w:rPr>
      </w:pPr>
    </w:p>
    <w:p>
      <w:pPr>
        <w:jc w:val="both"/>
        <w:ind w:firstLine="706"/>
        <w:spacing w:after="0" w:line="239" w:lineRule="auto"/>
        <w:rPr>
          <w:sz w:val="20"/>
          <w:szCs w:val="20"/>
          <w:color w:val="auto"/>
        </w:rPr>
      </w:pPr>
      <w:r>
        <w:rPr>
          <w:rFonts w:ascii="Times New Roman" w:cs="Times New Roman" w:eastAsia="Times New Roman" w:hAnsi="Times New Roman"/>
          <w:sz w:val="20"/>
          <w:szCs w:val="20"/>
          <w:color w:val="auto"/>
        </w:rPr>
        <w:t>As the complexity of CATV networks has increased over the years, equipment vendors, many of whom are our customers, have been under pressure to supply a wider variety of increasingly complex equipment to MSOs. In order to meet these demands, many equipment vendors have looked to engage with suppliers like us who have the capability to design and manufacture various network equipment or subassemblies, rather than developing these devices themselves. This outsourcing trend has been a significant contributor to the revenue we derive from the CATV market. We believe that our extensive high-speed optical, mixed-signal semiconductor and mechanical engineering capabilities position us well to continue to benefit from these industry dynamics. Our recent launch of our own branded line of equipment offers an additional growth opportunity for us, enabling us to sell directly to MSOs in certain cases rather than to CATV equipment vendors.</w:t>
      </w:r>
    </w:p>
    <w:p>
      <w:pPr>
        <w:spacing w:after="0" w:line="195" w:lineRule="exact"/>
        <w:rPr>
          <w:sz w:val="20"/>
          <w:szCs w:val="20"/>
          <w:color w:val="auto"/>
        </w:rPr>
      </w:pPr>
    </w:p>
    <w:p>
      <w:pPr>
        <w:jc w:val="both"/>
        <w:ind w:firstLine="706"/>
        <w:spacing w:after="0" w:line="243" w:lineRule="auto"/>
        <w:rPr>
          <w:sz w:val="20"/>
          <w:szCs w:val="20"/>
          <w:color w:val="auto"/>
        </w:rPr>
      </w:pPr>
      <w:r>
        <w:rPr>
          <w:rFonts w:ascii="Times New Roman" w:cs="Times New Roman" w:eastAsia="Times New Roman" w:hAnsi="Times New Roman"/>
          <w:sz w:val="20"/>
          <w:szCs w:val="20"/>
          <w:color w:val="auto"/>
        </w:rPr>
        <w:t>In the telecom market we supply lasers and laser subassemblies as well as transceivers. Our customers in this segment consist mostly of network equipment manufacturers ("NEMs") and other manufacturers of optical transceivers. Our NEM customers manufacture equipment used in telecommunications networks and our transceiver manufacturer customers use our lasers and subassemblies in the manufacture of their optical transceivers. Most of our products in this segment are purchased for use in advanced 5G mobile network deployments.</w:t>
      </w:r>
    </w:p>
    <w:p>
      <w:pPr>
        <w:spacing w:after="0" w:line="188" w:lineRule="exact"/>
        <w:rPr>
          <w:sz w:val="20"/>
          <w:szCs w:val="20"/>
          <w:color w:val="auto"/>
        </w:rPr>
      </w:pPr>
    </w:p>
    <w:p>
      <w:pPr>
        <w:jc w:val="both"/>
        <w:ind w:firstLine="706"/>
        <w:spacing w:after="0" w:line="238" w:lineRule="auto"/>
        <w:rPr>
          <w:sz w:val="20"/>
          <w:szCs w:val="20"/>
          <w:color w:val="auto"/>
        </w:rPr>
      </w:pPr>
      <w:r>
        <w:rPr>
          <w:rFonts w:ascii="Times New Roman" w:cs="Times New Roman" w:eastAsia="Times New Roman" w:hAnsi="Times New Roman"/>
          <w:sz w:val="20"/>
          <w:szCs w:val="20"/>
          <w:color w:val="auto"/>
        </w:rPr>
        <w:t>Our vertically integrated manufacturing model provides us several advantages, including rapid product development, fast response times to customer requests and greater control over product quality and manufacturing costs. We design, manufacture and integrate our own analog and digital lasers using proprietary Molecular Beam Epitaxy ("MBE") and Metal Organic Chemical Vapor Deposition ("MOCVD"), alternative processes for the fabrication of lasers. We believe the use of both processes, and our knowledge of how to combine these processes with others to fabricate lasers is unique in our industry. We manufacture the majority of the laser chips and optical components that are used in our products. The lasers we manufacture are tested extensively to enable reliable operation over time and our devices are often highly tolerant of changes in temperature and humidity, making them well-suited to the CATV, FTTH and 5G markets where networking equipment is often installed outdoors. All of our laser chips are manufactured in our facility in Sugar Land, Texas. We believe that our domestic production capacity for these devices gives us a competitive advantage over many of our competitors, as we believe that many of our customers prefer to source key components from suppliers who have domestic manufacturing capacity.</w:t>
      </w:r>
    </w:p>
    <w:p>
      <w:pPr>
        <w:spacing w:after="0" w:line="196" w:lineRule="exact"/>
        <w:rPr>
          <w:sz w:val="20"/>
          <w:szCs w:val="20"/>
          <w:color w:val="auto"/>
        </w:rPr>
      </w:pPr>
    </w:p>
    <w:p>
      <w:pPr>
        <w:jc w:val="both"/>
        <w:ind w:firstLine="706"/>
        <w:spacing w:after="0" w:line="243" w:lineRule="auto"/>
        <w:rPr>
          <w:sz w:val="20"/>
          <w:szCs w:val="20"/>
          <w:color w:val="auto"/>
        </w:rPr>
      </w:pPr>
      <w:r>
        <w:rPr>
          <w:rFonts w:ascii="Times New Roman" w:cs="Times New Roman" w:eastAsia="Times New Roman" w:hAnsi="Times New Roman"/>
          <w:sz w:val="20"/>
          <w:szCs w:val="20"/>
          <w:color w:val="auto"/>
        </w:rPr>
        <w:t>In 2025, 2024 and 2023, our revenue was $455.7 million, $249.4 million and $217.6 million and our gross margin was 30.0%, 24.8% and 27.1%, respectively. In the years ended December 31, 2025, 2024 and 2023, we had net loss of $38.2 million, $186.7 million and $56.0 million, respectively. At December 31, 2025 and 2024, our accumulated deficits were $493.1 million and $451.9 million, respectively. In 2025, we earned 53.8% of our total revenue from the CATV market and 42.9% of our total revenue from the internet data center market.</w:t>
      </w:r>
    </w:p>
    <w:p>
      <w:pPr>
        <w:spacing w:after="0" w:line="233" w:lineRule="exact"/>
        <w:rPr>
          <w:sz w:val="20"/>
          <w:szCs w:val="20"/>
          <w:color w:val="auto"/>
        </w:rPr>
      </w:pPr>
    </w:p>
    <w:p>
      <w:pPr>
        <w:jc w:val="both"/>
        <w:ind w:firstLine="706"/>
        <w:spacing w:after="0" w:line="246" w:lineRule="auto"/>
        <w:rPr>
          <w:sz w:val="20"/>
          <w:szCs w:val="20"/>
          <w:color w:val="auto"/>
        </w:rPr>
      </w:pPr>
      <w:r>
        <w:rPr>
          <w:rFonts w:ascii="Times New Roman" w:cs="Times New Roman" w:eastAsia="Times New Roman" w:hAnsi="Times New Roman"/>
          <w:sz w:val="20"/>
          <w:szCs w:val="20"/>
          <w:color w:val="auto"/>
        </w:rPr>
        <w:t>In 2025, our key customer in the CATV market was Digicomm. In 2025, 2024, and 2023, Digicomm accounted for 53.1%, 34.1% and 11.3% of our revenue, respectively, and in 2023, ATX Networks accounted for 15.6% of our revenue. In 2025, our key customer in the internet data center market was Microsoft. In 2025, 2024 and 2023, Microsoft accounted for 28.8%, 43.7% and 46.6% of our revenue, respectively, and in 2024, Oracle accounted for 12.4% of our revenue.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Industry Background</w:t>
      </w:r>
    </w:p>
    <w:p>
      <w:pPr>
        <w:spacing w:after="0" w:line="225" w:lineRule="exact"/>
        <w:rPr>
          <w:sz w:val="20"/>
          <w:szCs w:val="20"/>
          <w:color w:val="auto"/>
        </w:rPr>
      </w:pPr>
    </w:p>
    <w:p>
      <w:pPr>
        <w:jc w:val="both"/>
        <w:ind w:firstLine="706"/>
        <w:spacing w:after="0" w:line="268" w:lineRule="auto"/>
        <w:rPr>
          <w:sz w:val="20"/>
          <w:szCs w:val="20"/>
          <w:color w:val="auto"/>
        </w:rPr>
      </w:pPr>
      <w:r>
        <w:rPr>
          <w:rFonts w:ascii="Times New Roman" w:cs="Times New Roman" w:eastAsia="Times New Roman" w:hAnsi="Times New Roman"/>
          <w:sz w:val="20"/>
          <w:szCs w:val="20"/>
          <w:color w:val="auto"/>
        </w:rPr>
        <w:t>During 2025, our four target markets, internet data center, CATV, telecom and FTTH, experienced a significant growth in bandwidth consumption and the corresponding need for network infrastructure improvement to support this growth.</w:t>
      </w:r>
    </w:p>
    <w:p>
      <w:pPr>
        <w:spacing w:after="0" w:line="16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prevailing trends in our target markets include:</w:t>
      </w:r>
    </w:p>
    <w:p>
      <w:pPr>
        <w:spacing w:after="0" w:line="226" w:lineRule="exact"/>
        <w:rPr>
          <w:sz w:val="20"/>
          <w:szCs w:val="20"/>
          <w:color w:val="auto"/>
        </w:rPr>
      </w:pPr>
    </w:p>
    <w:p>
      <w:pPr>
        <w:jc w:val="both"/>
        <w:ind w:left="1080" w:hanging="357"/>
        <w:spacing w:after="0" w:line="271"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Trends in the Internet Data Center Market. </w:t>
      </w:r>
      <w:r>
        <w:rPr>
          <w:rFonts w:ascii="Times New Roman" w:cs="Times New Roman" w:eastAsia="Times New Roman" w:hAnsi="Times New Roman"/>
          <w:sz w:val="18"/>
          <w:szCs w:val="18"/>
          <w:color w:val="auto"/>
        </w:rPr>
        <w:t>To support the substantial increase in bandwidth consumption, internet data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center operators are increasing the scale of their internet data centers and deploying infrastructure capable of higher data transmission rates. As a result, there is an ongoing transition from the use of copper cable, typically at speeds of up to 1 gigabit per second ("Gbps"), to optical fiber as a transport medium, typically providing speeds from 10 Gbps to 1.6 Tbps. In recent years, a number of leading internet companies have adopted more open internet data center architectures, using a mix of systems and components from a variety of vendors, and in some cases designing their own equipment. For these companies, compatibility of new networking equipment with legacy infrastructure is not as important, and consequently,</w:t>
      </w:r>
    </w:p>
    <w:p>
      <w:pPr>
        <w:sectPr>
          <w:pgSz w:w="11880" w:h="15480" w:orient="portrait"/>
          <w:cols w:equalWidth="0" w:num="1">
            <w:col w:w="10600"/>
          </w:cols>
          <w:pgMar w:left="640" w:top="410" w:right="640" w:bottom="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880" w:h="15480" w:orient="portrait"/>
          <w:cols w:equalWidth="0" w:num="1">
            <w:col w:w="10600"/>
          </w:cols>
          <w:pgMar w:left="640" w:top="410" w:right="640" w:bottom="0" w:gutter="0" w:footer="0" w:header="0"/>
          <w:type w:val="continuous"/>
        </w:sectPr>
      </w:pPr>
    </w:p>
    <w:bookmarkStart w:id="6" w:name="page7"/>
    <w:bookmarkEnd w:id="6"/>
    <w:p>
      <w:pPr>
        <w:jc w:val="both"/>
        <w:ind w:left="1080"/>
        <w:spacing w:after="0" w:line="237" w:lineRule="auto"/>
        <w:rPr>
          <w:sz w:val="20"/>
          <w:szCs w:val="20"/>
          <w:color w:val="auto"/>
        </w:rPr>
      </w:pPr>
      <w:r>
        <w:rPr>
          <w:rFonts w:ascii="Times New Roman" w:cs="Times New Roman" w:eastAsia="Times New Roman" w:hAnsi="Times New Roman"/>
          <w:sz w:val="20"/>
          <w:szCs w:val="20"/>
          <w:color w:val="auto"/>
        </w:rPr>
        <w:t xml:space="preserve">these companies are more willing to work with non-traditional equipment vendors, which we believe creates an opportunity for optical device vendors. Moreover, transmission speeds have continued to increase among the companies who have previously </w:t>
      </w:r>
      <w:r>
        <w:rPr>
          <w:rFonts w:ascii="Times New Roman" w:cs="Times New Roman" w:eastAsia="Times New Roman" w:hAnsi="Times New Roman"/>
          <w:sz w:val="19"/>
          <w:szCs w:val="19"/>
          <w:color w:val="auto"/>
        </w:rPr>
        <w:t>transitioned from copper-based to fiber-</w:t>
      </w:r>
      <w:r>
        <w:rPr>
          <w:rFonts w:ascii="Times New Roman" w:cs="Times New Roman" w:eastAsia="Times New Roman" w:hAnsi="Times New Roman"/>
          <w:sz w:val="20"/>
          <w:szCs w:val="20"/>
          <w:color w:val="auto"/>
        </w:rPr>
        <w:t>based infrastructure, resulting in opportunities for optical device vendors to supply new optical transceivers capable of operating at these higher data rates. In recent years, supply chain disruptions have become increasingly concerning to our customers. As a result, we believe that our ability to manufacture lasers and other data center products in the US represents a competitive advantage compared with many of our competitors who have most or all of their producti</w:t>
      </w:r>
      <w:r>
        <w:rPr>
          <w:rFonts w:ascii="Times New Roman" w:cs="Times New Roman" w:eastAsia="Times New Roman" w:hAnsi="Times New Roman"/>
          <w:sz w:val="19"/>
          <w:szCs w:val="19"/>
          <w:color w:val="auto"/>
        </w:rPr>
        <w:t>on outside the US. We have developed a highly-</w:t>
      </w:r>
      <w:r>
        <w:rPr>
          <w:rFonts w:ascii="Times New Roman" w:cs="Times New Roman" w:eastAsia="Times New Roman" w:hAnsi="Times New Roman"/>
          <w:sz w:val="20"/>
          <w:szCs w:val="20"/>
          <w:color w:val="auto"/>
        </w:rPr>
        <w:t>automated production process for many of our data center products, and we believe that this gives us advantages over many of our competitors in terms of ability to scale production rapidly, as well as being able to locate production in favorable geographic locations while maintaining relatively low production costs. Hyperscale data center operators have consistently sought and deployed the most advanced technologies to support the compute and bandwidth needs within their facilities, driving the growth of optical networking within data centers. These operators have adopted more open internet data center architectures and have designed their own networking equipment, both of which use a mix of systems and components from a variety of vendors. We have benefited from these trends over the past several years, and we expect to continue to benefit from them. Recently the hyperscale data center operators have begun to build and upgrade their data centers to support AI, offering us a new growth opportunity. The leading</w:t>
      </w:r>
      <w:r>
        <w:rPr>
          <w:rFonts w:ascii="Times New Roman" w:cs="Times New Roman" w:eastAsia="Times New Roman" w:hAnsi="Times New Roman"/>
          <w:sz w:val="19"/>
          <w:szCs w:val="19"/>
          <w:color w:val="auto"/>
        </w:rPr>
        <w:t>-</w:t>
      </w:r>
      <w:r>
        <w:rPr>
          <w:rFonts w:ascii="Times New Roman" w:cs="Times New Roman" w:eastAsia="Times New Roman" w:hAnsi="Times New Roman"/>
          <w:sz w:val="20"/>
          <w:szCs w:val="20"/>
          <w:color w:val="auto"/>
        </w:rPr>
        <w:t>edge AI applications require significantly more compute capacity and bandwidth, driving the need for faster (800Gbps and higher) and innovative optical networking solutions to support the intra-data center connectivity needs.</w:t>
      </w:r>
    </w:p>
    <w:p>
      <w:pPr>
        <w:spacing w:after="0" w:line="205" w:lineRule="exact"/>
        <w:rPr>
          <w:sz w:val="20"/>
          <w:szCs w:val="20"/>
          <w:color w:val="auto"/>
        </w:rPr>
      </w:pPr>
    </w:p>
    <w:p>
      <w:pPr>
        <w:jc w:val="both"/>
        <w:ind w:left="1080" w:hanging="357"/>
        <w:spacing w:after="0" w:line="266" w:lineRule="auto"/>
        <w:tabs>
          <w:tab w:leader="none" w:pos="10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Trends in the CATV Market. </w:t>
      </w:r>
      <w:r>
        <w:rPr>
          <w:rFonts w:ascii="Times New Roman" w:cs="Times New Roman" w:eastAsia="Times New Roman" w:hAnsi="Times New Roman"/>
          <w:sz w:val="18"/>
          <w:szCs w:val="18"/>
          <w:color w:val="auto"/>
        </w:rPr>
        <w:t>Beginning over two decades ago, CATV service providers have invested extensively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support high speed, two-way communications over their networks and we expect that they will continue to do so. In North America, CATV service providers have most recently upgraded their networks with technologies like DOCSIS 3.1, which enables them to offer high speed internet connections to their customers. In order to increase available bandwidth for their customers beyond the bandwidth possible with DOCSIS 3.1, cable MSOs have supported the development of DOCSIS 4.0, which is primarily aimed at increasing the amount of bandwidth available to offer to customers, and also to making the distribution of bandwidth between "forward-path" (i.e. from the MSO office to the customer) and "return-path" (i.e. from the customer to the MSO office) more flexible. In part, enabling the flexible deployment of bandwidth between forward-path and return-path is an effort by MSOs to enable their networks to more effectively scale with consumer demand trends in the future. MSOs like Comcast and Charter have announced plans to spend billions of dollars over the next few years to upgrade to DOCSIS 4.0 network equipment. As one of the early developers of DOCSIS 4.0 equipment, we believe that this represents a significant opportunity for sales of CATV equipment in the next few years. Beginning in 2025, nearly all of our CATV equipment sold meets DOCSIS 4.0 standards.</w:t>
      </w:r>
    </w:p>
    <w:p>
      <w:pPr>
        <w:spacing w:after="0" w:line="200" w:lineRule="exact"/>
        <w:rPr>
          <w:rFonts w:ascii="Times New Roman" w:cs="Times New Roman" w:eastAsia="Times New Roman" w:hAnsi="Times New Roman"/>
          <w:sz w:val="18"/>
          <w:szCs w:val="18"/>
          <w:b w:val="1"/>
          <w:bCs w:val="1"/>
          <w:color w:val="auto"/>
        </w:rPr>
      </w:pPr>
    </w:p>
    <w:p>
      <w:pPr>
        <w:spacing w:after="0" w:line="211" w:lineRule="exact"/>
        <w:rPr>
          <w:rFonts w:ascii="Times New Roman" w:cs="Times New Roman" w:eastAsia="Times New Roman" w:hAnsi="Times New Roman"/>
          <w:sz w:val="18"/>
          <w:szCs w:val="18"/>
          <w:b w:val="1"/>
          <w:bCs w:val="1"/>
          <w:color w:val="auto"/>
        </w:rPr>
      </w:pPr>
    </w:p>
    <w:p>
      <w:pPr>
        <w:jc w:val="both"/>
        <w:ind w:left="1080" w:hanging="357"/>
        <w:spacing w:after="0" w:line="239" w:lineRule="auto"/>
        <w:tabs>
          <w:tab w:leader="none" w:pos="1080" w:val="left"/>
        </w:tabs>
        <w:numPr>
          <w:ilvl w:val="0"/>
          <w:numId w:val="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 xml:space="preserve">Trends in the Telecom Market. </w:t>
      </w:r>
      <w:r>
        <w:rPr>
          <w:rFonts w:ascii="Times New Roman" w:cs="Times New Roman" w:eastAsia="Times New Roman" w:hAnsi="Times New Roman"/>
          <w:sz w:val="20"/>
          <w:szCs w:val="20"/>
          <w:color w:val="auto"/>
        </w:rPr>
        <w:t>The telecom market is composed of customers who deploy wireline optical networks,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other than Passive Optical Networks, or PONs, for telecom access networks, including for backhaul of cellular telephone signals. As demand for mobile internet connectivity has increased in recent years, reliable and high</w:t>
      </w:r>
      <w:r>
        <w:rPr>
          <w:rFonts w:ascii="Times New Roman" w:cs="Times New Roman" w:eastAsia="Times New Roman" w:hAnsi="Times New Roman"/>
          <w:sz w:val="19"/>
          <w:szCs w:val="19"/>
          <w:color w:val="auto"/>
        </w:rPr>
        <w:t>-</w:t>
      </w:r>
      <w:r>
        <w:rPr>
          <w:rFonts w:ascii="Times New Roman" w:cs="Times New Roman" w:eastAsia="Times New Roman" w:hAnsi="Times New Roman"/>
          <w:sz w:val="20"/>
          <w:szCs w:val="20"/>
          <w:color w:val="auto"/>
        </w:rPr>
        <w:t>speed optical networks have become increasingly important. In particular, the use of wavelength division multiplexing ("WDM") to expand the capacity of mobile networks has led to increased demand for WDM components (including lasers and transceivers) by telecom equipment manufacturers. In coming years, we believe that the deployment of advanced 5G networks will result in increased demand for optical components, especially those used in connecting between antennas and base stations, as well as for backhaul.</w:t>
      </w:r>
    </w:p>
    <w:p>
      <w:pPr>
        <w:spacing w:after="0" w:line="206" w:lineRule="exact"/>
        <w:rPr>
          <w:rFonts w:ascii="Times New Roman" w:cs="Times New Roman" w:eastAsia="Times New Roman" w:hAnsi="Times New Roman"/>
          <w:sz w:val="20"/>
          <w:szCs w:val="20"/>
          <w:b w:val="1"/>
          <w:bCs w:val="1"/>
          <w:color w:val="auto"/>
        </w:rPr>
      </w:pPr>
    </w:p>
    <w:p>
      <w:pPr>
        <w:jc w:val="both"/>
        <w:ind w:left="1080" w:hanging="357"/>
        <w:spacing w:after="0" w:line="238" w:lineRule="auto"/>
        <w:tabs>
          <w:tab w:leader="none" w:pos="10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Trends in the FTTH Market. </w:t>
      </w:r>
      <w:r>
        <w:rPr>
          <w:rFonts w:ascii="Times New Roman" w:cs="Times New Roman" w:eastAsia="Times New Roman" w:hAnsi="Times New Roman"/>
          <w:sz w:val="20"/>
          <w:szCs w:val="20"/>
          <w:color w:val="auto"/>
        </w:rPr>
        <w:t>The FTTH market generally refers to the PONs that telecom service providers deploy.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most commonly deployed PON technology is Gigabit PON, or GPON, which delivers up to 2.5 Gbps of data, but due to the splitting of the bandwidth among multiple users, the actual bandwidth delivered to an individual subscriber is far less than 2.5 Gbps. One approach that does support true 1 Gbps service to the home is wavelength division multiplexing PON, or WDM</w:t>
      </w:r>
      <w:r>
        <w:rPr>
          <w:rFonts w:ascii="Times New Roman" w:cs="Times New Roman" w:eastAsia="Times New Roman" w:hAnsi="Times New Roman"/>
          <w:sz w:val="19"/>
          <w:szCs w:val="19"/>
          <w:color w:val="auto"/>
        </w:rPr>
        <w:t>-PON, a technology that enables the transmission of multiple wavelengths of data over a single fiber-</w:t>
      </w:r>
      <w:r>
        <w:rPr>
          <w:rFonts w:ascii="Times New Roman" w:cs="Times New Roman" w:eastAsia="Times New Roman" w:hAnsi="Times New Roman"/>
          <w:sz w:val="20"/>
          <w:szCs w:val="20"/>
          <w:color w:val="auto"/>
        </w:rPr>
        <w:t>optic strand. Another approach is XGS</w:t>
      </w:r>
      <w:r>
        <w:rPr>
          <w:rFonts w:ascii="Times New Roman" w:cs="Times New Roman" w:eastAsia="Times New Roman" w:hAnsi="Times New Roman"/>
          <w:sz w:val="19"/>
          <w:szCs w:val="19"/>
          <w:color w:val="auto"/>
        </w:rPr>
        <w:t>-PON, which offers 10 Gbps over a</w:t>
      </w:r>
      <w:r>
        <w:rPr>
          <w:rFonts w:ascii="Times New Roman" w:cs="Times New Roman" w:eastAsia="Times New Roman" w:hAnsi="Times New Roman"/>
          <w:sz w:val="20"/>
          <w:szCs w:val="20"/>
          <w:color w:val="auto"/>
        </w:rPr>
        <w:t xml:space="preserve"> single fiber strand. We also see opportunities for 10 Gbps Ethernet Passive Optical Network ("EPON") and higher data rate PON networks in the future. We have also developed solutions for 25 Gbps PON networks and 50 Gbps PON networks, which we believe will one day be adopted by customers. We have seen trends towards cable television MSOs beginning to deploy PON networks. We see opportunities with these customers particularly given our knowledge and experience in CATV.</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Solutions</w:t>
      </w:r>
    </w:p>
    <w:p>
      <w:pPr>
        <w:spacing w:after="0" w:line="225" w:lineRule="exact"/>
        <w:rPr>
          <w:sz w:val="20"/>
          <w:szCs w:val="20"/>
          <w:color w:val="auto"/>
        </w:rPr>
      </w:pPr>
    </w:p>
    <w:p>
      <w:pPr>
        <w:jc w:val="both"/>
        <w:ind w:firstLine="706"/>
        <w:spacing w:after="0" w:line="251" w:lineRule="auto"/>
        <w:rPr>
          <w:sz w:val="20"/>
          <w:szCs w:val="20"/>
          <w:color w:val="auto"/>
        </w:rPr>
      </w:pPr>
      <w:r>
        <w:rPr>
          <w:rFonts w:ascii="Times New Roman" w:cs="Times New Roman" w:eastAsia="Times New Roman" w:hAnsi="Times New Roman"/>
          <w:sz w:val="20"/>
          <w:szCs w:val="20"/>
          <w:color w:val="auto"/>
        </w:rPr>
        <w:t>We experience certain challenges within our target markets, including continuous pressure to innovate and deliver highly integrated products that perform reliably in harsh, demanding environments and to produce high-quality devices in large volumes at competitive prices.</w:t>
      </w:r>
    </w:p>
    <w:p>
      <w:pPr>
        <w:sectPr>
          <w:pgSz w:w="11880" w:h="15480" w:orient="portrait"/>
          <w:cols w:equalWidth="0" w:num="1">
            <w:col w:w="10600"/>
          </w:cols>
          <w:pgMar w:left="640" w:top="417"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1880" w:h="15480" w:orient="portrait"/>
          <w:cols w:equalWidth="0" w:num="1">
            <w:col w:w="10600"/>
          </w:cols>
          <w:pgMar w:left="640" w:top="417" w:right="640" w:bottom="0" w:gutter="0" w:footer="0" w:header="0"/>
          <w:type w:val="continuous"/>
        </w:sectPr>
      </w:pPr>
    </w:p>
    <w:bookmarkStart w:id="7" w:name="page8"/>
    <w:bookmarkEnd w:id="7"/>
    <w:p>
      <w:pPr>
        <w:ind w:left="720"/>
        <w:spacing w:after="0"/>
        <w:rPr>
          <w:sz w:val="20"/>
          <w:szCs w:val="20"/>
          <w:color w:val="auto"/>
        </w:rPr>
      </w:pPr>
      <w:r>
        <w:rPr>
          <w:rFonts w:ascii="Times New Roman" w:cs="Times New Roman" w:eastAsia="Times New Roman" w:hAnsi="Times New Roman"/>
          <w:sz w:val="20"/>
          <w:szCs w:val="20"/>
          <w:color w:val="auto"/>
        </w:rPr>
        <w:t>By addressing the challenges in our target markets, we provide the following benefits to our customers:</w:t>
      </w:r>
    </w:p>
    <w:p>
      <w:pPr>
        <w:spacing w:after="0" w:line="228" w:lineRule="exact"/>
        <w:rPr>
          <w:sz w:val="20"/>
          <w:szCs w:val="20"/>
          <w:color w:val="auto"/>
        </w:rPr>
      </w:pPr>
    </w:p>
    <w:p>
      <w:pPr>
        <w:jc w:val="both"/>
        <w:ind w:left="1080" w:hanging="357"/>
        <w:spacing w:after="0" w:line="249" w:lineRule="auto"/>
        <w:tabs>
          <w:tab w:leader="none" w:pos="10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Enable customers to deliver innovative products. </w:t>
      </w:r>
      <w:r>
        <w:rPr>
          <w:rFonts w:ascii="Times New Roman" w:cs="Times New Roman" w:eastAsia="Times New Roman" w:hAnsi="Times New Roman"/>
          <w:sz w:val="20"/>
          <w:szCs w:val="20"/>
          <w:color w:val="auto"/>
        </w:rPr>
        <w:t>We leverage our extensive expertise in high-speed optical, mixed-signal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semiconductor and mechanical engineering, and MOCVD and our proprietary MBE laser fabrication process to deliver technologically advanced products to our customers.</w:t>
      </w:r>
    </w:p>
    <w:p>
      <w:pPr>
        <w:spacing w:after="0" w:line="194" w:lineRule="exact"/>
        <w:rPr>
          <w:rFonts w:ascii="Times New Roman" w:cs="Times New Roman" w:eastAsia="Times New Roman" w:hAnsi="Times New Roman"/>
          <w:sz w:val="20"/>
          <w:szCs w:val="20"/>
          <w:color w:val="auto"/>
        </w:rPr>
      </w:pPr>
    </w:p>
    <w:p>
      <w:pPr>
        <w:jc w:val="both"/>
        <w:ind w:left="1080" w:hanging="357"/>
        <w:spacing w:after="0" w:line="242" w:lineRule="auto"/>
        <w:tabs>
          <w:tab w:leader="none" w:pos="10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Enhance efficiency and cost effectiveness of our customers’ supply chains. </w:t>
      </w:r>
      <w:r>
        <w:rPr>
          <w:rFonts w:ascii="Times New Roman" w:cs="Times New Roman" w:eastAsia="Times New Roman" w:hAnsi="Times New Roman"/>
          <w:sz w:val="20"/>
          <w:szCs w:val="20"/>
          <w:color w:val="auto"/>
        </w:rPr>
        <w:t>We design and sell products at the level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integration desired by a customer, from components to turn</w:t>
      </w:r>
      <w:r>
        <w:rPr>
          <w:rFonts w:ascii="Times New Roman" w:cs="Times New Roman" w:eastAsia="Times New Roman" w:hAnsi="Times New Roman"/>
          <w:sz w:val="19"/>
          <w:szCs w:val="19"/>
          <w:color w:val="auto"/>
        </w:rPr>
        <w:t>-key equipment, providing our customers a dependable, cost-</w:t>
      </w:r>
      <w:r>
        <w:rPr>
          <w:rFonts w:ascii="Times New Roman" w:cs="Times New Roman" w:eastAsia="Times New Roman" w:hAnsi="Times New Roman"/>
          <w:sz w:val="20"/>
          <w:szCs w:val="20"/>
          <w:color w:val="auto"/>
        </w:rPr>
        <w:t>effective and simplified supply chain. Our relatively more automated production process for certain optical modules also allows us more freedom in locating our manufacturing operations in customer</w:t>
      </w:r>
      <w:r>
        <w:rPr>
          <w:rFonts w:ascii="Times New Roman" w:cs="Times New Roman" w:eastAsia="Times New Roman" w:hAnsi="Times New Roman"/>
          <w:sz w:val="19"/>
          <w:szCs w:val="19"/>
          <w:color w:val="auto"/>
        </w:rPr>
        <w:t>-</w:t>
      </w:r>
      <w:r>
        <w:rPr>
          <w:rFonts w:ascii="Times New Roman" w:cs="Times New Roman" w:eastAsia="Times New Roman" w:hAnsi="Times New Roman"/>
          <w:sz w:val="20"/>
          <w:szCs w:val="20"/>
          <w:color w:val="auto"/>
        </w:rPr>
        <w:t>favored geographic locations while maintaining relatively low labor costs.</w:t>
      </w:r>
    </w:p>
    <w:p>
      <w:pPr>
        <w:spacing w:after="0" w:line="202" w:lineRule="exact"/>
        <w:rPr>
          <w:rFonts w:ascii="Times New Roman" w:cs="Times New Roman" w:eastAsia="Times New Roman" w:hAnsi="Times New Roman"/>
          <w:sz w:val="20"/>
          <w:szCs w:val="20"/>
          <w:color w:val="auto"/>
        </w:rPr>
      </w:pPr>
    </w:p>
    <w:p>
      <w:pPr>
        <w:jc w:val="both"/>
        <w:ind w:left="1080" w:hanging="357"/>
        <w:spacing w:after="0" w:line="245" w:lineRule="auto"/>
        <w:tabs>
          <w:tab w:leader="none" w:pos="10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Deliver high quality, reliable products in high volume. </w:t>
      </w:r>
      <w:r>
        <w:rPr>
          <w:rFonts w:ascii="Times New Roman" w:cs="Times New Roman" w:eastAsia="Times New Roman" w:hAnsi="Times New Roman"/>
          <w:sz w:val="20"/>
          <w:szCs w:val="20"/>
          <w:color w:val="auto"/>
        </w:rPr>
        <w:t>As a vertically integrated supplier, we are able to monitor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maintain quality control throughout the production process, using our internally produced components, where possible, for our final products. With manufacturing facilities in the U.S., Taiwan and China, we can support high volume production and timely delivery for our customers around the world.</w:t>
      </w:r>
    </w:p>
    <w:p>
      <w:pPr>
        <w:spacing w:after="0" w:line="197" w:lineRule="exact"/>
        <w:rPr>
          <w:rFonts w:ascii="Times New Roman" w:cs="Times New Roman" w:eastAsia="Times New Roman" w:hAnsi="Times New Roman"/>
          <w:sz w:val="20"/>
          <w:szCs w:val="20"/>
          <w:color w:val="auto"/>
        </w:rPr>
      </w:pPr>
    </w:p>
    <w:p>
      <w:pPr>
        <w:jc w:val="both"/>
        <w:ind w:left="1080" w:hanging="357"/>
        <w:spacing w:after="0" w:line="250" w:lineRule="auto"/>
        <w:tabs>
          <w:tab w:leader="none" w:pos="10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Provide sophisticated design solutions to our customers. </w:t>
      </w:r>
      <w:r>
        <w:rPr>
          <w:rFonts w:ascii="Times New Roman" w:cs="Times New Roman" w:eastAsia="Times New Roman" w:hAnsi="Times New Roman"/>
          <w:sz w:val="20"/>
          <w:szCs w:val="20"/>
          <w:color w:val="auto"/>
        </w:rPr>
        <w:t>We believe our in-house expertise in both analog and digital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optical engineering enables us to design comprehensive solutions that meet many of the different network architectures and protocols used by our customers.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Strengths</w:t>
      </w:r>
    </w:p>
    <w:p>
      <w:pPr>
        <w:spacing w:after="0" w:line="22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Our key competitive strengths include the following:</w:t>
      </w:r>
    </w:p>
    <w:p>
      <w:pPr>
        <w:spacing w:after="0" w:line="228" w:lineRule="exact"/>
        <w:rPr>
          <w:sz w:val="20"/>
          <w:szCs w:val="20"/>
          <w:color w:val="auto"/>
        </w:rPr>
      </w:pPr>
    </w:p>
    <w:p>
      <w:pPr>
        <w:ind w:left="1080" w:hanging="357"/>
        <w:spacing w:after="0" w:line="266" w:lineRule="auto"/>
        <w:tabs>
          <w:tab w:leader="none" w:pos="108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Proprietary technological expertise and track record of innovation. </w:t>
      </w:r>
      <w:r>
        <w:rPr>
          <w:rFonts w:ascii="Times New Roman" w:cs="Times New Roman" w:eastAsia="Times New Roman" w:hAnsi="Times New Roman"/>
          <w:sz w:val="20"/>
          <w:szCs w:val="20"/>
          <w:color w:val="auto"/>
        </w:rPr>
        <w:t>We continue to develop innovative products by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leveraging our technological expertise, including our proprietary MBE and MOCVD laser fabrication process.</w:t>
      </w:r>
    </w:p>
    <w:p>
      <w:pPr>
        <w:spacing w:after="0" w:line="177" w:lineRule="exact"/>
        <w:rPr>
          <w:rFonts w:ascii="Times New Roman" w:cs="Times New Roman" w:eastAsia="Times New Roman" w:hAnsi="Times New Roman"/>
          <w:sz w:val="20"/>
          <w:szCs w:val="20"/>
          <w:color w:val="auto"/>
        </w:rPr>
      </w:pPr>
    </w:p>
    <w:p>
      <w:pPr>
        <w:jc w:val="both"/>
        <w:ind w:left="1080" w:hanging="357"/>
        <w:spacing w:after="0" w:line="245" w:lineRule="auto"/>
        <w:tabs>
          <w:tab w:leader="none" w:pos="108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Innovative light engine design and manufacturing. </w:t>
      </w:r>
      <w:r>
        <w:rPr>
          <w:rFonts w:ascii="Times New Roman" w:cs="Times New Roman" w:eastAsia="Times New Roman" w:hAnsi="Times New Roman"/>
          <w:sz w:val="20"/>
          <w:szCs w:val="20"/>
          <w:color w:val="auto"/>
        </w:rPr>
        <w:t>High-speed data center interconnect transceivers increasingly rely 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multiple parallel optical signals. Our expertise in designing and manufacturing light engines, which combine lasers and photodiodes, and in some cases, driver electronics and/or signal amplifiers, with channel multiplexing and de</w:t>
      </w:r>
      <w:r>
        <w:rPr>
          <w:rFonts w:ascii="Times New Roman" w:cs="Times New Roman" w:eastAsia="Times New Roman" w:hAnsi="Times New Roman"/>
          <w:sz w:val="19"/>
          <w:szCs w:val="19"/>
          <w:color w:val="auto"/>
        </w:rPr>
        <w:t>-mul</w:t>
      </w:r>
      <w:r>
        <w:rPr>
          <w:rFonts w:ascii="Times New Roman" w:cs="Times New Roman" w:eastAsia="Times New Roman" w:hAnsi="Times New Roman"/>
          <w:sz w:val="20"/>
          <w:szCs w:val="20"/>
          <w:color w:val="auto"/>
        </w:rPr>
        <w:t>tiplexing elements, gives us the ability to quickly develop new products for our data center customers.</w:t>
      </w:r>
    </w:p>
    <w:p>
      <w:pPr>
        <w:spacing w:after="0" w:line="197" w:lineRule="exact"/>
        <w:rPr>
          <w:rFonts w:ascii="Times New Roman" w:cs="Times New Roman" w:eastAsia="Times New Roman" w:hAnsi="Times New Roman"/>
          <w:sz w:val="20"/>
          <w:szCs w:val="20"/>
          <w:color w:val="auto"/>
        </w:rPr>
      </w:pPr>
    </w:p>
    <w:p>
      <w:pPr>
        <w:jc w:val="both"/>
        <w:ind w:left="1080" w:hanging="357"/>
        <w:spacing w:after="0" w:line="251" w:lineRule="auto"/>
        <w:tabs>
          <w:tab w:leader="none" w:pos="108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Proven system design capabilities. </w:t>
      </w:r>
      <w:r>
        <w:rPr>
          <w:rFonts w:ascii="Times New Roman" w:cs="Times New Roman" w:eastAsia="Times New Roman" w:hAnsi="Times New Roman"/>
          <w:sz w:val="20"/>
          <w:szCs w:val="20"/>
          <w:color w:val="auto"/>
        </w:rPr>
        <w:t>We have extensive expertise and proven design capabilities in high-speed optical,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mixed</w:t>
      </w:r>
      <w:r>
        <w:rPr>
          <w:rFonts w:ascii="Times New Roman" w:cs="Times New Roman" w:eastAsia="Times New Roman" w:hAnsi="Times New Roman"/>
          <w:sz w:val="19"/>
          <w:szCs w:val="19"/>
          <w:color w:val="auto"/>
        </w:rPr>
        <w:t>-</w:t>
      </w:r>
      <w:r>
        <w:rPr>
          <w:rFonts w:ascii="Times New Roman" w:cs="Times New Roman" w:eastAsia="Times New Roman" w:hAnsi="Times New Roman"/>
          <w:sz w:val="20"/>
          <w:szCs w:val="20"/>
          <w:color w:val="auto"/>
        </w:rPr>
        <w:t>signal semiconductor and mechanical engineering, which we believe position us to take advantage of the continuing shift to outsourced design and manufacturing among CATV equipment vendors.</w:t>
      </w:r>
    </w:p>
    <w:p>
      <w:pPr>
        <w:spacing w:after="0" w:line="191" w:lineRule="exact"/>
        <w:rPr>
          <w:rFonts w:ascii="Times New Roman" w:cs="Times New Roman" w:eastAsia="Times New Roman" w:hAnsi="Times New Roman"/>
          <w:sz w:val="20"/>
          <w:szCs w:val="20"/>
          <w:color w:val="auto"/>
        </w:rPr>
      </w:pPr>
    </w:p>
    <w:p>
      <w:pPr>
        <w:jc w:val="both"/>
        <w:ind w:left="1080" w:hanging="357"/>
        <w:spacing w:after="0" w:line="245" w:lineRule="auto"/>
        <w:tabs>
          <w:tab w:leader="none" w:pos="108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Industry-leading position in the CATV market. </w:t>
      </w:r>
      <w:r>
        <w:rPr>
          <w:rFonts w:ascii="Times New Roman" w:cs="Times New Roman" w:eastAsia="Times New Roman" w:hAnsi="Times New Roman"/>
          <w:sz w:val="20"/>
          <w:szCs w:val="20"/>
          <w:color w:val="auto"/>
        </w:rPr>
        <w:t>We continue to be awarded new design and manufacturing opportunities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for CATV components and equipment. We serve a majority of the largest CATV equipment manufacturers in the world and our knowledge of both their requirements and the needs of their customers (the CATV network operators) allows us to access these new opportunities.</w:t>
      </w:r>
    </w:p>
    <w:p>
      <w:pPr>
        <w:spacing w:after="0" w:line="197" w:lineRule="exact"/>
        <w:rPr>
          <w:rFonts w:ascii="Times New Roman" w:cs="Times New Roman" w:eastAsia="Times New Roman" w:hAnsi="Times New Roman"/>
          <w:sz w:val="20"/>
          <w:szCs w:val="20"/>
          <w:color w:val="auto"/>
        </w:rPr>
      </w:pPr>
    </w:p>
    <w:p>
      <w:pPr>
        <w:jc w:val="both"/>
        <w:ind w:left="1080" w:hanging="357"/>
        <w:spacing w:after="0" w:line="273"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Vertically integrated, highly automated and geographically distributed manufacturing model. </w:t>
      </w:r>
      <w:r>
        <w:rPr>
          <w:rFonts w:ascii="Times New Roman" w:cs="Times New Roman" w:eastAsia="Times New Roman" w:hAnsi="Times New Roman"/>
          <w:sz w:val="18"/>
          <w:szCs w:val="18"/>
          <w:color w:val="auto"/>
        </w:rPr>
        <w:t>Our vertically integrated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design and manufacturing process encompasses various steps from laser design and fabrication to complete optical system design and assembly. Furthermore, we have geographically distributed our manufacturing by strategically locating our operations in the U.S., China and Taiwan to reduce development time and production costs, to better support our customers and to help protect our intellectual property. In addition, we have developed many automated processes used in our production which we believe give us advantages in terms of scalability and control of labor costs.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Strategy</w:t>
      </w:r>
    </w:p>
    <w:p>
      <w:pPr>
        <w:spacing w:after="0" w:line="22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We seek to be the leading global provider of optical components, modules and equipment for each of our four target markets: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internet data centers, CATV, telecom and FTTH. Our strategy includes the following key elements:</w:t>
      </w:r>
    </w:p>
    <w:p>
      <w:pPr>
        <w:spacing w:after="0" w:line="228" w:lineRule="exact"/>
        <w:rPr>
          <w:sz w:val="20"/>
          <w:szCs w:val="20"/>
          <w:color w:val="auto"/>
        </w:rPr>
      </w:pPr>
    </w:p>
    <w:p>
      <w:pPr>
        <w:jc w:val="both"/>
        <w:ind w:left="1080" w:hanging="357"/>
        <w:spacing w:after="0" w:line="251" w:lineRule="auto"/>
        <w:tabs>
          <w:tab w:leader="none" w:pos="108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Continue to penetrate the internet data center market. </w:t>
      </w:r>
      <w:r>
        <w:rPr>
          <w:rFonts w:ascii="Times New Roman" w:cs="Times New Roman" w:eastAsia="Times New Roman" w:hAnsi="Times New Roman"/>
          <w:sz w:val="20"/>
          <w:szCs w:val="20"/>
          <w:color w:val="auto"/>
        </w:rPr>
        <w:t>In the internet data center market, we primarily target internet data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center operators who have adopted an open system architecture</w:t>
      </w:r>
      <w:r>
        <w:rPr>
          <w:rFonts w:ascii="Times New Roman" w:cs="Times New Roman" w:eastAsia="Times New Roman" w:hAnsi="Times New Roman"/>
          <w:sz w:val="19"/>
          <w:szCs w:val="19"/>
          <w:color w:val="auto"/>
        </w:rPr>
        <w:t>—one in which the optical connectivity solution</w:t>
      </w:r>
      <w:r>
        <w:rPr>
          <w:rFonts w:ascii="Times New Roman" w:cs="Times New Roman" w:eastAsia="Times New Roman" w:hAnsi="Times New Roman"/>
          <w:sz w:val="20"/>
          <w:szCs w:val="20"/>
          <w:color w:val="auto"/>
        </w:rPr>
        <w:t>s can be provided by a different vendor than the vendor which provides their servers and switches.</w:t>
      </w:r>
    </w:p>
    <w:p>
      <w:pPr>
        <w:spacing w:after="0" w:line="189" w:lineRule="exact"/>
        <w:rPr>
          <w:rFonts w:ascii="Times New Roman" w:cs="Times New Roman" w:eastAsia="Times New Roman" w:hAnsi="Times New Roman"/>
          <w:sz w:val="20"/>
          <w:szCs w:val="20"/>
          <w:color w:val="auto"/>
        </w:rPr>
      </w:pPr>
    </w:p>
    <w:p>
      <w:pPr>
        <w:jc w:val="both"/>
        <w:ind w:left="1080" w:hanging="357"/>
        <w:spacing w:after="0" w:line="245" w:lineRule="auto"/>
        <w:tabs>
          <w:tab w:leader="none" w:pos="108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Invest in US production capacity for data center products. </w:t>
      </w:r>
      <w:r>
        <w:rPr>
          <w:rFonts w:ascii="Times New Roman" w:cs="Times New Roman" w:eastAsia="Times New Roman" w:hAnsi="Times New Roman"/>
          <w:sz w:val="20"/>
          <w:szCs w:val="20"/>
          <w:color w:val="auto"/>
        </w:rPr>
        <w:t>We believe that our flexible and highly-automated production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process gives us a competitive advantage by allowing us to locate production in the U.S., which is desirable to our customers, without dramatically increasing the cost of production by doing so. We intend to enhance this advantage by continuing to aggressively invest in U.S. production.</w:t>
      </w:r>
    </w:p>
    <w:p>
      <w:pPr>
        <w:sectPr>
          <w:pgSz w:w="11880" w:h="15480" w:orient="portrait"/>
          <w:cols w:equalWidth="0" w:num="1">
            <w:col w:w="10600"/>
          </w:cols>
          <w:pgMar w:left="640" w:top="410" w:right="640" w:bottom="0" w:gutter="0" w:footer="0" w:header="0"/>
        </w:sect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880" w:h="15480" w:orient="portrait"/>
          <w:cols w:equalWidth="0" w:num="1">
            <w:col w:w="10600"/>
          </w:cols>
          <w:pgMar w:left="640" w:top="410" w:right="640" w:bottom="0" w:gutter="0" w:footer="0" w:header="0"/>
          <w:type w:val="continuous"/>
        </w:sectPr>
      </w:pPr>
    </w:p>
    <w:bookmarkStart w:id="8" w:name="page9"/>
    <w:bookmarkEnd w:id="8"/>
    <w:p>
      <w:pPr>
        <w:jc w:val="both"/>
        <w:ind w:left="1080" w:hanging="357"/>
        <w:spacing w:after="0" w:line="251" w:lineRule="auto"/>
        <w:tabs>
          <w:tab w:leader="none" w:pos="10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Extend our leadership in CATV networking. </w:t>
      </w:r>
      <w:r>
        <w:rPr>
          <w:rFonts w:ascii="Times New Roman" w:cs="Times New Roman" w:eastAsia="Times New Roman" w:hAnsi="Times New Roman"/>
          <w:sz w:val="20"/>
          <w:szCs w:val="20"/>
          <w:color w:val="auto"/>
        </w:rPr>
        <w:t>We intend to add to our product portfolio in the CATV market following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our launch in 2023 of our own branded products to sell directly to MSOs, which we believe offers us further opportunity to enhance our presence as a supplier in the CATV market.</w:t>
      </w:r>
    </w:p>
    <w:p>
      <w:pPr>
        <w:spacing w:after="0" w:line="189" w:lineRule="exact"/>
        <w:rPr>
          <w:rFonts w:ascii="Times New Roman" w:cs="Times New Roman" w:eastAsia="Times New Roman" w:hAnsi="Times New Roman"/>
          <w:sz w:val="20"/>
          <w:szCs w:val="20"/>
          <w:color w:val="auto"/>
        </w:rPr>
      </w:pPr>
    </w:p>
    <w:p>
      <w:pPr>
        <w:jc w:val="both"/>
        <w:ind w:left="1080" w:hanging="357"/>
        <w:spacing w:after="0" w:line="245" w:lineRule="auto"/>
        <w:tabs>
          <w:tab w:leader="none" w:pos="10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Continue to invest in our capabilities, especially our automated module production, and infrastructure. </w:t>
      </w:r>
      <w:r>
        <w:rPr>
          <w:rFonts w:ascii="Times New Roman" w:cs="Times New Roman" w:eastAsia="Times New Roman" w:hAnsi="Times New Roman"/>
          <w:sz w:val="20"/>
          <w:szCs w:val="20"/>
          <w:color w:val="auto"/>
        </w:rPr>
        <w:t>We intend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continue to invest in new products, new technology and our </w:t>
      </w:r>
      <w:r>
        <w:rPr>
          <w:rFonts w:ascii="Times New Roman" w:cs="Times New Roman" w:eastAsia="Times New Roman" w:hAnsi="Times New Roman"/>
          <w:sz w:val="19"/>
          <w:szCs w:val="19"/>
          <w:color w:val="auto"/>
        </w:rPr>
        <w:t>highly-</w:t>
      </w:r>
      <w:r>
        <w:rPr>
          <w:rFonts w:ascii="Times New Roman" w:cs="Times New Roman" w:eastAsia="Times New Roman" w:hAnsi="Times New Roman"/>
          <w:sz w:val="20"/>
          <w:szCs w:val="20"/>
          <w:color w:val="auto"/>
        </w:rPr>
        <w:t>automated production infrastructure and facilities to maintain and strengthen our competitive position. We engage in an active research and development program to develop new products and enhance existing products.</w:t>
      </w:r>
    </w:p>
    <w:p>
      <w:pPr>
        <w:spacing w:after="0" w:line="199" w:lineRule="exact"/>
        <w:rPr>
          <w:rFonts w:ascii="Times New Roman" w:cs="Times New Roman" w:eastAsia="Times New Roman" w:hAnsi="Times New Roman"/>
          <w:sz w:val="20"/>
          <w:szCs w:val="20"/>
          <w:color w:val="auto"/>
        </w:rPr>
      </w:pPr>
    </w:p>
    <w:p>
      <w:pPr>
        <w:jc w:val="both"/>
        <w:ind w:left="1080" w:hanging="357"/>
        <w:spacing w:after="0" w:line="245" w:lineRule="auto"/>
        <w:tabs>
          <w:tab w:leader="none" w:pos="10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Selectively pursue other opportunities that leverage our existing expertise. </w:t>
      </w:r>
      <w:r>
        <w:rPr>
          <w:rFonts w:ascii="Times New Roman" w:cs="Times New Roman" w:eastAsia="Times New Roman" w:hAnsi="Times New Roman"/>
          <w:sz w:val="20"/>
          <w:szCs w:val="20"/>
          <w:color w:val="auto"/>
        </w:rPr>
        <w:t>Our expertise in designing and manufacturing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outdoor equipment for the CATV industry positions us well to pursue applications that are also characterized by having varying and dem</w:t>
      </w:r>
      <w:r>
        <w:rPr>
          <w:rFonts w:ascii="Times New Roman" w:cs="Times New Roman" w:eastAsia="Times New Roman" w:hAnsi="Times New Roman"/>
          <w:sz w:val="19"/>
          <w:szCs w:val="19"/>
          <w:color w:val="auto"/>
        </w:rPr>
        <w:t>anding environments, including wireless and wireline telecom infrastructure,</w:t>
      </w:r>
      <w:r>
        <w:rPr>
          <w:rFonts w:ascii="Times New Roman" w:cs="Times New Roman" w:eastAsia="Times New Roman" w:hAnsi="Times New Roman"/>
          <w:sz w:val="20"/>
          <w:szCs w:val="20"/>
          <w:color w:val="auto"/>
        </w:rPr>
        <w:t xml:space="preserve"> industrial robotics, aerospace and defense, and oil and gas exploration.</w:t>
      </w:r>
    </w:p>
    <w:p>
      <w:pPr>
        <w:spacing w:after="0" w:line="197" w:lineRule="exact"/>
        <w:rPr>
          <w:rFonts w:ascii="Times New Roman" w:cs="Times New Roman" w:eastAsia="Times New Roman" w:hAnsi="Times New Roman"/>
          <w:sz w:val="20"/>
          <w:szCs w:val="20"/>
          <w:color w:val="auto"/>
        </w:rPr>
      </w:pPr>
    </w:p>
    <w:p>
      <w:pPr>
        <w:jc w:val="both"/>
        <w:ind w:left="1080" w:hanging="357"/>
        <w:spacing w:after="0" w:line="251" w:lineRule="auto"/>
        <w:tabs>
          <w:tab w:leader="none" w:pos="10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Pursue complementary acquisition and strategic alliance opportunities. </w:t>
      </w:r>
      <w:r>
        <w:rPr>
          <w:rFonts w:ascii="Times New Roman" w:cs="Times New Roman" w:eastAsia="Times New Roman" w:hAnsi="Times New Roman"/>
          <w:sz w:val="20"/>
          <w:szCs w:val="20"/>
          <w:color w:val="auto"/>
        </w:rPr>
        <w:t>We evaluate and selectively pursue acquisition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opportunities or strategic alliances that we believe will enhance or complement our current product offerings, augment our technology roadmap, or diversify our revenue base.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w:t>
      </w:r>
      <w:r>
        <w:rPr>
          <w:rFonts w:ascii="Times New Roman" w:cs="Times New Roman" w:eastAsia="Times New Roman" w:hAnsi="Times New Roman"/>
          <w:sz w:val="20"/>
          <w:szCs w:val="20"/>
          <w:b w:val="1"/>
          <w:bCs w:val="1"/>
          <w:color w:val="auto"/>
        </w:rPr>
        <w:t>ur Technology</w:t>
      </w:r>
    </w:p>
    <w:p>
      <w:pPr>
        <w:spacing w:after="0" w:line="225" w:lineRule="exact"/>
        <w:rPr>
          <w:sz w:val="20"/>
          <w:szCs w:val="20"/>
          <w:color w:val="auto"/>
        </w:rPr>
      </w:pPr>
    </w:p>
    <w:p>
      <w:pPr>
        <w:ind w:firstLine="706"/>
        <w:spacing w:after="0" w:line="268" w:lineRule="auto"/>
        <w:rPr>
          <w:sz w:val="20"/>
          <w:szCs w:val="20"/>
          <w:color w:val="auto"/>
        </w:rPr>
      </w:pPr>
      <w:r>
        <w:rPr>
          <w:rFonts w:ascii="Times New Roman" w:cs="Times New Roman" w:eastAsia="Times New Roman" w:hAnsi="Times New Roman"/>
          <w:sz w:val="20"/>
          <w:szCs w:val="20"/>
          <w:color w:val="auto"/>
        </w:rPr>
        <w:t>We believe that we have technology leadership in four key areas: semiconductor laser manufacturing, electronic technologies that enhance the performance of our lasers, optical hybrid integration and mixed-signal semiconductor design.</w:t>
      </w:r>
    </w:p>
    <w:p>
      <w:pPr>
        <w:spacing w:after="0" w:line="170" w:lineRule="exact"/>
        <w:rPr>
          <w:sz w:val="20"/>
          <w:szCs w:val="20"/>
          <w:color w:val="auto"/>
        </w:rPr>
      </w:pPr>
    </w:p>
    <w:p>
      <w:pPr>
        <w:jc w:val="both"/>
        <w:ind w:left="1080" w:hanging="357"/>
        <w:spacing w:after="0" w:line="265"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Differentiated semiconductor laser manufacturing. </w:t>
      </w:r>
      <w:r>
        <w:rPr>
          <w:rFonts w:ascii="Times New Roman" w:cs="Times New Roman" w:eastAsia="Times New Roman" w:hAnsi="Times New Roman"/>
          <w:sz w:val="18"/>
          <w:szCs w:val="18"/>
          <w:color w:val="auto"/>
        </w:rPr>
        <w:t>We use a combination of MBE and MOCVD processes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fabrication of our lasers. We believe that the combination of these two epitaxial processes allows our products to benefit from the advantages afforded by each of these techniques. Among the differentiators of MBE relative to MOCVD fabrication are a lower process temperature and the use of solid phase materials rather than gaseous sources to grow wafers and the growth of more highly strained crystals. These factors contribute to longer operating lives of our lasers, improved laser efficiency and threshold current, and other performance attributes that make them well-suited to our target markets. While we believe that these advantages of MBE are important, MBE does have disadvantages including the inability to use certain dopant materials (for example, Iron), difficulty in certain types of regrowth, and the necessity to maintain complex ultra-high vacuum equipment. By utilizing MOCVD in a portion of our production process, we are able to ameliorate some of these disadvantages. However, the epitaxial and processing steps required in the fabrication of our devices are very complex, with numerous critical steps requiring highly precise control. As a result of some of these challenges, production yields and the performance attributes of laser devices are highly variable and optimizing these characteristics requires numerous enhancements and modifications to standard MBE equipment and the MBE process. To our knowledge, we are unique in incorporating MBE processes in the production of communications lasers in high volume, and believe it would be difficult and time-consuming for other vendors to replicate our production technology.</w:t>
      </w:r>
    </w:p>
    <w:p>
      <w:pPr>
        <w:spacing w:after="0" w:line="200" w:lineRule="exact"/>
        <w:rPr>
          <w:rFonts w:ascii="Times New Roman" w:cs="Times New Roman" w:eastAsia="Times New Roman" w:hAnsi="Times New Roman"/>
          <w:sz w:val="18"/>
          <w:szCs w:val="18"/>
          <w:color w:val="auto"/>
        </w:rPr>
      </w:pPr>
    </w:p>
    <w:p>
      <w:pPr>
        <w:spacing w:after="0" w:line="215" w:lineRule="exact"/>
        <w:rPr>
          <w:rFonts w:ascii="Times New Roman" w:cs="Times New Roman" w:eastAsia="Times New Roman" w:hAnsi="Times New Roman"/>
          <w:sz w:val="18"/>
          <w:szCs w:val="18"/>
          <w:color w:val="auto"/>
        </w:rPr>
      </w:pPr>
    </w:p>
    <w:p>
      <w:pPr>
        <w:jc w:val="both"/>
        <w:ind w:left="1080" w:hanging="357"/>
        <w:spacing w:after="0" w:line="241" w:lineRule="auto"/>
        <w:tabs>
          <w:tab w:leader="none" w:pos="10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Laser enhancement technology. </w:t>
      </w:r>
      <w:r>
        <w:rPr>
          <w:rFonts w:ascii="Times New Roman" w:cs="Times New Roman" w:eastAsia="Times New Roman" w:hAnsi="Times New Roman"/>
          <w:sz w:val="20"/>
          <w:szCs w:val="20"/>
          <w:color w:val="auto"/>
        </w:rPr>
        <w:t>Certain properties of the semiconductor lasers predominantly used in traditional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communications devices, such as chirp and wavelength drift, negatively affect their ability to transmit signals over long fiber distances or prevent them from transmitting signals with acceptable fidelity in certain applications. We have developed laser enhancement circuitry that can correct many of these deficiencies. We believe that our technology will become more essential with wider deployment of higher capacity CATV and FTTH systems, which place more stringent demands on laser performance.</w:t>
      </w:r>
    </w:p>
    <w:p>
      <w:pPr>
        <w:spacing w:after="0" w:line="202" w:lineRule="exact"/>
        <w:rPr>
          <w:rFonts w:ascii="Times New Roman" w:cs="Times New Roman" w:eastAsia="Times New Roman" w:hAnsi="Times New Roman"/>
          <w:sz w:val="20"/>
          <w:szCs w:val="20"/>
          <w:color w:val="auto"/>
        </w:rPr>
      </w:pPr>
    </w:p>
    <w:p>
      <w:pPr>
        <w:jc w:val="both"/>
        <w:ind w:left="1080" w:hanging="357"/>
        <w:spacing w:after="0" w:line="238" w:lineRule="auto"/>
        <w:tabs>
          <w:tab w:leader="none" w:pos="10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Optical hybrid-integration technology. </w:t>
      </w:r>
      <w:r>
        <w:rPr>
          <w:rFonts w:ascii="Times New Roman" w:cs="Times New Roman" w:eastAsia="Times New Roman" w:hAnsi="Times New Roman"/>
          <w:sz w:val="20"/>
          <w:szCs w:val="20"/>
          <w:color w:val="auto"/>
        </w:rPr>
        <w:t>Reducing the size, power consumption and complexity of optical devices is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essential for achieving the price and performance targets of our customers. Our ability to integrate multiple optical networking functions into a single device and to co</w:t>
      </w:r>
      <w:r>
        <w:rPr>
          <w:rFonts w:ascii="Times New Roman" w:cs="Times New Roman" w:eastAsia="Times New Roman" w:hAnsi="Times New Roman"/>
          <w:sz w:val="19"/>
          <w:szCs w:val="19"/>
          <w:color w:val="auto"/>
        </w:rPr>
        <w:t>-</w:t>
      </w:r>
      <w:r>
        <w:rPr>
          <w:rFonts w:ascii="Times New Roman" w:cs="Times New Roman" w:eastAsia="Times New Roman" w:hAnsi="Times New Roman"/>
          <w:sz w:val="20"/>
          <w:szCs w:val="20"/>
          <w:color w:val="auto"/>
        </w:rPr>
        <w:t xml:space="preserve">package multiple devices into smaller form factors helps us meet customer requirements, which we believe can also create new opportunities. For instance, the transmission speed between network elements (switches and servers, for example) within the data center has continued to increase. However, the rate at which this data can be converted from electrical signals to optical signals by laser diodes has not increased at the same pace. Therefore, to achieve data rates of </w:t>
      </w:r>
      <w:r>
        <w:rPr>
          <w:rFonts w:ascii="Times New Roman" w:cs="Times New Roman" w:eastAsia="Times New Roman" w:hAnsi="Times New Roman"/>
          <w:sz w:val="19"/>
          <w:szCs w:val="19"/>
          <w:color w:val="auto"/>
        </w:rPr>
        <w:t>40 Gbps and above, many customers utilize multiple lower data rate lasers co</w:t>
      </w:r>
      <w:r>
        <w:rPr>
          <w:rFonts w:ascii="Times New Roman" w:cs="Times New Roman" w:eastAsia="Times New Roman" w:hAnsi="Times New Roman"/>
          <w:sz w:val="20"/>
          <w:szCs w:val="20"/>
          <w:color w:val="auto"/>
        </w:rPr>
        <w:t>-packaged together into a single optical module, which we refer to as a light engin</w:t>
      </w:r>
      <w:r>
        <w:rPr>
          <w:rFonts w:ascii="Times New Roman" w:cs="Times New Roman" w:eastAsia="Times New Roman" w:hAnsi="Times New Roman"/>
          <w:sz w:val="19"/>
          <w:szCs w:val="19"/>
          <w:color w:val="auto"/>
        </w:rPr>
        <w:t>e. The technology required to cost-</w:t>
      </w:r>
      <w:r>
        <w:rPr>
          <w:rFonts w:ascii="Times New Roman" w:cs="Times New Roman" w:eastAsia="Times New Roman" w:hAnsi="Times New Roman"/>
          <w:sz w:val="20"/>
          <w:szCs w:val="20"/>
          <w:color w:val="auto"/>
        </w:rPr>
        <w:t>effectively and reliably co</w:t>
      </w:r>
      <w:r>
        <w:rPr>
          <w:rFonts w:ascii="Times New Roman" w:cs="Times New Roman" w:eastAsia="Times New Roman" w:hAnsi="Times New Roman"/>
          <w:sz w:val="19"/>
          <w:szCs w:val="19"/>
          <w:color w:val="auto"/>
        </w:rPr>
        <w:t>-</w:t>
      </w:r>
      <w:r>
        <w:rPr>
          <w:rFonts w:ascii="Times New Roman" w:cs="Times New Roman" w:eastAsia="Times New Roman" w:hAnsi="Times New Roman"/>
          <w:sz w:val="20"/>
          <w:szCs w:val="20"/>
          <w:color w:val="auto"/>
        </w:rPr>
        <w:t>package these lasers and the associated electronic control circuitry is complex. Our extensive experience with the processes and the manufacturing technologies required to produce these devices gives us a competitive advantage.</w:t>
      </w:r>
    </w:p>
    <w:p>
      <w:pPr>
        <w:spacing w:after="0" w:line="215" w:lineRule="exact"/>
        <w:rPr>
          <w:rFonts w:ascii="Times New Roman" w:cs="Times New Roman" w:eastAsia="Times New Roman" w:hAnsi="Times New Roman"/>
          <w:sz w:val="20"/>
          <w:szCs w:val="20"/>
          <w:color w:val="auto"/>
        </w:rPr>
      </w:pPr>
    </w:p>
    <w:p>
      <w:pPr>
        <w:jc w:val="both"/>
        <w:ind w:left="1080"/>
        <w:spacing w:after="0" w:line="276" w:lineRule="auto"/>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Similarly, in FTTH and telecom networks, installing new fiber-optic cable is expensive and difficult, and in some situations prohibitively so for a network service provider. As a consequence, network operators seek to maximize the utilization of their installed fiber plant. In long-haul and metropolitan networks, the number of service providers who deployed WDM technology as fiber utilization rose. Fiber utilization in access networks has risen, but the use of WDM technology in the access segment has been problematic due to the relatively high cost and power consumption of the requisite optical devices.</w:t>
      </w:r>
    </w:p>
    <w:p>
      <w:pPr>
        <w:sectPr>
          <w:pgSz w:w="11880" w:h="15480" w:orient="portrait"/>
          <w:cols w:equalWidth="0" w:num="1">
            <w:col w:w="10600"/>
          </w:cols>
          <w:pgMar w:left="640" w:top="417" w:right="640" w:bottom="0" w:gutter="0" w:footer="0" w:header="0"/>
        </w:sectPr>
      </w:pP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1880" w:h="15480" w:orient="portrait"/>
          <w:cols w:equalWidth="0" w:num="1">
            <w:col w:w="10600"/>
          </w:cols>
          <w:pgMar w:left="640" w:top="417" w:right="640" w:bottom="0" w:gutter="0" w:footer="0" w:header="0"/>
          <w:type w:val="continuous"/>
        </w:sectPr>
      </w:pPr>
    </w:p>
    <w:bookmarkStart w:id="9" w:name="page10"/>
    <w:bookmarkEnd w:id="9"/>
    <w:p>
      <w:pPr>
        <w:jc w:val="both"/>
        <w:ind w:left="1080"/>
        <w:spacing w:after="0" w:line="251" w:lineRule="auto"/>
        <w:rPr>
          <w:sz w:val="20"/>
          <w:szCs w:val="20"/>
          <w:color w:val="auto"/>
        </w:rPr>
      </w:pPr>
      <w:r>
        <w:rPr>
          <w:rFonts w:ascii="Times New Roman" w:cs="Times New Roman" w:eastAsia="Times New Roman" w:hAnsi="Times New Roman"/>
          <w:sz w:val="20"/>
          <w:szCs w:val="20"/>
          <w:color w:val="auto"/>
        </w:rPr>
        <w:t>We have developed proprietary miniaturized optical packaging, electronic control circuitry and testing algorithms to create a hybrid WDM</w:t>
      </w:r>
      <w:r>
        <w:rPr>
          <w:rFonts w:ascii="Times New Roman" w:cs="Times New Roman" w:eastAsia="Times New Roman" w:hAnsi="Times New Roman"/>
          <w:sz w:val="19"/>
          <w:szCs w:val="19"/>
          <w:color w:val="auto"/>
        </w:rPr>
        <w:t>-PON solution that addresses these historical impediments that we believe will make WDM-PON a cost</w:t>
      </w:r>
      <w:r>
        <w:rPr>
          <w:rFonts w:ascii="Times New Roman" w:cs="Times New Roman" w:eastAsia="Times New Roman" w:hAnsi="Times New Roman"/>
          <w:sz w:val="20"/>
          <w:szCs w:val="20"/>
          <w:color w:val="auto"/>
        </w:rPr>
        <w:t>-effective alternative for deployment.</w:t>
      </w:r>
    </w:p>
    <w:p>
      <w:pPr>
        <w:spacing w:after="0" w:line="189" w:lineRule="exact"/>
        <w:rPr>
          <w:sz w:val="20"/>
          <w:szCs w:val="20"/>
          <w:color w:val="auto"/>
        </w:rPr>
      </w:pPr>
    </w:p>
    <w:p>
      <w:pPr>
        <w:jc w:val="both"/>
        <w:ind w:left="1080" w:hanging="357"/>
        <w:spacing w:after="0" w:line="268"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Mixed-signal design. </w:t>
      </w:r>
      <w:r>
        <w:rPr>
          <w:rFonts w:ascii="Times New Roman" w:cs="Times New Roman" w:eastAsia="Times New Roman" w:hAnsi="Times New Roman"/>
          <w:sz w:val="18"/>
          <w:szCs w:val="18"/>
          <w:color w:val="auto"/>
        </w:rPr>
        <w:t>As CATV providers continue to evolve from primarily broadcast-video content providers to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mixture of HD video content together with data-connectivity providers, the networks they utilize to offer these services must evolve as well. Older analog networks are giving way to hybrid networks that incorporate both analog and digital signals. For example, many newer networks are being designed with "digital return-path" capabilities, and certain MSOs have begun to deploy "Remote-PHY" technologies. Both of these technologies involve transporting certain network signals in digital format, and then converting these signals to and from analog signals at various points in the MSO’s network. This combination of analog and digital signaling creates unique design challenges. Our engineers have many years of experience in developing equipment, modules and components that are well suited to these sorts of mixed-signal architectures. We believe that having deep experience in both digital and analog signaling allows us to offer superior solutions to our customers, compared with companies who have expertise in only one of these signal types.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Products</w:t>
      </w:r>
    </w:p>
    <w:p>
      <w:pPr>
        <w:spacing w:after="0" w:line="222" w:lineRule="exact"/>
        <w:rPr>
          <w:sz w:val="20"/>
          <w:szCs w:val="20"/>
          <w:color w:val="auto"/>
        </w:rPr>
      </w:pPr>
    </w:p>
    <w:p>
      <w:pPr>
        <w:jc w:val="both"/>
        <w:ind w:firstLine="706"/>
        <w:spacing w:after="0" w:line="246" w:lineRule="auto"/>
        <w:rPr>
          <w:sz w:val="20"/>
          <w:szCs w:val="20"/>
          <w:color w:val="auto"/>
        </w:rPr>
      </w:pPr>
      <w:r>
        <w:rPr>
          <w:rFonts w:ascii="Times New Roman" w:cs="Times New Roman" w:eastAsia="Times New Roman" w:hAnsi="Times New Roman"/>
          <w:sz w:val="20"/>
          <w:szCs w:val="20"/>
          <w:color w:val="auto"/>
        </w:rPr>
        <w:t>Our products include an array of optical communications solutions at varying levels of integration. We commonly begin from the fundamental building blocks of lasers and laser components. From these foundational products, we design and manufacture a wide range of products from optical modules to complete turn-key equipment. We design our products to target customers in our identified markets to meet their needs and specifications.</w:t>
      </w:r>
    </w:p>
    <w:p>
      <w:pPr>
        <w:spacing w:after="0" w:line="184" w:lineRule="exact"/>
        <w:rPr>
          <w:sz w:val="20"/>
          <w:szCs w:val="20"/>
          <w:color w:val="auto"/>
        </w:rPr>
      </w:pPr>
    </w:p>
    <w:p>
      <w:pPr>
        <w:jc w:val="both"/>
        <w:ind w:firstLine="706"/>
        <w:spacing w:after="0" w:line="243" w:lineRule="auto"/>
        <w:rPr>
          <w:sz w:val="20"/>
          <w:szCs w:val="20"/>
          <w:color w:val="auto"/>
        </w:rPr>
      </w:pPr>
      <w:r>
        <w:rPr>
          <w:rFonts w:ascii="Times New Roman" w:cs="Times New Roman" w:eastAsia="Times New Roman" w:hAnsi="Times New Roman"/>
          <w:sz w:val="20"/>
          <w:szCs w:val="20"/>
          <w:color w:val="auto"/>
        </w:rPr>
        <w:t>Our components often incorporate one or more of our optical laser chips inside a precision housing that provides mechanical protection as well as standardized electrical contacts. More complex optical components may also include optical filters (for example, for use in WDM) or other optical elements by which optical signals are routed internally within the component. These more advanced components may also include coolers, heaters and sensors that allow the temperature of the laser chip to be measured and controlled. We manufacture the majority of the laser chips and optical components that are used in our own products.</w:t>
      </w:r>
    </w:p>
    <w:p>
      <w:pPr>
        <w:spacing w:after="0" w:line="188" w:lineRule="exact"/>
        <w:rPr>
          <w:sz w:val="20"/>
          <w:szCs w:val="20"/>
          <w:color w:val="auto"/>
        </w:rPr>
      </w:pPr>
    </w:p>
    <w:p>
      <w:pPr>
        <w:jc w:val="both"/>
        <w:ind w:firstLine="706"/>
        <w:spacing w:after="0" w:line="251" w:lineRule="auto"/>
        <w:rPr>
          <w:sz w:val="20"/>
          <w:szCs w:val="20"/>
          <w:color w:val="auto"/>
        </w:rPr>
      </w:pPr>
      <w:r>
        <w:rPr>
          <w:rFonts w:ascii="Times New Roman" w:cs="Times New Roman" w:eastAsia="Times New Roman" w:hAnsi="Times New Roman"/>
          <w:sz w:val="20"/>
          <w:szCs w:val="20"/>
          <w:color w:val="auto"/>
        </w:rPr>
        <w:t>At the next level of integration, our module or sub-assembly products typically contain one or more of our optical components and some additional control circuitry. Examples of modules include our transceiver line primarily used in internet data center markets, telecom markets, and FTTH markets.</w:t>
      </w:r>
    </w:p>
    <w:p>
      <w:pPr>
        <w:spacing w:after="0" w:line="182" w:lineRule="exact"/>
        <w:rPr>
          <w:sz w:val="20"/>
          <w:szCs w:val="20"/>
          <w:color w:val="auto"/>
        </w:rPr>
      </w:pPr>
    </w:p>
    <w:p>
      <w:pPr>
        <w:jc w:val="both"/>
        <w:ind w:firstLine="706"/>
        <w:spacing w:after="0" w:line="239" w:lineRule="auto"/>
        <w:rPr>
          <w:sz w:val="20"/>
          <w:szCs w:val="20"/>
          <w:color w:val="auto"/>
        </w:rPr>
      </w:pPr>
      <w:r>
        <w:rPr>
          <w:rFonts w:ascii="Times New Roman" w:cs="Times New Roman" w:eastAsia="Times New Roman" w:hAnsi="Times New Roman"/>
          <w:sz w:val="20"/>
          <w:szCs w:val="20"/>
          <w:color w:val="auto"/>
        </w:rPr>
        <w:t>At the highest level of integration and complexity, our equipment products typically contain one or more optical components, modules and additional electronic control circuitry required to enable these subsystems to operate independently. For example, our CATV transmitter equipment requires utilization of our optical components and assembly onto a circuit board and to an external housing. Examples of equipment include our CATV transmitter and CATV nodes. Notwithstanding our expertise in optical transmission equipment, in some cases we utilize our technical expertise in radio frequency ("RF") design to develop products that do not have significant optical technology incorporated, for example our CATV amplifier products which serve to amplify the RF signals in the coaxial-cable portion of an MSO's network do not incorporate optics, but do rely on advanced mixed-signal RF and digital electronic design as well as software and firmware which we develop in house.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Research and Development</w:t>
      </w:r>
    </w:p>
    <w:p>
      <w:pPr>
        <w:spacing w:after="0" w:line="225" w:lineRule="exact"/>
        <w:rPr>
          <w:sz w:val="20"/>
          <w:szCs w:val="20"/>
          <w:color w:val="auto"/>
        </w:rPr>
      </w:pPr>
    </w:p>
    <w:p>
      <w:pPr>
        <w:jc w:val="both"/>
        <w:ind w:firstLine="706"/>
        <w:spacing w:after="0" w:line="250" w:lineRule="auto"/>
        <w:rPr>
          <w:sz w:val="20"/>
          <w:szCs w:val="20"/>
          <w:color w:val="auto"/>
        </w:rPr>
      </w:pPr>
      <w:r>
        <w:rPr>
          <w:rFonts w:ascii="Times New Roman" w:cs="Times New Roman" w:eastAsia="Times New Roman" w:hAnsi="Times New Roman"/>
          <w:sz w:val="20"/>
          <w:szCs w:val="20"/>
          <w:color w:val="auto"/>
        </w:rPr>
        <w:t>To maintain our growth and competitiveness, we engage in an active research and development program to develop new products and enhance existing products. As a result of these efforts, we anticipate releasing various new or enhanced products over the next several years.</w:t>
      </w:r>
    </w:p>
    <w:p>
      <w:pPr>
        <w:spacing w:after="0" w:line="182" w:lineRule="exact"/>
        <w:rPr>
          <w:sz w:val="20"/>
          <w:szCs w:val="20"/>
          <w:color w:val="auto"/>
        </w:rPr>
      </w:pPr>
    </w:p>
    <w:p>
      <w:pPr>
        <w:jc w:val="both"/>
        <w:ind w:firstLine="706"/>
        <w:spacing w:after="0" w:line="243" w:lineRule="auto"/>
        <w:rPr>
          <w:sz w:val="20"/>
          <w:szCs w:val="20"/>
          <w:color w:val="auto"/>
        </w:rPr>
      </w:pPr>
      <w:r>
        <w:rPr>
          <w:rFonts w:ascii="Times New Roman" w:cs="Times New Roman" w:eastAsia="Times New Roman" w:hAnsi="Times New Roman"/>
          <w:sz w:val="20"/>
          <w:szCs w:val="20"/>
          <w:color w:val="auto"/>
        </w:rPr>
        <w:t>As of December 31, 2025, we had a total of 425 employees working in the R&amp;D department, including 14 with Ph.D. degrees. We continue to recruit talented engineers to further enhance our research and development capabilities. We have research and development departments in our facilities in Texas, Georgia, China and Taiwan. Our research and development teams collaborate on joint projects, and by co-locating with our manufacturing operations enable us to achieve an efficient cost structure and improve our time to market.</w:t>
      </w:r>
    </w:p>
    <w:p>
      <w:pPr>
        <w:spacing w:after="0" w:line="188" w:lineRule="exact"/>
        <w:rPr>
          <w:sz w:val="20"/>
          <w:szCs w:val="20"/>
          <w:color w:val="auto"/>
        </w:rPr>
      </w:pPr>
    </w:p>
    <w:p>
      <w:pPr>
        <w:jc w:val="both"/>
        <w:ind w:firstLine="706"/>
        <w:spacing w:after="0" w:line="245" w:lineRule="auto"/>
        <w:rPr>
          <w:sz w:val="20"/>
          <w:szCs w:val="20"/>
          <w:color w:val="auto"/>
        </w:rPr>
      </w:pPr>
      <w:r>
        <w:rPr>
          <w:rFonts w:ascii="Times New Roman" w:cs="Times New Roman" w:eastAsia="Times New Roman" w:hAnsi="Times New Roman"/>
          <w:sz w:val="20"/>
          <w:szCs w:val="20"/>
          <w:color w:val="auto"/>
        </w:rPr>
        <w:t>A key factor in our research and development success is our highly collaborative process for new product development. Particularly in our equipment and module businesses, we often collaborate very closely with our customers from a very early stage in product development. By purposefully fostering this close collaboration, we believe that we can more rapidly develop leading solutions meeting the needs of our customers.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225" w:lineRule="exact"/>
        <w:rPr>
          <w:sz w:val="20"/>
          <w:szCs w:val="20"/>
          <w:color w:val="auto"/>
        </w:rPr>
      </w:pPr>
    </w:p>
    <w:p>
      <w:pPr>
        <w:jc w:val="both"/>
        <w:ind w:firstLine="706"/>
        <w:spacing w:after="0" w:line="250" w:lineRule="auto"/>
        <w:rPr>
          <w:sz w:val="20"/>
          <w:szCs w:val="20"/>
          <w:color w:val="auto"/>
        </w:rPr>
      </w:pPr>
      <w:r>
        <w:rPr>
          <w:rFonts w:ascii="Times New Roman" w:cs="Times New Roman" w:eastAsia="Times New Roman" w:hAnsi="Times New Roman"/>
          <w:sz w:val="20"/>
          <w:szCs w:val="20"/>
          <w:color w:val="auto"/>
        </w:rPr>
        <w:t>We rely on a combination of patent, copyright, trademark, trade secret laws and unfair competition laws, as well as confidentiality and licensing arrangements, to establish and protect our intellectual property. We employ various methods to protect these intellectual property rights, including maintaining a technological infrastructure with significant security measures, limiting</w:t>
      </w:r>
    </w:p>
    <w:p>
      <w:pPr>
        <w:sectPr>
          <w:pgSz w:w="11880" w:h="15480" w:orient="portrait"/>
          <w:cols w:equalWidth="0" w:num="1">
            <w:col w:w="10600"/>
          </w:cols>
          <w:pgMar w:left="640" w:top="417" w:right="640" w:bottom="0"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1880" w:h="15480" w:orient="portrait"/>
          <w:cols w:equalWidth="0" w:num="1">
            <w:col w:w="10600"/>
          </w:cols>
          <w:pgMar w:left="640" w:top="417" w:right="640" w:bottom="0" w:gutter="0" w:footer="0" w:header="0"/>
          <w:type w:val="continuous"/>
        </w:sectPr>
      </w:pPr>
    </w:p>
    <w:bookmarkStart w:id="10" w:name="page11"/>
    <w:bookmarkEnd w:id="10"/>
    <w:p>
      <w:pPr>
        <w:jc w:val="both"/>
        <w:spacing w:after="0" w:line="291" w:lineRule="auto"/>
        <w:rPr>
          <w:sz w:val="20"/>
          <w:szCs w:val="20"/>
          <w:color w:val="auto"/>
        </w:rPr>
      </w:pPr>
      <w:r>
        <w:rPr>
          <w:rFonts w:ascii="Times New Roman" w:cs="Times New Roman" w:eastAsia="Times New Roman" w:hAnsi="Times New Roman"/>
          <w:sz w:val="18"/>
          <w:szCs w:val="18"/>
          <w:color w:val="auto"/>
        </w:rPr>
        <w:t>disclosure and restricting access to only those individuals with an operational need for such information, and having employees, consultants and suppliers execute confidentiality agreements with us. While we expect our intellectual property to provide competitive advantages, we also find meaningful value from unpatented proprietary process knowledge, know-how and trade secrets.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Patents</w:t>
      </w:r>
    </w:p>
    <w:p>
      <w:pPr>
        <w:spacing w:after="0" w:line="218" w:lineRule="exact"/>
        <w:rPr>
          <w:sz w:val="20"/>
          <w:szCs w:val="20"/>
          <w:color w:val="auto"/>
        </w:rPr>
      </w:pPr>
    </w:p>
    <w:p>
      <w:pPr>
        <w:jc w:val="both"/>
        <w:ind w:firstLine="706"/>
        <w:spacing w:after="0" w:line="243" w:lineRule="auto"/>
        <w:rPr>
          <w:sz w:val="20"/>
          <w:szCs w:val="20"/>
          <w:color w:val="auto"/>
        </w:rPr>
      </w:pPr>
      <w:r>
        <w:rPr>
          <w:rFonts w:ascii="Times New Roman" w:cs="Times New Roman" w:eastAsia="Times New Roman" w:hAnsi="Times New Roman"/>
          <w:sz w:val="20"/>
          <w:szCs w:val="20"/>
          <w:color w:val="auto"/>
        </w:rPr>
        <w:t>As of December 31, 2025, we owned a total of 199 U.S. issued patents, 140 patents issued in China and Taiwan and 10 patents issued in Europe, plus a number of pending U.S. and foreign/international patent applications. Our issued U.S. and foreign patents will expire between 2026 and 2046. While our patents are an important element of our success, our business as a whole is not dependent on any one patent or group of patents. We do not anticipate any material effect on our business due to any patents expiring in 2025, and we continue to obtain new patents through our ongoing research and development.</w:t>
      </w:r>
    </w:p>
    <w:p>
      <w:pPr>
        <w:spacing w:after="0" w:line="1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Our portfolio of patents and patent applications covers several different technology families including:</w:t>
      </w:r>
    </w:p>
    <w:p>
      <w:pPr>
        <w:spacing w:after="0" w:line="226" w:lineRule="exact"/>
        <w:rPr>
          <w:sz w:val="20"/>
          <w:szCs w:val="20"/>
          <w:color w:val="auto"/>
        </w:rPr>
      </w:pPr>
    </w:p>
    <w:p>
      <w:pPr>
        <w:ind w:left="1080" w:hanging="357"/>
        <w:spacing w:after="0"/>
        <w:tabs>
          <w:tab w:leader="none" w:pos="1080" w:val="left"/>
        </w:tabs>
        <w:numPr>
          <w:ilvl w:val="0"/>
          <w:numId w:val="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laser structure and design;</w:t>
      </w:r>
    </w:p>
    <w:p>
      <w:pPr>
        <w:spacing w:after="0" w:line="230" w:lineRule="exact"/>
        <w:rPr>
          <w:rFonts w:ascii="Times New Roman" w:cs="Times New Roman" w:eastAsia="Times New Roman" w:hAnsi="Times New Roman"/>
          <w:sz w:val="20"/>
          <w:szCs w:val="20"/>
          <w:b w:val="1"/>
          <w:bCs w:val="1"/>
          <w:color w:val="auto"/>
        </w:rPr>
      </w:pPr>
    </w:p>
    <w:p>
      <w:pPr>
        <w:ind w:left="1080" w:hanging="357"/>
        <w:spacing w:after="0"/>
        <w:tabs>
          <w:tab w:leader="none" w:pos="1080" w:val="left"/>
        </w:tabs>
        <w:numPr>
          <w:ilvl w:val="0"/>
          <w:numId w:val="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optical signal conditioning and laser control;</w:t>
      </w:r>
    </w:p>
    <w:p>
      <w:pPr>
        <w:spacing w:after="0" w:line="231" w:lineRule="exact"/>
        <w:rPr>
          <w:rFonts w:ascii="Times New Roman" w:cs="Times New Roman" w:eastAsia="Times New Roman" w:hAnsi="Times New Roman"/>
          <w:sz w:val="20"/>
          <w:szCs w:val="20"/>
          <w:b w:val="1"/>
          <w:bCs w:val="1"/>
          <w:color w:val="auto"/>
        </w:rPr>
      </w:pPr>
    </w:p>
    <w:p>
      <w:pPr>
        <w:ind w:left="1080" w:hanging="357"/>
        <w:spacing w:after="0"/>
        <w:tabs>
          <w:tab w:leader="none" w:pos="10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laser fabrication;</w:t>
      </w:r>
    </w:p>
    <w:p>
      <w:pPr>
        <w:spacing w:after="0" w:line="231" w:lineRule="exact"/>
        <w:rPr>
          <w:rFonts w:ascii="Times New Roman" w:cs="Times New Roman" w:eastAsia="Times New Roman" w:hAnsi="Times New Roman"/>
          <w:sz w:val="20"/>
          <w:szCs w:val="20"/>
          <w:color w:val="auto"/>
        </w:rPr>
      </w:pPr>
    </w:p>
    <w:p>
      <w:pPr>
        <w:ind w:left="1080" w:hanging="357"/>
        <w:spacing w:after="0"/>
        <w:tabs>
          <w:tab w:leader="none" w:pos="10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photodiode and optical receiver design and fabrication;</w:t>
      </w:r>
    </w:p>
    <w:p>
      <w:pPr>
        <w:spacing w:after="0" w:line="231" w:lineRule="exact"/>
        <w:rPr>
          <w:rFonts w:ascii="Times New Roman" w:cs="Times New Roman" w:eastAsia="Times New Roman" w:hAnsi="Times New Roman"/>
          <w:sz w:val="20"/>
          <w:szCs w:val="20"/>
          <w:color w:val="auto"/>
        </w:rPr>
      </w:pPr>
    </w:p>
    <w:p>
      <w:pPr>
        <w:ind w:left="1080" w:hanging="357"/>
        <w:spacing w:after="0"/>
        <w:tabs>
          <w:tab w:leader="none" w:pos="10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optical device and module designs;</w:t>
      </w:r>
    </w:p>
    <w:p>
      <w:pPr>
        <w:spacing w:after="0" w:line="231" w:lineRule="exact"/>
        <w:rPr>
          <w:rFonts w:ascii="Times New Roman" w:cs="Times New Roman" w:eastAsia="Times New Roman" w:hAnsi="Times New Roman"/>
          <w:sz w:val="20"/>
          <w:szCs w:val="20"/>
          <w:color w:val="auto"/>
        </w:rPr>
      </w:pPr>
    </w:p>
    <w:p>
      <w:pPr>
        <w:ind w:left="1080" w:hanging="357"/>
        <w:spacing w:after="0"/>
        <w:tabs>
          <w:tab w:leader="none" w:pos="10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optical device packaging equipment and techniques;</w:t>
      </w:r>
    </w:p>
    <w:p>
      <w:pPr>
        <w:spacing w:after="0" w:line="229" w:lineRule="exact"/>
        <w:rPr>
          <w:rFonts w:ascii="Times New Roman" w:cs="Times New Roman" w:eastAsia="Times New Roman" w:hAnsi="Times New Roman"/>
          <w:sz w:val="20"/>
          <w:szCs w:val="20"/>
          <w:color w:val="auto"/>
        </w:rPr>
      </w:pPr>
    </w:p>
    <w:p>
      <w:pPr>
        <w:ind w:left="1080" w:hanging="357"/>
        <w:spacing w:after="0"/>
        <w:tabs>
          <w:tab w:leader="none" w:pos="10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optical network enhancements; and</w:t>
      </w:r>
    </w:p>
    <w:p>
      <w:pPr>
        <w:spacing w:after="0" w:line="230" w:lineRule="exact"/>
        <w:rPr>
          <w:rFonts w:ascii="Times New Roman" w:cs="Times New Roman" w:eastAsia="Times New Roman" w:hAnsi="Times New Roman"/>
          <w:sz w:val="20"/>
          <w:szCs w:val="20"/>
          <w:color w:val="auto"/>
        </w:rPr>
      </w:pPr>
    </w:p>
    <w:p>
      <w:pPr>
        <w:ind w:left="1080" w:hanging="357"/>
        <w:spacing w:after="0"/>
        <w:tabs>
          <w:tab w:leader="none" w:pos="1080" w:val="left"/>
        </w:tabs>
        <w:numPr>
          <w:ilvl w:val="0"/>
          <w:numId w:val="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CATV networking technologies.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Trademarks</w:t>
      </w:r>
    </w:p>
    <w:p>
      <w:pPr>
        <w:spacing w:after="0" w:line="218" w:lineRule="exact"/>
        <w:rPr>
          <w:sz w:val="20"/>
          <w:szCs w:val="20"/>
          <w:color w:val="auto"/>
        </w:rPr>
      </w:pPr>
    </w:p>
    <w:p>
      <w:pPr>
        <w:jc w:val="both"/>
        <w:ind w:firstLine="706"/>
        <w:spacing w:after="0" w:line="250" w:lineRule="auto"/>
        <w:rPr>
          <w:sz w:val="20"/>
          <w:szCs w:val="20"/>
          <w:color w:val="auto"/>
        </w:rPr>
      </w:pPr>
      <w:r>
        <w:rPr>
          <w:rFonts w:ascii="Times New Roman" w:cs="Times New Roman" w:eastAsia="Times New Roman" w:hAnsi="Times New Roman"/>
          <w:sz w:val="20"/>
          <w:szCs w:val="20"/>
          <w:color w:val="auto"/>
        </w:rPr>
        <w:t>We have registered the trademarks APPLIED OPTOELECTRONICS, INC., AOI, and Quantum Bandwidth with the U.S. Patent and Trademark Office on the Principal Register. These marks are also registered in, or have applications for registration pending in, various foreign trademark offices.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Manufacturing and Operations</w:t>
      </w:r>
    </w:p>
    <w:p>
      <w:pPr>
        <w:spacing w:after="0" w:line="225" w:lineRule="exact"/>
        <w:rPr>
          <w:sz w:val="20"/>
          <w:szCs w:val="20"/>
          <w:color w:val="auto"/>
        </w:rPr>
      </w:pPr>
    </w:p>
    <w:p>
      <w:pPr>
        <w:jc w:val="both"/>
        <w:ind w:firstLine="706"/>
        <w:spacing w:after="0" w:line="237" w:lineRule="auto"/>
        <w:rPr>
          <w:sz w:val="20"/>
          <w:szCs w:val="20"/>
          <w:color w:val="auto"/>
        </w:rPr>
      </w:pPr>
      <w:r>
        <w:rPr>
          <w:rFonts w:ascii="Times New Roman" w:cs="Times New Roman" w:eastAsia="Times New Roman" w:hAnsi="Times New Roman"/>
          <w:sz w:val="20"/>
          <w:szCs w:val="20"/>
          <w:color w:val="auto"/>
        </w:rPr>
        <w:t>We have three manufacturing sites: Sugar Land, Texas, Ningbo, China and Taipei, Taiwan. Our research and development functions are generally partnered with our manufacturing locations, and we have an additional research and development facility in Duluth, Georgia. In our Sugar Land facility, we manufacture laser chips (utilizing our MBE and MOCVD processes), subassemblies and components. The subassemblies are used in the manufacture of components by our other manufacturing facilities or sold to third parties as modules. We manufacture our laser chips only within our Sugar Land facility, where our laser design team is located. In our Taiwan location, which comprises several buildings in close proximity to each other, we manufacture optical components, such as our butterfly lasers, which incorporate laser chips, subassemblies and components manufactured within our Sugar Land facility. In addition, in our Taiwan location, we manufacture transceivers for the internet data center, telecom, FTTH and other markets and we also manufacture CATV outdoor equipment including amplifiers. In our China facility, we take advantage of lower labor costs and manufacture certain more labor intensive components and optical equipment systems, such as optical subassemblies and transceivers for the CATV transmitters (at the headend), internet data center market, and CATV outdoor equipment. Each manufacturing facility conducts testing on the components, modules or subsystems it manufactures and each facility is certified to ISO 9001:2015 and ISO 14001:2015.</w:t>
      </w:r>
    </w:p>
    <w:p>
      <w:pPr>
        <w:spacing w:after="0" w:line="202" w:lineRule="exact"/>
        <w:rPr>
          <w:sz w:val="20"/>
          <w:szCs w:val="20"/>
          <w:color w:val="auto"/>
        </w:rPr>
      </w:pPr>
    </w:p>
    <w:p>
      <w:pPr>
        <w:jc w:val="both"/>
        <w:ind w:firstLine="706"/>
        <w:spacing w:after="0"/>
        <w:rPr>
          <w:sz w:val="20"/>
          <w:szCs w:val="20"/>
          <w:color w:val="auto"/>
        </w:rPr>
      </w:pPr>
      <w:r>
        <w:rPr>
          <w:rFonts w:ascii="Times New Roman" w:cs="Times New Roman" w:eastAsia="Times New Roman" w:hAnsi="Times New Roman"/>
          <w:sz w:val="20"/>
          <w:szCs w:val="20"/>
          <w:color w:val="auto"/>
        </w:rPr>
        <w:t>We sell our products to customers worldwide, and in addition to these external customer sales many of our products are used internally in the production of transceivers and equipment that we manufacture. With a vertically integrated manufacturing process, we produce many of our own laser chips and other parts required to manufacture our optical components. Through this model, we are able to reduce development time and product costs as well as actively monitor and control product quality. We incorporate our own components into our transceivers, subsystems and equipment products wherever possible. In instances where we do not produce components ourselves, we source them from external suppliers and regularly evaluate these relationships in an attempt to reduce risk and lower cost.</w:t>
      </w:r>
    </w:p>
    <w:p>
      <w:pPr>
        <w:spacing w:after="0" w:line="194" w:lineRule="exact"/>
        <w:rPr>
          <w:sz w:val="20"/>
          <w:szCs w:val="20"/>
          <w:color w:val="auto"/>
        </w:rPr>
      </w:pPr>
    </w:p>
    <w:p>
      <w:pPr>
        <w:jc w:val="both"/>
        <w:ind w:firstLine="706"/>
        <w:spacing w:after="0" w:line="291" w:lineRule="auto"/>
        <w:rPr>
          <w:sz w:val="20"/>
          <w:szCs w:val="20"/>
          <w:color w:val="auto"/>
        </w:rPr>
      </w:pPr>
      <w:r>
        <w:rPr>
          <w:rFonts w:ascii="Times New Roman" w:cs="Times New Roman" w:eastAsia="Times New Roman" w:hAnsi="Times New Roman"/>
          <w:sz w:val="18"/>
          <w:szCs w:val="18"/>
          <w:color w:val="auto"/>
        </w:rPr>
        <w:t>We depend on a limited number of suppliers, including in some cases our own internal supply, for certain raw materials and components used in our products. We regularly review our vendor relationships in an attempt to mitigate risks and lower costs, especially where we depend on one or two vendors for critical components or raw materials. While maintaining inventories that we believe are</w:t>
      </w:r>
    </w:p>
    <w:p>
      <w:pPr>
        <w:sectPr>
          <w:pgSz w:w="11880" w:h="15480" w:orient="portrait"/>
          <w:cols w:equalWidth="0" w:num="1">
            <w:col w:w="10600"/>
          </w:cols>
          <w:pgMar w:left="640" w:top="410" w:right="640" w:bottom="0" w:gutter="0" w:footer="0" w:header="0"/>
        </w:sectPr>
      </w:pP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1880" w:h="15480" w:orient="portrait"/>
          <w:cols w:equalWidth="0" w:num="1">
            <w:col w:w="10600"/>
          </w:cols>
          <w:pgMar w:left="640" w:top="410" w:right="640" w:bottom="0" w:gutter="0" w:footer="0" w:header="0"/>
          <w:type w:val="continuous"/>
        </w:sectPr>
      </w:pPr>
    </w:p>
    <w:bookmarkStart w:id="11" w:name="page12"/>
    <w:bookmarkEnd w:id="11"/>
    <w:p>
      <w:pPr>
        <w:jc w:val="both"/>
        <w:spacing w:after="0" w:line="245" w:lineRule="auto"/>
        <w:rPr>
          <w:sz w:val="20"/>
          <w:szCs w:val="20"/>
          <w:color w:val="auto"/>
        </w:rPr>
      </w:pPr>
      <w:r>
        <w:rPr>
          <w:rFonts w:ascii="Times New Roman" w:cs="Times New Roman" w:eastAsia="Times New Roman" w:hAnsi="Times New Roman"/>
          <w:sz w:val="20"/>
          <w:szCs w:val="20"/>
          <w:color w:val="auto"/>
        </w:rPr>
        <w:t>sufficient to meet our near-term needs, we strive not to carry significant inventories of externally sourced raw materials. Accordingly, we maintain ongoing communications with our vendors in order to help prevent any interruptions in supply, and have implemented a supply-chain management program to maintain quality and lower purchase prices through standardized purchasing efficiencies and design requirements.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Sources of Raw Materials</w:t>
      </w:r>
    </w:p>
    <w:p>
      <w:pPr>
        <w:spacing w:after="0" w:line="225" w:lineRule="exact"/>
        <w:rPr>
          <w:sz w:val="20"/>
          <w:szCs w:val="20"/>
          <w:color w:val="auto"/>
        </w:rPr>
      </w:pPr>
    </w:p>
    <w:p>
      <w:pPr>
        <w:jc w:val="both"/>
        <w:ind w:firstLine="706"/>
        <w:spacing w:after="0"/>
        <w:rPr>
          <w:sz w:val="20"/>
          <w:szCs w:val="20"/>
          <w:color w:val="auto"/>
        </w:rPr>
      </w:pPr>
      <w:r>
        <w:rPr>
          <w:rFonts w:ascii="Times New Roman" w:cs="Times New Roman" w:eastAsia="Times New Roman" w:hAnsi="Times New Roman"/>
          <w:sz w:val="20"/>
          <w:szCs w:val="20"/>
          <w:color w:val="auto"/>
        </w:rPr>
        <w:t>We depend on a limited number of suppliers for certain raw materials, components, and equipment used in our products. We continually review our supplier relationships to mitigate risks and lower costs, especially where we depend on one or two suppliers for critical components or raw materials. While maintaining inventories that we believe are sufficient to meet our near-term needs, we strive not to carry significant inventories of raw materials. Accordingly, we maintain ongoing communications with our suppliers in order to prevent any interruptions in supply, and have implemented a supply-chain management program to maintain quality and lower purchase prices through standardized purchasing efficiencies and design requirements. To date, we generally have been able to obtain sufficient quantities of critical supplies in a timely manner.</w:t>
      </w:r>
    </w:p>
    <w:p>
      <w:pPr>
        <w:spacing w:after="0" w:line="192" w:lineRule="exact"/>
        <w:rPr>
          <w:sz w:val="20"/>
          <w:szCs w:val="20"/>
          <w:color w:val="auto"/>
        </w:rPr>
      </w:pPr>
    </w:p>
    <w:p>
      <w:pPr>
        <w:jc w:val="both"/>
        <w:ind w:firstLine="706"/>
        <w:spacing w:after="0" w:line="251" w:lineRule="auto"/>
        <w:rPr>
          <w:sz w:val="20"/>
          <w:szCs w:val="20"/>
          <w:color w:val="auto"/>
        </w:rPr>
      </w:pPr>
      <w:r>
        <w:rPr>
          <w:rFonts w:ascii="Times New Roman" w:cs="Times New Roman" w:eastAsia="Times New Roman" w:hAnsi="Times New Roman"/>
          <w:sz w:val="20"/>
          <w:szCs w:val="20"/>
          <w:color w:val="auto"/>
        </w:rPr>
        <w:t>We are subject to rules promulgated by the SEC pursuant to the Dodd-Frank Wall Street Reform and Consumer Protection Act regarding the use of "conflict minerals". These rules have imposed and will continue to impose additional costs and may introduce new risks related to our ability to verify the origin of any "conflict minerals" used in our products.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Customers</w:t>
      </w:r>
    </w:p>
    <w:p>
      <w:pPr>
        <w:spacing w:after="0" w:line="222" w:lineRule="exact"/>
        <w:rPr>
          <w:sz w:val="20"/>
          <w:szCs w:val="20"/>
          <w:color w:val="auto"/>
        </w:rPr>
      </w:pPr>
    </w:p>
    <w:p>
      <w:pPr>
        <w:jc w:val="both"/>
        <w:ind w:firstLine="706"/>
        <w:spacing w:after="0"/>
        <w:rPr>
          <w:sz w:val="20"/>
          <w:szCs w:val="20"/>
          <w:color w:val="auto"/>
        </w:rPr>
      </w:pPr>
      <w:r>
        <w:rPr>
          <w:rFonts w:ascii="Times New Roman" w:cs="Times New Roman" w:eastAsia="Times New Roman" w:hAnsi="Times New Roman"/>
          <w:sz w:val="20"/>
          <w:szCs w:val="20"/>
          <w:color w:val="auto"/>
        </w:rPr>
        <w:t>Our customers are primarily internet data center operators, CATV and telecom equipment manufacturers, and internet service providers. We generally employ a direct sales model in North America and in the rest of the world we use both direct and indirect sales channels. In 2025, 2024 and 2023, we obtained 44.7%, 64.4% and 88.6% of our revenue, respectively, through our direct sales efforts and the remainder of our revenue through our indirect sales channels. Our sales channel partners provide logistical services and day-to-day customer support. Where we sell through an indirect sales channel, we work with the end customer to establish technological specifications for our products. We also from time to time offer design or manufacturing services to customers to assist them in more effectively using our products and realizing time-to-market advantages.</w:t>
      </w:r>
    </w:p>
    <w:p>
      <w:pPr>
        <w:spacing w:after="0" w:line="194" w:lineRule="exact"/>
        <w:rPr>
          <w:sz w:val="20"/>
          <w:szCs w:val="20"/>
          <w:color w:val="auto"/>
        </w:rPr>
      </w:pPr>
    </w:p>
    <w:p>
      <w:pPr>
        <w:jc w:val="both"/>
        <w:ind w:firstLine="706"/>
        <w:spacing w:after="0" w:line="245" w:lineRule="auto"/>
        <w:rPr>
          <w:sz w:val="20"/>
          <w:szCs w:val="20"/>
          <w:color w:val="auto"/>
        </w:rPr>
      </w:pPr>
      <w:r>
        <w:rPr>
          <w:rFonts w:ascii="Times New Roman" w:cs="Times New Roman" w:eastAsia="Times New Roman" w:hAnsi="Times New Roman"/>
          <w:sz w:val="20"/>
          <w:szCs w:val="20"/>
          <w:color w:val="auto"/>
        </w:rPr>
        <w:t>We have taken several actions to increase the diversity of our customer base. These actions include hiring sales staff to improve our ability to serve new customers and the introduction of new products that we believe will appeal to new customers. Furthermore, we have developed additional original design manufacturer, or ODM, relationships with customers in each of our target markets which should enable us to diversify our revenue base.</w:t>
      </w:r>
    </w:p>
    <w:p>
      <w:pPr>
        <w:spacing w:after="0" w:line="188" w:lineRule="exact"/>
        <w:rPr>
          <w:sz w:val="20"/>
          <w:szCs w:val="20"/>
          <w:color w:val="auto"/>
        </w:rPr>
      </w:pPr>
    </w:p>
    <w:p>
      <w:pPr>
        <w:jc w:val="both"/>
        <w:ind w:firstLine="706"/>
        <w:spacing w:after="0" w:line="245" w:lineRule="auto"/>
        <w:rPr>
          <w:sz w:val="20"/>
          <w:szCs w:val="20"/>
          <w:color w:val="auto"/>
        </w:rPr>
      </w:pPr>
      <w:r>
        <w:rPr>
          <w:rFonts w:ascii="Times New Roman" w:cs="Times New Roman" w:eastAsia="Times New Roman" w:hAnsi="Times New Roman"/>
          <w:sz w:val="20"/>
          <w:szCs w:val="20"/>
          <w:color w:val="auto"/>
        </w:rPr>
        <w:t>In 2025, the largest customer who contributed most to our internet data center revenue was Microsoft. In 2025, our largest CATV customer was Digicomm. In 2025, revenue from CATV market, the internet data center market, telecom market, FTTH and other markets provided 53.8%, 42.9%, 3.0% and 0.3% of our revenue, respectively, compared to 35.2%, 59.5%, 4.4% and 0.9%, respectively, in 2024.</w:t>
      </w:r>
    </w:p>
    <w:p>
      <w:pPr>
        <w:spacing w:after="0" w:line="188" w:lineRule="exact"/>
        <w:rPr>
          <w:sz w:val="20"/>
          <w:szCs w:val="20"/>
          <w:color w:val="auto"/>
        </w:rPr>
      </w:pPr>
    </w:p>
    <w:p>
      <w:pPr>
        <w:jc w:val="both"/>
        <w:ind w:firstLine="706"/>
        <w:spacing w:after="0" w:line="245" w:lineRule="auto"/>
        <w:rPr>
          <w:sz w:val="20"/>
          <w:szCs w:val="20"/>
          <w:color w:val="auto"/>
        </w:rPr>
      </w:pPr>
      <w:r>
        <w:rPr>
          <w:rFonts w:ascii="Times New Roman" w:cs="Times New Roman" w:eastAsia="Times New Roman" w:hAnsi="Times New Roman"/>
          <w:sz w:val="20"/>
          <w:szCs w:val="20"/>
          <w:color w:val="auto"/>
        </w:rPr>
        <w:t>In our telecom market, we manufacture and sell optical products which include transceivers designed to transmit signals used in 5th Generation ("5G") mobile networks, and various products targeted at the metro-scale telecom networking market. We have various other products designed for diverse applications, both inside and outside of communications technology, which generally are derivatives of products developed for our four target markets.</w:t>
      </w:r>
    </w:p>
    <w:p>
      <w:pPr>
        <w:spacing w:after="0" w:line="188" w:lineRule="exact"/>
        <w:rPr>
          <w:sz w:val="20"/>
          <w:szCs w:val="20"/>
          <w:color w:val="auto"/>
        </w:rPr>
      </w:pPr>
    </w:p>
    <w:p>
      <w:pPr>
        <w:jc w:val="both"/>
        <w:ind w:firstLine="706"/>
        <w:spacing w:after="0" w:line="268" w:lineRule="auto"/>
        <w:rPr>
          <w:sz w:val="20"/>
          <w:szCs w:val="20"/>
          <w:color w:val="auto"/>
        </w:rPr>
      </w:pPr>
      <w:r>
        <w:rPr>
          <w:rFonts w:ascii="Times New Roman" w:cs="Times New Roman" w:eastAsia="Times New Roman" w:hAnsi="Times New Roman"/>
          <w:sz w:val="20"/>
          <w:szCs w:val="20"/>
          <w:color w:val="auto"/>
        </w:rPr>
        <w:t>We support our sales efforts by attendance at industry trade shows, technical conferences and other promotional efforts. These efforts are aimed at attracting new customers and enhancing our existing customer relationships.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Backlog</w:t>
      </w:r>
    </w:p>
    <w:p>
      <w:pPr>
        <w:spacing w:after="0" w:line="222" w:lineRule="exact"/>
        <w:rPr>
          <w:sz w:val="20"/>
          <w:szCs w:val="20"/>
          <w:color w:val="auto"/>
        </w:rPr>
      </w:pPr>
    </w:p>
    <w:p>
      <w:pPr>
        <w:jc w:val="both"/>
        <w:ind w:firstLine="706"/>
        <w:spacing w:after="0" w:line="251" w:lineRule="auto"/>
        <w:rPr>
          <w:sz w:val="20"/>
          <w:szCs w:val="20"/>
          <w:color w:val="auto"/>
        </w:rPr>
      </w:pPr>
      <w:r>
        <w:rPr>
          <w:rFonts w:ascii="Times New Roman" w:cs="Times New Roman" w:eastAsia="Times New Roman" w:hAnsi="Times New Roman"/>
          <w:sz w:val="20"/>
          <w:szCs w:val="20"/>
          <w:color w:val="auto"/>
        </w:rPr>
        <w:t>We generally make sales pursuant to short-term purchase orders without deposits and subject to rescheduling, revision or cancellation on short notice. We accordingly believe that purchase orders are not an accurate indicator of our future sales and any backlog of purchase orders is not a reliable indicator of our future revenue.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222" w:lineRule="exact"/>
        <w:rPr>
          <w:sz w:val="20"/>
          <w:szCs w:val="20"/>
          <w:color w:val="auto"/>
        </w:rPr>
      </w:pPr>
    </w:p>
    <w:p>
      <w:pPr>
        <w:jc w:val="both"/>
        <w:ind w:firstLine="706"/>
        <w:spacing w:after="0" w:line="241" w:lineRule="auto"/>
        <w:rPr>
          <w:sz w:val="20"/>
          <w:szCs w:val="20"/>
          <w:color w:val="auto"/>
        </w:rPr>
      </w:pPr>
      <w:r>
        <w:rPr>
          <w:rFonts w:ascii="Times New Roman" w:cs="Times New Roman" w:eastAsia="Times New Roman" w:hAnsi="Times New Roman"/>
          <w:sz w:val="20"/>
          <w:szCs w:val="20"/>
          <w:color w:val="auto"/>
        </w:rPr>
        <w:t>The optical networking market is intensely competitive. Because of the broad nature of our product offerings, we do not believe that we face a single major competitor across all of our markets. We do, however, experience intense competition in each product area from a number of manufacturers and we anticipate that competition will increase. Our major competitors in one or more of our markets include Coherent Corporation, Eoptolink Technology Inc., Ltd., Foxconn Interconnect Technology Ltd., InnoLight Technology (Suzhou) Ltd., Intel Corporation, Lumentum Holdings, Inc., Mitsubishi, Molex, LLC, Source Photonics, Inc. and Sumitomo Electric Industries, Ltd.</w:t>
      </w:r>
    </w:p>
    <w:p>
      <w:pPr>
        <w:spacing w:after="0" w:line="19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Many of our competitors are larger than we are and have significantly greater financial, marketing and other resources.</w:t>
      </w:r>
    </w:p>
    <w:p>
      <w:pPr>
        <w:sectPr>
          <w:pgSz w:w="11880" w:h="15480" w:orient="portrait"/>
          <w:cols w:equalWidth="0" w:num="1">
            <w:col w:w="10600"/>
          </w:cols>
          <w:pgMar w:left="640" w:top="410" w:right="640" w:bottom="0" w:gutter="0" w:footer="0" w:header="0"/>
        </w:sect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880" w:h="15480" w:orient="portrait"/>
          <w:cols w:equalWidth="0" w:num="1">
            <w:col w:w="10600"/>
          </w:cols>
          <w:pgMar w:left="640" w:top="410" w:right="640" w:bottom="0" w:gutter="0" w:footer="0" w:header="0"/>
          <w:type w:val="continuous"/>
        </w:sectPr>
      </w:pPr>
    </w:p>
    <w:bookmarkStart w:id="12" w:name="page13"/>
    <w:bookmarkEnd w:id="12"/>
    <w:p>
      <w:pPr>
        <w:jc w:val="both"/>
        <w:ind w:firstLine="805"/>
        <w:spacing w:after="0" w:line="243" w:lineRule="auto"/>
        <w:rPr>
          <w:sz w:val="20"/>
          <w:szCs w:val="20"/>
          <w:color w:val="auto"/>
        </w:rPr>
      </w:pPr>
      <w:r>
        <w:rPr>
          <w:rFonts w:ascii="Times New Roman" w:cs="Times New Roman" w:eastAsia="Times New Roman" w:hAnsi="Times New Roman"/>
          <w:sz w:val="20"/>
          <w:szCs w:val="20"/>
          <w:color w:val="auto"/>
        </w:rPr>
        <w:t>In addition, several of our competitors have large market capitalizations or cash reserves and are much better positioned to acquire other companies to gain new technologies or products that may displace our products. Network equipment providers, who are our customers, and network service providers, who are supplied by our customers, may decide to manufacture the optical subsystems incorporated into their network systems in -house. We also encounter potential customers that, because of existing relationships, are committed to the products offered by these competitors.</w:t>
      </w:r>
    </w:p>
    <w:p>
      <w:pPr>
        <w:spacing w:after="0" w:line="1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We believe the principal competitive factors in our target markets include the following:</w:t>
      </w:r>
    </w:p>
    <w:p>
      <w:pPr>
        <w:spacing w:after="0" w:line="204" w:lineRule="exact"/>
        <w:rPr>
          <w:sz w:val="20"/>
          <w:szCs w:val="20"/>
          <w:color w:val="auto"/>
        </w:rPr>
      </w:pPr>
    </w:p>
    <w:p>
      <w:pPr>
        <w:ind w:left="1080" w:hanging="357"/>
        <w:spacing w:after="0"/>
        <w:tabs>
          <w:tab w:leader="none" w:pos="10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use of internally manufactured components;</w:t>
      </w:r>
    </w:p>
    <w:p>
      <w:pPr>
        <w:spacing w:after="0" w:line="207" w:lineRule="exact"/>
        <w:rPr>
          <w:rFonts w:ascii="Times New Roman" w:cs="Times New Roman" w:eastAsia="Times New Roman" w:hAnsi="Times New Roman"/>
          <w:sz w:val="20"/>
          <w:szCs w:val="20"/>
          <w:color w:val="auto"/>
        </w:rPr>
      </w:pPr>
    </w:p>
    <w:p>
      <w:pPr>
        <w:ind w:left="1080" w:hanging="357"/>
        <w:spacing w:after="0"/>
        <w:tabs>
          <w:tab w:leader="none" w:pos="10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product breadth and functionality;</w:t>
      </w:r>
    </w:p>
    <w:p>
      <w:pPr>
        <w:spacing w:after="0" w:line="207" w:lineRule="exact"/>
        <w:rPr>
          <w:rFonts w:ascii="Times New Roman" w:cs="Times New Roman" w:eastAsia="Times New Roman" w:hAnsi="Times New Roman"/>
          <w:sz w:val="20"/>
          <w:szCs w:val="20"/>
          <w:color w:val="auto"/>
        </w:rPr>
      </w:pPr>
    </w:p>
    <w:p>
      <w:pPr>
        <w:ind w:left="1080" w:hanging="357"/>
        <w:spacing w:after="0"/>
        <w:tabs>
          <w:tab w:leader="none" w:pos="10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timing and pace of new product development;</w:t>
      </w:r>
    </w:p>
    <w:p>
      <w:pPr>
        <w:spacing w:after="0" w:line="209" w:lineRule="exact"/>
        <w:rPr>
          <w:rFonts w:ascii="Times New Roman" w:cs="Times New Roman" w:eastAsia="Times New Roman" w:hAnsi="Times New Roman"/>
          <w:sz w:val="20"/>
          <w:szCs w:val="20"/>
          <w:color w:val="auto"/>
        </w:rPr>
      </w:pPr>
    </w:p>
    <w:p>
      <w:pPr>
        <w:ind w:left="1080" w:hanging="357"/>
        <w:spacing w:after="0"/>
        <w:tabs>
          <w:tab w:leader="none" w:pos="10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breadth of customer base;</w:t>
      </w:r>
    </w:p>
    <w:p>
      <w:pPr>
        <w:spacing w:after="0" w:line="207" w:lineRule="exact"/>
        <w:rPr>
          <w:rFonts w:ascii="Times New Roman" w:cs="Times New Roman" w:eastAsia="Times New Roman" w:hAnsi="Times New Roman"/>
          <w:sz w:val="20"/>
          <w:szCs w:val="20"/>
          <w:color w:val="auto"/>
        </w:rPr>
      </w:pPr>
    </w:p>
    <w:p>
      <w:pPr>
        <w:ind w:left="1080" w:hanging="357"/>
        <w:spacing w:after="0"/>
        <w:tabs>
          <w:tab w:leader="none" w:pos="10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technological expertise;</w:t>
      </w:r>
    </w:p>
    <w:p>
      <w:pPr>
        <w:spacing w:after="0" w:line="207" w:lineRule="exact"/>
        <w:rPr>
          <w:rFonts w:ascii="Times New Roman" w:cs="Times New Roman" w:eastAsia="Times New Roman" w:hAnsi="Times New Roman"/>
          <w:sz w:val="20"/>
          <w:szCs w:val="20"/>
          <w:color w:val="auto"/>
        </w:rPr>
      </w:pPr>
    </w:p>
    <w:p>
      <w:pPr>
        <w:ind w:left="1080" w:hanging="357"/>
        <w:spacing w:after="0"/>
        <w:tabs>
          <w:tab w:leader="none" w:pos="10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reliability of products;</w:t>
      </w:r>
    </w:p>
    <w:p>
      <w:pPr>
        <w:spacing w:after="0" w:line="207" w:lineRule="exact"/>
        <w:rPr>
          <w:rFonts w:ascii="Times New Roman" w:cs="Times New Roman" w:eastAsia="Times New Roman" w:hAnsi="Times New Roman"/>
          <w:sz w:val="20"/>
          <w:szCs w:val="20"/>
          <w:color w:val="auto"/>
        </w:rPr>
      </w:pPr>
    </w:p>
    <w:p>
      <w:pPr>
        <w:ind w:left="1080" w:hanging="357"/>
        <w:spacing w:after="0"/>
        <w:tabs>
          <w:tab w:leader="none" w:pos="10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product pricing; and</w:t>
      </w:r>
    </w:p>
    <w:p>
      <w:pPr>
        <w:spacing w:after="0" w:line="209" w:lineRule="exact"/>
        <w:rPr>
          <w:rFonts w:ascii="Times New Roman" w:cs="Times New Roman" w:eastAsia="Times New Roman" w:hAnsi="Times New Roman"/>
          <w:sz w:val="20"/>
          <w:szCs w:val="20"/>
          <w:color w:val="auto"/>
        </w:rPr>
      </w:pPr>
    </w:p>
    <w:p>
      <w:pPr>
        <w:ind w:left="1080" w:hanging="357"/>
        <w:spacing w:after="0"/>
        <w:tabs>
          <w:tab w:leader="none" w:pos="10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manufacturing efficiency.</w:t>
      </w:r>
    </w:p>
    <w:p>
      <w:pPr>
        <w:spacing w:after="0" w:line="201" w:lineRule="exact"/>
        <w:rPr>
          <w:sz w:val="20"/>
          <w:szCs w:val="20"/>
          <w:color w:val="auto"/>
        </w:rPr>
      </w:pPr>
    </w:p>
    <w:p>
      <w:pPr>
        <w:jc w:val="both"/>
        <w:ind w:firstLine="706"/>
        <w:spacing w:after="0" w:line="250" w:lineRule="auto"/>
        <w:rPr>
          <w:sz w:val="20"/>
          <w:szCs w:val="20"/>
          <w:color w:val="auto"/>
        </w:rPr>
      </w:pPr>
      <w:r>
        <w:rPr>
          <w:rFonts w:ascii="Times New Roman" w:cs="Times New Roman" w:eastAsia="Times New Roman" w:hAnsi="Times New Roman"/>
          <w:sz w:val="20"/>
          <w:szCs w:val="20"/>
          <w:color w:val="auto"/>
        </w:rPr>
        <w:t>We believe that we compete favorably with respect to the above factors based on our MBE and MOCVD processes, our vertically integrated model, the performance and reliability of our product offerings, and our technical expertise in light engine design and manufacture.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Seasonality</w:t>
      </w:r>
    </w:p>
    <w:p>
      <w:pPr>
        <w:spacing w:after="0" w:line="225" w:lineRule="exact"/>
        <w:rPr>
          <w:sz w:val="20"/>
          <w:szCs w:val="20"/>
          <w:color w:val="auto"/>
        </w:rPr>
      </w:pPr>
    </w:p>
    <w:p>
      <w:pPr>
        <w:jc w:val="both"/>
        <w:ind w:firstLine="706"/>
        <w:spacing w:after="0" w:line="265" w:lineRule="auto"/>
        <w:rPr>
          <w:sz w:val="20"/>
          <w:szCs w:val="20"/>
          <w:color w:val="auto"/>
        </w:rPr>
      </w:pPr>
      <w:r>
        <w:rPr>
          <w:rFonts w:ascii="Times New Roman" w:cs="Times New Roman" w:eastAsia="Times New Roman" w:hAnsi="Times New Roman"/>
          <w:sz w:val="20"/>
          <w:szCs w:val="20"/>
          <w:color w:val="auto"/>
        </w:rPr>
        <w:t>See Part II, Item 7, "Management’s Discussion and Analysis of Financial Condition and Results of Operations—Seasonality," regarding seasonality of certain of the Company’s products.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Human Capital</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Employees</w:t>
      </w:r>
    </w:p>
    <w:p>
      <w:pPr>
        <w:spacing w:after="0" w:line="216" w:lineRule="exact"/>
        <w:rPr>
          <w:sz w:val="20"/>
          <w:szCs w:val="20"/>
          <w:color w:val="auto"/>
        </w:rPr>
      </w:pPr>
    </w:p>
    <w:p>
      <w:pPr>
        <w:jc w:val="both"/>
        <w:ind w:firstLine="706"/>
        <w:spacing w:after="0" w:line="268" w:lineRule="auto"/>
        <w:rPr>
          <w:sz w:val="20"/>
          <w:szCs w:val="20"/>
          <w:color w:val="auto"/>
        </w:rPr>
      </w:pPr>
      <w:r>
        <w:rPr>
          <w:rFonts w:ascii="Times New Roman" w:cs="Times New Roman" w:eastAsia="Times New Roman" w:hAnsi="Times New Roman"/>
          <w:sz w:val="20"/>
          <w:szCs w:val="20"/>
          <w:color w:val="auto"/>
        </w:rPr>
        <w:t>As of December 31, 2025, we employed 4,691 full-time employees, of which 69 held Ph.D. degrees in a science or engineering field. Of our employees, 548 are located in the U.S., 1,262 are located in Taiwan and 2,881 are located in China.</w:t>
      </w:r>
    </w:p>
    <w:p>
      <w:pPr>
        <w:spacing w:after="0" w:line="164" w:lineRule="exact"/>
        <w:rPr>
          <w:sz w:val="20"/>
          <w:szCs w:val="20"/>
          <w:color w:val="auto"/>
        </w:rPr>
      </w:pPr>
    </w:p>
    <w:p>
      <w:pPr>
        <w:jc w:val="both"/>
        <w:ind w:firstLine="706"/>
        <w:spacing w:after="0" w:line="251" w:lineRule="auto"/>
        <w:rPr>
          <w:sz w:val="20"/>
          <w:szCs w:val="20"/>
          <w:color w:val="auto"/>
        </w:rPr>
      </w:pPr>
      <w:r>
        <w:rPr>
          <w:rFonts w:ascii="Times New Roman" w:cs="Times New Roman" w:eastAsia="Times New Roman" w:hAnsi="Times New Roman"/>
          <w:sz w:val="20"/>
          <w:szCs w:val="20"/>
          <w:color w:val="auto"/>
        </w:rPr>
        <w:t>As of December 31, 2025, none of our employees are represented by any collective bargaining agreement, but certain employees of our China subsidiary are members of a trade union. We have never suffered any work stoppage as a result of an employment related strike or any employee related dispute and believe that we have satisfactory relations with our employees.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Employee Engagement, Development and Career Planning</w:t>
      </w:r>
    </w:p>
    <w:p>
      <w:pPr>
        <w:spacing w:after="0" w:line="218" w:lineRule="exact"/>
        <w:rPr>
          <w:sz w:val="20"/>
          <w:szCs w:val="20"/>
          <w:color w:val="auto"/>
        </w:rPr>
      </w:pPr>
    </w:p>
    <w:p>
      <w:pPr>
        <w:jc w:val="both"/>
        <w:ind w:firstLine="706"/>
        <w:spacing w:after="0" w:line="268" w:lineRule="auto"/>
        <w:rPr>
          <w:sz w:val="20"/>
          <w:szCs w:val="20"/>
          <w:color w:val="auto"/>
        </w:rPr>
      </w:pPr>
      <w:r>
        <w:rPr>
          <w:rFonts w:ascii="Times New Roman" w:cs="Times New Roman" w:eastAsia="Times New Roman" w:hAnsi="Times New Roman"/>
          <w:sz w:val="18"/>
          <w:szCs w:val="18"/>
          <w:color w:val="auto"/>
        </w:rPr>
        <w:t>Our business results depend in part on our ability to successfully manage our human capital resources, including attracting, identifying, and retaining key talent. Factors that may affect our ability to attract and retain qualified employees include employee morale, our reputation, competition from other employers, and availability of qualified individuals. We believe our commitment to our human capital resources is an important component of our mission to deliver superior products to our customers. We provide all employees with the opportunity to share their opinions in open dialogues with our human resources department and senior management. In the past, we have conducted confidential surveys of select workforce members to measure engagement. The results are discussed with senior leadership and managers. We provide all employees a wide range of professional development experiences, both formal and informal. We offer our highest level employees/executives/VPs leadership development programs as part of our talent and succession planning process. Also, we have development programs for managers and supervisors and learning opportunities for all employees. We provide access to learning platforms so employees can access resources to support their career aspirations and advance their skills.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Employee Safety</w:t>
      </w:r>
    </w:p>
    <w:p>
      <w:pPr>
        <w:spacing w:after="0" w:line="218" w:lineRule="exact"/>
        <w:rPr>
          <w:sz w:val="20"/>
          <w:szCs w:val="20"/>
          <w:color w:val="auto"/>
        </w:rPr>
      </w:pPr>
    </w:p>
    <w:p>
      <w:pPr>
        <w:jc w:val="both"/>
        <w:ind w:firstLine="706"/>
        <w:spacing w:after="0" w:line="250" w:lineRule="auto"/>
        <w:rPr>
          <w:sz w:val="20"/>
          <w:szCs w:val="20"/>
          <w:color w:val="auto"/>
        </w:rPr>
      </w:pPr>
      <w:r>
        <w:rPr>
          <w:rFonts w:ascii="Times New Roman" w:cs="Times New Roman" w:eastAsia="Times New Roman" w:hAnsi="Times New Roman"/>
          <w:sz w:val="20"/>
          <w:szCs w:val="20"/>
          <w:color w:val="auto"/>
        </w:rPr>
        <w:t>The safety of our employees is a paramount value for us. We provide mandatory safety trainings in our production facilities, which are designed to focus on empowering our employees with the knowledge and tools they need to make safe choices and to mitigate risks. Supervisors complete safety management courses as well.</w:t>
      </w:r>
    </w:p>
    <w:p>
      <w:pPr>
        <w:sectPr>
          <w:pgSz w:w="11880" w:h="15480" w:orient="portrait"/>
          <w:cols w:equalWidth="0" w:num="1">
            <w:col w:w="10600"/>
          </w:cols>
          <w:pgMar w:left="640" w:top="410" w:right="640" w:bottom="0" w:gutter="0" w:footer="0" w:header="0"/>
        </w:sect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880" w:h="15480" w:orient="portrait"/>
          <w:cols w:equalWidth="0" w:num="1">
            <w:col w:w="10600"/>
          </w:cols>
          <w:pgMar w:left="640" w:top="410" w:right="640" w:bottom="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20"/>
          <w:szCs w:val="20"/>
          <w:i w:val="1"/>
          <w:iCs w:val="1"/>
          <w:color w:val="auto"/>
        </w:rPr>
        <w:t>Compensation, Benefits and Wellness</w:t>
      </w:r>
    </w:p>
    <w:p>
      <w:pPr>
        <w:spacing w:after="0" w:line="216" w:lineRule="exact"/>
        <w:rPr>
          <w:sz w:val="20"/>
          <w:szCs w:val="20"/>
          <w:color w:val="auto"/>
        </w:rPr>
      </w:pPr>
    </w:p>
    <w:p>
      <w:pPr>
        <w:jc w:val="both"/>
        <w:ind w:firstLine="706"/>
        <w:spacing w:after="0" w:line="242" w:lineRule="auto"/>
        <w:rPr>
          <w:sz w:val="20"/>
          <w:szCs w:val="20"/>
          <w:color w:val="auto"/>
        </w:rPr>
      </w:pPr>
      <w:r>
        <w:rPr>
          <w:rFonts w:ascii="Times New Roman" w:cs="Times New Roman" w:eastAsia="Times New Roman" w:hAnsi="Times New Roman"/>
          <w:sz w:val="20"/>
          <w:szCs w:val="20"/>
          <w:color w:val="auto"/>
        </w:rPr>
        <w:t>We offer fair, competitive compensation and benefits that support our employees’ overall wellness. Further, the health and wellness of our employees are critical to our success. We provide our employees with access to a variety of innovative, flexible and convenient health and wellness programs. Such programs are designed to support employees' physical and mental health by providing tools and resources to help them improve or maintain their health status and encourage engagement in healthy behaviors. We offer financial education and financial wellness tools and resources to help employees reach their personal financial goals. Additionally, we provide robust compensation and benefits through internal and external benchmarking.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Governmental Regulations</w:t>
      </w:r>
    </w:p>
    <w:p>
      <w:pPr>
        <w:spacing w:after="0" w:line="225" w:lineRule="exact"/>
        <w:rPr>
          <w:sz w:val="20"/>
          <w:szCs w:val="20"/>
          <w:color w:val="auto"/>
        </w:rPr>
      </w:pPr>
    </w:p>
    <w:p>
      <w:pPr>
        <w:jc w:val="both"/>
        <w:ind w:firstLine="706"/>
        <w:spacing w:after="0" w:line="237" w:lineRule="auto"/>
        <w:rPr>
          <w:sz w:val="20"/>
          <w:szCs w:val="20"/>
          <w:color w:val="auto"/>
        </w:rPr>
      </w:pPr>
      <w:r>
        <w:rPr>
          <w:rFonts w:ascii="Times New Roman" w:cs="Times New Roman" w:eastAsia="Times New Roman" w:hAnsi="Times New Roman"/>
          <w:sz w:val="20"/>
          <w:szCs w:val="20"/>
          <w:color w:val="auto"/>
        </w:rPr>
        <w:t>Our research and development and manufacturing operations and our products are subject to a variety of federal, state, local and foreign environmental, health and safety laws and regulations, including those governing discharges of pollutants to air and water, the use, storage, handling and disposal of hazardous materials and solid wastes, employee health and safety, and the hazardous material content in our products. To date, costs and accruals incurred to comply with these governmental regulations have not been material to our capital expenditures, results of operations, and competitive position. Our environmental management systems in our facilities in Sugar Land, Texas, Ningbo, China and Taipei, Taiwan are all certified to meet the requirements of ISO14001:2015. However, there can be no assurance that violations of applicable laws at any of our facilities will not occur in the future as a result of human error, accident, equipment failure or other causes. We use, store and dispose of hazardous materials and solid wastes in our manufacturing operations and hazardous materials are present in our products. We incur costs to comply with environmental, health and safety requirements, and any failure to comply, or the identification of contamination for which we are found liable, could cause us to incur substantial costs, including cleanup costs, natural resource damages, monetary fines, or administrative, civil or criminal penalties, and subject us to property damage and personal injury claims, and result in injunctive relief including the suspension of production, alteration or upgrades of our manufacturing processes, redesign of our products, or curtailment of sales, and could result in adverse publicity. Liability under environmental, health and safety laws can be joint and several and without regard to fault or negligence. For example, pursuant to environmental laws and regulations, including but not limited to the Comprehensive Environmental Response Compensation and Liability Act, or CERCLA, we may be liable for the full amount of any remediation-related costs at properties we currently own or operate or formerly owned, such as our currently owned Sugar Land, Texas facility, or at properties at which we previously operated, as well as at properties we will own or operate in the future, and properties to which we have sent hazardous substances, whether or not we caused the contamination.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Environment</w:t>
      </w:r>
    </w:p>
    <w:p>
      <w:pPr>
        <w:spacing w:after="0" w:line="218" w:lineRule="exact"/>
        <w:rPr>
          <w:sz w:val="20"/>
          <w:szCs w:val="20"/>
          <w:color w:val="auto"/>
        </w:rPr>
      </w:pPr>
    </w:p>
    <w:p>
      <w:pPr>
        <w:jc w:val="both"/>
        <w:ind w:firstLine="706"/>
        <w:spacing w:after="0" w:line="276" w:lineRule="auto"/>
        <w:rPr>
          <w:sz w:val="20"/>
          <w:szCs w:val="20"/>
          <w:color w:val="auto"/>
        </w:rPr>
      </w:pPr>
      <w:r>
        <w:rPr>
          <w:rFonts w:ascii="Times New Roman" w:cs="Times New Roman" w:eastAsia="Times New Roman" w:hAnsi="Times New Roman"/>
          <w:sz w:val="18"/>
          <w:szCs w:val="18"/>
          <w:color w:val="auto"/>
        </w:rPr>
        <w:t>We are committed to maintaining compliance with all environmental laws applicable to our operations, products, and services and to reducing our environmental impact across our business. Our operations and many of our products are subject to various federal, state, local, and foreign regulations that have been adopted with respect to the environment, such as the Directive on the Restriction of the Use of Certain Hazardous Substances in Electrical and Electronic Equipment; Registration, Evaluation, Authorization, and Restriction of Chemicals; and Substances of Concern In Products, regulations adopted by the European Union, or EU.</w:t>
      </w:r>
    </w:p>
    <w:p>
      <w:pPr>
        <w:spacing w:after="0" w:line="162" w:lineRule="exact"/>
        <w:rPr>
          <w:sz w:val="20"/>
          <w:szCs w:val="20"/>
          <w:color w:val="auto"/>
        </w:rPr>
      </w:pPr>
    </w:p>
    <w:p>
      <w:pPr>
        <w:ind w:right="420" w:firstLine="706"/>
        <w:spacing w:after="0" w:line="268" w:lineRule="auto"/>
        <w:rPr>
          <w:sz w:val="20"/>
          <w:szCs w:val="20"/>
          <w:color w:val="auto"/>
        </w:rPr>
      </w:pPr>
      <w:r>
        <w:rPr>
          <w:rFonts w:ascii="Times New Roman" w:cs="Times New Roman" w:eastAsia="Times New Roman" w:hAnsi="Times New Roman"/>
          <w:sz w:val="20"/>
          <w:szCs w:val="20"/>
          <w:color w:val="auto"/>
        </w:rPr>
        <w:t>Over and above our commitment to compliance with all environmental laws, we have further committed ourselves to the following environment goals:</w:t>
      </w:r>
    </w:p>
    <w:p>
      <w:pPr>
        <w:spacing w:after="0" w:line="147" w:lineRule="exact"/>
        <w:rPr>
          <w:sz w:val="20"/>
          <w:szCs w:val="20"/>
          <w:color w:val="auto"/>
        </w:rPr>
      </w:pPr>
    </w:p>
    <w:p>
      <w:pPr>
        <w:ind w:left="1660" w:hanging="173"/>
        <w:spacing w:after="0"/>
        <w:tabs>
          <w:tab w:leader="none" w:pos="166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Obtain at least 20% of the energy used in our operations from renewable sources</w:t>
      </w:r>
    </w:p>
    <w:p>
      <w:pPr>
        <w:spacing w:after="0" w:line="22" w:lineRule="exact"/>
        <w:rPr>
          <w:rFonts w:ascii="Arial" w:cs="Arial" w:eastAsia="Arial" w:hAnsi="Arial"/>
          <w:sz w:val="20"/>
          <w:szCs w:val="20"/>
          <w:color w:val="auto"/>
        </w:rPr>
      </w:pPr>
    </w:p>
    <w:p>
      <w:pPr>
        <w:ind w:left="1660" w:hanging="173"/>
        <w:spacing w:after="0"/>
        <w:tabs>
          <w:tab w:leader="none" w:pos="166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Properly recycle waste materials including paper, electronic components, glass and batteries</w:t>
      </w:r>
    </w:p>
    <w:p>
      <w:pPr>
        <w:spacing w:after="0" w:line="4" w:lineRule="exact"/>
        <w:rPr>
          <w:rFonts w:ascii="Arial" w:cs="Arial" w:eastAsia="Arial" w:hAnsi="Arial"/>
          <w:sz w:val="20"/>
          <w:szCs w:val="20"/>
          <w:color w:val="auto"/>
        </w:rPr>
      </w:pPr>
    </w:p>
    <w:p>
      <w:pPr>
        <w:ind w:left="1660" w:hanging="173"/>
        <w:spacing w:after="0"/>
        <w:tabs>
          <w:tab w:leader="none" w:pos="166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Reduce our generation of hazardous waste by at least 10% over the five year period beginning in 2024</w:t>
      </w:r>
    </w:p>
    <w:p>
      <w:pPr>
        <w:spacing w:after="0" w:line="18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order to meet these goals, we maintain an Integrated Environmental and Safety Management System.</w:t>
      </w:r>
    </w:p>
    <w:p>
      <w:pPr>
        <w:spacing w:after="0" w:line="222" w:lineRule="exact"/>
        <w:rPr>
          <w:sz w:val="20"/>
          <w:szCs w:val="20"/>
          <w:color w:val="auto"/>
        </w:rPr>
      </w:pPr>
    </w:p>
    <w:p>
      <w:pPr>
        <w:jc w:val="both"/>
        <w:ind w:firstLine="706"/>
        <w:spacing w:after="0" w:line="271" w:lineRule="auto"/>
        <w:rPr>
          <w:sz w:val="20"/>
          <w:szCs w:val="20"/>
          <w:color w:val="auto"/>
        </w:rPr>
      </w:pPr>
      <w:r>
        <w:rPr>
          <w:rFonts w:ascii="Times New Roman" w:cs="Times New Roman" w:eastAsia="Times New Roman" w:hAnsi="Times New Roman"/>
          <w:sz w:val="18"/>
          <w:szCs w:val="18"/>
          <w:color w:val="auto"/>
        </w:rPr>
        <w:t>We expect that our operations and products will be affected by new environmental requirements on an ongoing basis. Environmental, health and safety requirements have become more stringent over time, and changes to existing requirements could restrict our ability to expand our facilities, require us to acquire costly pollution control equipment, require us to obtain additional permits for our activities, or cause us to incur other significant expenses or to modify our manufacturing processes or the hazardous material content of our products. Identification of presently unidentified environmental conditions, more vigorous enforcement by a governmental authority, enactment of more stringent legal requirements or other unanticipated events could give rise to adverse publicity, restrict our operations, affect the design or marketability of our products or otherwise cause us to incur material environmental costs or delays in planned activities.</w:t>
      </w:r>
    </w:p>
    <w:p>
      <w:pPr>
        <w:spacing w:after="0" w:line="166" w:lineRule="exact"/>
        <w:rPr>
          <w:sz w:val="20"/>
          <w:szCs w:val="20"/>
          <w:color w:val="auto"/>
        </w:rPr>
      </w:pPr>
    </w:p>
    <w:p>
      <w:pPr>
        <w:jc w:val="both"/>
        <w:ind w:firstLine="706"/>
        <w:spacing w:after="0" w:line="271" w:lineRule="auto"/>
        <w:rPr>
          <w:sz w:val="20"/>
          <w:szCs w:val="20"/>
          <w:color w:val="auto"/>
        </w:rPr>
      </w:pPr>
      <w:r>
        <w:rPr>
          <w:rFonts w:ascii="Times New Roman" w:cs="Times New Roman" w:eastAsia="Times New Roman" w:hAnsi="Times New Roman"/>
          <w:sz w:val="18"/>
          <w:szCs w:val="18"/>
          <w:color w:val="auto"/>
        </w:rPr>
        <w:t>We face increasing complexity in our product design and procurement operations as we adjust to new and upcoming requirements relating to the materials composition of our products. Some jurisdictions in which our products are sold have enacted requirements regarding the hazardous material content of certain products. For example, member states of the European Union and China are among a growing number of jurisdictions that have placed restrictions on the use of lead, among other chemicals, in electronic products, which affect the composition and packaging of our products. The passage of such requirements in additional jurisdictions, or the tightening of standards or elimination of certain exemptions in jurisdictions where our products are already subject to such requirements, could cause us to incur significant expenditures to make our products compliant with new requirements, or could limit the markets into which we may sell our</w:t>
      </w:r>
    </w:p>
    <w:p>
      <w:pPr>
        <w:sectPr>
          <w:pgSz w:w="11880" w:h="15480" w:orient="portrait"/>
          <w:cols w:equalWidth="0" w:num="1">
            <w:col w:w="10600"/>
          </w:cols>
          <w:pgMar w:left="640" w:top="414" w:right="640" w:bottom="0" w:gutter="0" w:footer="0" w:header="0"/>
        </w:sect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880" w:h="15480" w:orient="portrait"/>
          <w:cols w:equalWidth="0" w:num="1">
            <w:col w:w="10600"/>
          </w:cols>
          <w:pgMar w:left="640" w:top="414" w:right="640" w:bottom="0" w:gutter="0" w:footer="0" w:header="0"/>
          <w:type w:val="continuous"/>
        </w:sectPr>
      </w:pPr>
    </w:p>
    <w:bookmarkStart w:id="14" w:name="page15"/>
    <w:bookmarkEnd w:id="14"/>
    <w:p>
      <w:pPr>
        <w:jc w:val="both"/>
        <w:ind w:left="20"/>
        <w:spacing w:after="0" w:line="268" w:lineRule="auto"/>
        <w:rPr>
          <w:sz w:val="20"/>
          <w:szCs w:val="20"/>
          <w:color w:val="auto"/>
        </w:rPr>
      </w:pPr>
      <w:r>
        <w:rPr>
          <w:rFonts w:ascii="Times New Roman" w:cs="Times New Roman" w:eastAsia="Times New Roman" w:hAnsi="Times New Roman"/>
          <w:sz w:val="20"/>
          <w:szCs w:val="20"/>
          <w:color w:val="auto"/>
        </w:rPr>
        <w:t>products. Other governmental regulations may require us to reengineer our products to use components that are more environmentally compatible, resulting in additional costs to us.</w:t>
      </w:r>
    </w:p>
    <w:p>
      <w:pPr>
        <w:spacing w:after="0" w:line="1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i w:val="1"/>
          <w:iCs w:val="1"/>
          <w:color w:val="auto"/>
        </w:rPr>
        <w:t>Climate Change and Sustainability</w:t>
      </w:r>
    </w:p>
    <w:p>
      <w:pPr>
        <w:spacing w:after="0" w:line="218" w:lineRule="exact"/>
        <w:rPr>
          <w:sz w:val="20"/>
          <w:szCs w:val="20"/>
          <w:color w:val="auto"/>
        </w:rPr>
      </w:pPr>
    </w:p>
    <w:p>
      <w:pPr>
        <w:jc w:val="both"/>
        <w:ind w:left="20" w:firstLine="706"/>
        <w:spacing w:after="0" w:line="251" w:lineRule="auto"/>
        <w:rPr>
          <w:sz w:val="20"/>
          <w:szCs w:val="20"/>
          <w:color w:val="auto"/>
        </w:rPr>
      </w:pPr>
      <w:r>
        <w:rPr>
          <w:rFonts w:ascii="Times New Roman" w:cs="Times New Roman" w:eastAsia="Times New Roman" w:hAnsi="Times New Roman"/>
          <w:sz w:val="20"/>
          <w:szCs w:val="20"/>
          <w:color w:val="auto"/>
        </w:rPr>
        <w:t>We are spreading initiatives that aim to drive sustainability and reduce our environmental impact. In addition, we continue to focus on the efficiency of our technology, including but not limited to using light sensors and dimming technology that control brightness and exploring alternative energy sources.</w:t>
      </w:r>
    </w:p>
    <w:p>
      <w:pPr>
        <w:spacing w:after="0" w:line="1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i w:val="1"/>
          <w:iCs w:val="1"/>
          <w:color w:val="auto"/>
        </w:rPr>
        <w:t>Export Controls</w:t>
      </w:r>
    </w:p>
    <w:p>
      <w:pPr>
        <w:spacing w:after="0" w:line="218" w:lineRule="exact"/>
        <w:rPr>
          <w:sz w:val="20"/>
          <w:szCs w:val="20"/>
          <w:color w:val="auto"/>
        </w:rPr>
      </w:pPr>
    </w:p>
    <w:p>
      <w:pPr>
        <w:jc w:val="both"/>
        <w:ind w:left="20" w:firstLine="706"/>
        <w:spacing w:after="0" w:line="273" w:lineRule="auto"/>
        <w:rPr>
          <w:sz w:val="20"/>
          <w:szCs w:val="20"/>
          <w:color w:val="auto"/>
        </w:rPr>
      </w:pPr>
      <w:r>
        <w:rPr>
          <w:rFonts w:ascii="Times New Roman" w:cs="Times New Roman" w:eastAsia="Times New Roman" w:hAnsi="Times New Roman"/>
          <w:sz w:val="18"/>
          <w:szCs w:val="18"/>
          <w:color w:val="auto"/>
        </w:rPr>
        <w:t>The Bureau of Industry and Security (BIS) of the U.S. Department of Commerce is responsible for regulating the export of most commercial items that are classified as dual-use goods that may have both commercial and military applications. Our products are primarily classified under Export Control Classification Numbers ("ECCN") 5A991, 6A995, and EAR99. Export Control Classification requirements are dependent upon an item’s technical characteristics, the destination, the end -use, the end-user, and the activities of the end-user. Should the ECCN change, then the export of our products to certain countries would be restricted. However, we currently do not export our products to any countries on the restricted list, and therefore a change in the ECCN would not materially impact our business.</w:t>
      </w:r>
    </w:p>
    <w:p>
      <w:pPr>
        <w:spacing w:after="0" w:line="166" w:lineRule="exact"/>
        <w:rPr>
          <w:sz w:val="20"/>
          <w:szCs w:val="20"/>
          <w:color w:val="auto"/>
        </w:rPr>
      </w:pPr>
    </w:p>
    <w:p>
      <w:pPr>
        <w:jc w:val="both"/>
        <w:ind w:left="20" w:firstLine="706"/>
        <w:spacing w:after="0" w:line="268" w:lineRule="auto"/>
        <w:rPr>
          <w:sz w:val="20"/>
          <w:szCs w:val="20"/>
          <w:color w:val="auto"/>
        </w:rPr>
      </w:pPr>
      <w:r>
        <w:rPr>
          <w:rFonts w:ascii="Times New Roman" w:cs="Times New Roman" w:eastAsia="Times New Roman" w:hAnsi="Times New Roman"/>
          <w:sz w:val="20"/>
          <w:szCs w:val="20"/>
          <w:color w:val="auto"/>
        </w:rPr>
        <w:t>Additional information concerning regulatory compliance and a discussion of the risks associated with governmental regulations that may materially impact us is described more fully under the heading "Risk Factors" in this Form 10-K.</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Corporate Information</w:t>
      </w:r>
    </w:p>
    <w:p>
      <w:pPr>
        <w:spacing w:after="0" w:line="225" w:lineRule="exact"/>
        <w:rPr>
          <w:sz w:val="20"/>
          <w:szCs w:val="20"/>
          <w:color w:val="auto"/>
        </w:rPr>
      </w:pPr>
    </w:p>
    <w:p>
      <w:pPr>
        <w:jc w:val="both"/>
        <w:ind w:left="20" w:firstLine="706"/>
        <w:spacing w:after="0" w:line="241" w:lineRule="auto"/>
        <w:rPr>
          <w:sz w:val="20"/>
          <w:szCs w:val="20"/>
          <w:color w:val="auto"/>
        </w:rPr>
      </w:pPr>
      <w:r>
        <w:rPr>
          <w:rFonts w:ascii="Times New Roman" w:cs="Times New Roman" w:eastAsia="Times New Roman" w:hAnsi="Times New Roman"/>
          <w:sz w:val="20"/>
          <w:szCs w:val="20"/>
          <w:color w:val="auto"/>
        </w:rPr>
        <w:t>We were incorporated in the State of Texas in 1997. In March 2013, Applied Optoelectronics, Inc., a Texas corporation, converted into a Delaware corporation. Prime World International Holdings, Ltd. ("Prime World") is a wholly-owned subsidiary of the Company incorporated in the British Virgin Islands on January 13, 2006. Prime World is the parent company of Global Technology, Inc. ("Global"). Global was established in June 2002 in the People’s Republic of China ("PRC") and was acquired by Prime World on March 30, 2006. Prime World also operates a division in Taiwan, which is qualified to do business in Taiwan and primarily manufactures transceivers and performs research and development activities.</w:t>
      </w:r>
    </w:p>
    <w:p>
      <w:pPr>
        <w:spacing w:after="0" w:line="18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Our principal executive offices are located at 13139 Jess Pirtle Blvd., Sugar Land, TX 77478, and our telephone number is</w:t>
      </w:r>
    </w:p>
    <w:p>
      <w:pPr>
        <w:ind w:left="20" w:firstLine="7"/>
        <w:spacing w:after="0" w:line="268" w:lineRule="auto"/>
        <w:tabs>
          <w:tab w:leader="none" w:pos="484"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295-1800. Our website address is www.ao-inc.com. Information contained on our website is not incorporated by reference into this Form 10-K.</w:t>
      </w:r>
    </w:p>
    <w:p>
      <w:pPr>
        <w:spacing w:after="0" w:line="2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225" w:lineRule="exact"/>
        <w:rPr>
          <w:sz w:val="20"/>
          <w:szCs w:val="20"/>
          <w:color w:val="auto"/>
        </w:rPr>
      </w:pPr>
    </w:p>
    <w:p>
      <w:pPr>
        <w:jc w:val="both"/>
        <w:ind w:left="20" w:firstLine="706"/>
        <w:spacing w:after="0" w:line="281" w:lineRule="auto"/>
        <w:rPr>
          <w:sz w:val="20"/>
          <w:szCs w:val="20"/>
          <w:color w:val="auto"/>
        </w:rPr>
      </w:pPr>
      <w:r>
        <w:rPr>
          <w:rFonts w:ascii="Times New Roman" w:cs="Times New Roman" w:eastAsia="Times New Roman" w:hAnsi="Times New Roman"/>
          <w:sz w:val="18"/>
          <w:szCs w:val="18"/>
          <w:color w:val="auto"/>
        </w:rPr>
        <w:t>We file electronically with the United States Securities and Exchange Commission, or SEC, our annual reports on Form 10-K, quarterly reports on Form 10-Q, current reports on Form 8-K, and amendments to those reports filed or furnished pursuant to Section 13(a) or 15(d) of the Securities Exchange Act of 1934, as amended. We make available on our website at www.ao-inc.com free of charge, copies of these reports as soon as reasonably practicable after filing these reports with, or furnishing them to, the SEC.</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232" w:lineRule="exact"/>
        <w:rPr>
          <w:sz w:val="20"/>
          <w:szCs w:val="20"/>
          <w:color w:val="auto"/>
        </w:rPr>
      </w:pPr>
    </w:p>
    <w:p>
      <w:pPr>
        <w:jc w:val="both"/>
        <w:ind w:left="20" w:firstLine="706"/>
        <w:spacing w:after="0" w:line="242" w:lineRule="auto"/>
        <w:rPr>
          <w:sz w:val="20"/>
          <w:szCs w:val="20"/>
          <w:color w:val="auto"/>
        </w:rPr>
      </w:pPr>
      <w:r>
        <w:rPr>
          <w:rFonts w:ascii="Times New Roman" w:cs="Times New Roman" w:eastAsia="Times New Roman" w:hAnsi="Times New Roman"/>
          <w:sz w:val="20"/>
          <w:szCs w:val="20"/>
          <w:i w:val="1"/>
          <w:iCs w:val="1"/>
          <w:color w:val="auto"/>
        </w:rPr>
        <w:t>Investing in our common stock involves a high degree of risk. You should carefully consider the following risk factors and all other information contained in our Form 10-K, including our consolidated financial statements and related notes. If any of the following risks actually occur, we may be unable to conduct our business as currently planned and our financial condition and results of operations could be seriously harmed. In addition, the trading price of our common stock could decline due to the occurrence of any of these risks and you may lose all or part of your investment.</w:t>
      </w:r>
    </w:p>
    <w:p>
      <w:pPr>
        <w:spacing w:after="0" w:line="1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Summary Risk Factors</w:t>
      </w:r>
    </w:p>
    <w:p>
      <w:pPr>
        <w:spacing w:after="0" w:line="223" w:lineRule="exact"/>
        <w:rPr>
          <w:sz w:val="20"/>
          <w:szCs w:val="20"/>
          <w:color w:val="auto"/>
        </w:rPr>
      </w:pPr>
    </w:p>
    <w:p>
      <w:pPr>
        <w:jc w:val="both"/>
        <w:ind w:left="20" w:firstLine="706"/>
        <w:spacing w:after="0" w:line="251" w:lineRule="auto"/>
        <w:rPr>
          <w:sz w:val="20"/>
          <w:szCs w:val="20"/>
          <w:color w:val="auto"/>
        </w:rPr>
      </w:pPr>
      <w:r>
        <w:rPr>
          <w:rFonts w:ascii="Times New Roman" w:cs="Times New Roman" w:eastAsia="Times New Roman" w:hAnsi="Times New Roman"/>
          <w:sz w:val="20"/>
          <w:szCs w:val="20"/>
          <w:color w:val="auto"/>
        </w:rPr>
        <w:t>Our business is subject to a number of risks, including risks that may prevent us from achieving our business objectives or may adversely affect our business, financial condition, results of operations, cash flows, and prospects. These risks are discussed more fully below and include but are not limited to, risks related to: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Inherent in Our Business</w:t>
      </w:r>
    </w:p>
    <w:p>
      <w:pPr>
        <w:spacing w:after="0" w:line="223" w:lineRule="exact"/>
        <w:rPr>
          <w:sz w:val="20"/>
          <w:szCs w:val="20"/>
          <w:color w:val="auto"/>
        </w:rPr>
      </w:pPr>
    </w:p>
    <w:p>
      <w:pPr>
        <w:ind w:left="300" w:hanging="115"/>
        <w:spacing w:after="0"/>
        <w:tabs>
          <w:tab w:leader="none" w:pos="3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investments in U.S. manufacturing and automation, which may not achieve expected returns</w:t>
      </w:r>
    </w:p>
    <w:p>
      <w:pPr>
        <w:spacing w:after="0" w:line="221" w:lineRule="exact"/>
        <w:rPr>
          <w:rFonts w:ascii="Times New Roman" w:cs="Times New Roman" w:eastAsia="Times New Roman" w:hAnsi="Times New Roman"/>
          <w:sz w:val="20"/>
          <w:szCs w:val="20"/>
          <w:color w:val="auto"/>
        </w:rPr>
      </w:pPr>
    </w:p>
    <w:p>
      <w:pPr>
        <w:ind w:left="300" w:hanging="115"/>
        <w:spacing w:after="0"/>
        <w:tabs>
          <w:tab w:leader="none" w:pos="3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limited number of key customers account for a significant portion of our revenue</w:t>
      </w:r>
    </w:p>
    <w:p>
      <w:pPr>
        <w:spacing w:after="0" w:line="219" w:lineRule="exact"/>
        <w:rPr>
          <w:rFonts w:ascii="Times New Roman" w:cs="Times New Roman" w:eastAsia="Times New Roman" w:hAnsi="Times New Roman"/>
          <w:sz w:val="20"/>
          <w:szCs w:val="20"/>
          <w:color w:val="auto"/>
        </w:rPr>
      </w:pPr>
    </w:p>
    <w:p>
      <w:pPr>
        <w:ind w:left="300" w:hanging="115"/>
        <w:spacing w:after="0"/>
        <w:tabs>
          <w:tab w:leader="none" w:pos="3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difficulty forecasting customer demand and matching production to demand</w:t>
      </w:r>
    </w:p>
    <w:p>
      <w:pPr>
        <w:sectPr>
          <w:pgSz w:w="11880" w:h="15480" w:orient="portrait"/>
          <w:cols w:equalWidth="0" w:num="1">
            <w:col w:w="10620"/>
          </w:cols>
          <w:pgMar w:left="620" w:top="410" w:right="640" w:bottom="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w:t>
      </w:r>
    </w:p>
    <w:p>
      <w:pPr>
        <w:sectPr>
          <w:pgSz w:w="11880" w:h="15480" w:orient="portrait"/>
          <w:cols w:equalWidth="0" w:num="1">
            <w:col w:w="10620"/>
          </w:cols>
          <w:pgMar w:left="620" w:top="410" w:right="640" w:bottom="0" w:gutter="0" w:footer="0" w:header="0"/>
          <w:type w:val="continuous"/>
        </w:sectPr>
      </w:pPr>
    </w:p>
    <w:bookmarkStart w:id="15" w:name="page16"/>
    <w:bookmarkEnd w:id="15"/>
    <w:p>
      <w:pPr>
        <w:ind w:left="300" w:hanging="115"/>
        <w:spacing w:after="0"/>
        <w:tabs>
          <w:tab w:leader="none" w:pos="3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product qualifications</w:t>
      </w:r>
    </w:p>
    <w:p>
      <w:pPr>
        <w:spacing w:after="0" w:line="219" w:lineRule="exact"/>
        <w:rPr>
          <w:rFonts w:ascii="Times New Roman" w:cs="Times New Roman" w:eastAsia="Times New Roman" w:hAnsi="Times New Roman"/>
          <w:sz w:val="20"/>
          <w:szCs w:val="20"/>
          <w:color w:val="auto"/>
        </w:rPr>
      </w:pPr>
    </w:p>
    <w:p>
      <w:pPr>
        <w:ind w:left="300" w:hanging="115"/>
        <w:spacing w:after="0"/>
        <w:tabs>
          <w:tab w:leader="none" w:pos="3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compete effectively</w:t>
      </w:r>
    </w:p>
    <w:p>
      <w:pPr>
        <w:spacing w:after="0" w:line="221" w:lineRule="exact"/>
        <w:rPr>
          <w:rFonts w:ascii="Times New Roman" w:cs="Times New Roman" w:eastAsia="Times New Roman" w:hAnsi="Times New Roman"/>
          <w:sz w:val="20"/>
          <w:szCs w:val="20"/>
          <w:color w:val="auto"/>
        </w:rPr>
      </w:pPr>
    </w:p>
    <w:p>
      <w:pPr>
        <w:ind w:left="300" w:hanging="115"/>
        <w:spacing w:after="0"/>
        <w:tabs>
          <w:tab w:leader="none" w:pos="3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technology adoption cycles</w:t>
      </w:r>
    </w:p>
    <w:p>
      <w:pPr>
        <w:spacing w:after="0" w:line="221" w:lineRule="exact"/>
        <w:rPr>
          <w:rFonts w:ascii="Times New Roman" w:cs="Times New Roman" w:eastAsia="Times New Roman" w:hAnsi="Times New Roman"/>
          <w:sz w:val="20"/>
          <w:szCs w:val="20"/>
          <w:color w:val="auto"/>
        </w:rPr>
      </w:pPr>
    </w:p>
    <w:p>
      <w:pPr>
        <w:ind w:left="300" w:hanging="115"/>
        <w:spacing w:after="0"/>
        <w:tabs>
          <w:tab w:leader="none" w:pos="3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continually develop new products or fall behind</w:t>
      </w:r>
    </w:p>
    <w:p>
      <w:pPr>
        <w:spacing w:after="0" w:line="219" w:lineRule="exact"/>
        <w:rPr>
          <w:rFonts w:ascii="Times New Roman" w:cs="Times New Roman" w:eastAsia="Times New Roman" w:hAnsi="Times New Roman"/>
          <w:sz w:val="20"/>
          <w:szCs w:val="20"/>
          <w:color w:val="auto"/>
        </w:rPr>
      </w:pPr>
    </w:p>
    <w:p>
      <w:pPr>
        <w:ind w:left="300" w:hanging="115"/>
        <w:spacing w:after="0"/>
        <w:tabs>
          <w:tab w:leader="none" w:pos="3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adverse global economic conditions</w:t>
      </w:r>
    </w:p>
    <w:p>
      <w:pPr>
        <w:spacing w:after="0" w:line="221" w:lineRule="exact"/>
        <w:rPr>
          <w:rFonts w:ascii="Times New Roman" w:cs="Times New Roman" w:eastAsia="Times New Roman" w:hAnsi="Times New Roman"/>
          <w:sz w:val="20"/>
          <w:szCs w:val="20"/>
          <w:color w:val="auto"/>
        </w:rPr>
      </w:pPr>
    </w:p>
    <w:p>
      <w:pPr>
        <w:ind w:left="300" w:hanging="115"/>
        <w:spacing w:after="0"/>
        <w:tabs>
          <w:tab w:leader="none" w:pos="3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volatile or slower revenue growth in the future</w:t>
      </w:r>
    </w:p>
    <w:p>
      <w:pPr>
        <w:spacing w:after="0" w:line="221" w:lineRule="exact"/>
        <w:rPr>
          <w:rFonts w:ascii="Times New Roman" w:cs="Times New Roman" w:eastAsia="Times New Roman" w:hAnsi="Times New Roman"/>
          <w:sz w:val="20"/>
          <w:szCs w:val="20"/>
          <w:color w:val="auto"/>
        </w:rPr>
      </w:pPr>
    </w:p>
    <w:p>
      <w:pPr>
        <w:ind w:left="300" w:hanging="115"/>
        <w:spacing w:after="0"/>
        <w:tabs>
          <w:tab w:leader="none" w:pos="3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 manufacturing problems affect quality and customer relationships</w:t>
      </w:r>
    </w:p>
    <w:p>
      <w:pPr>
        <w:spacing w:after="0" w:line="219" w:lineRule="exact"/>
        <w:rPr>
          <w:rFonts w:ascii="Times New Roman" w:cs="Times New Roman" w:eastAsia="Times New Roman" w:hAnsi="Times New Roman"/>
          <w:sz w:val="20"/>
          <w:szCs w:val="20"/>
          <w:color w:val="auto"/>
        </w:rPr>
      </w:pPr>
    </w:p>
    <w:p>
      <w:pPr>
        <w:ind w:left="300" w:hanging="115"/>
        <w:spacing w:after="0"/>
        <w:tabs>
          <w:tab w:leader="none" w:pos="3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high fixed costs due to vertical integration</w:t>
      </w:r>
    </w:p>
    <w:p>
      <w:pPr>
        <w:spacing w:after="0" w:line="221" w:lineRule="exact"/>
        <w:rPr>
          <w:rFonts w:ascii="Times New Roman" w:cs="Times New Roman" w:eastAsia="Times New Roman" w:hAnsi="Times New Roman"/>
          <w:sz w:val="20"/>
          <w:szCs w:val="20"/>
          <w:color w:val="auto"/>
        </w:rPr>
      </w:pPr>
    </w:p>
    <w:p>
      <w:pPr>
        <w:ind w:left="300" w:hanging="115"/>
        <w:spacing w:after="0"/>
        <w:tabs>
          <w:tab w:leader="none" w:pos="3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U.S. tariff and import/export regulations</w:t>
      </w:r>
    </w:p>
    <w:p>
      <w:pPr>
        <w:spacing w:after="0" w:line="221" w:lineRule="exact"/>
        <w:rPr>
          <w:rFonts w:ascii="Times New Roman" w:cs="Times New Roman" w:eastAsia="Times New Roman" w:hAnsi="Times New Roman"/>
          <w:sz w:val="20"/>
          <w:szCs w:val="20"/>
          <w:color w:val="auto"/>
        </w:rPr>
      </w:pPr>
    </w:p>
    <w:p>
      <w:pPr>
        <w:ind w:left="300" w:hanging="115"/>
        <w:spacing w:after="0"/>
        <w:tabs>
          <w:tab w:leader="none" w:pos="3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increasing costs and product mix shifts</w:t>
      </w:r>
    </w:p>
    <w:p>
      <w:pPr>
        <w:spacing w:after="0" w:line="219" w:lineRule="exact"/>
        <w:rPr>
          <w:rFonts w:ascii="Times New Roman" w:cs="Times New Roman" w:eastAsia="Times New Roman" w:hAnsi="Times New Roman"/>
          <w:sz w:val="20"/>
          <w:szCs w:val="20"/>
          <w:color w:val="auto"/>
        </w:rPr>
      </w:pPr>
    </w:p>
    <w:p>
      <w:pPr>
        <w:ind w:left="300" w:hanging="115"/>
        <w:spacing w:after="0"/>
        <w:tabs>
          <w:tab w:leader="none" w:pos="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results may vary significantly on a quarterly basis, leading to stock price volatility</w:t>
      </w:r>
    </w:p>
    <w:p>
      <w:pPr>
        <w:spacing w:after="0" w:line="244" w:lineRule="exact"/>
        <w:rPr>
          <w:rFonts w:ascii="Times New Roman" w:cs="Times New Roman" w:eastAsia="Times New Roman" w:hAnsi="Times New Roman"/>
          <w:sz w:val="18"/>
          <w:szCs w:val="18"/>
          <w:color w:val="auto"/>
        </w:rPr>
      </w:pPr>
    </w:p>
    <w:p>
      <w:pPr>
        <w:ind w:left="300" w:hanging="115"/>
        <w:spacing w:after="0"/>
        <w:tabs>
          <w:tab w:leader="none" w:pos="3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dependence on key personnel in a rapidly changing market</w:t>
      </w:r>
    </w:p>
    <w:p>
      <w:pPr>
        <w:spacing w:after="0" w:line="221" w:lineRule="exact"/>
        <w:rPr>
          <w:rFonts w:ascii="Times New Roman" w:cs="Times New Roman" w:eastAsia="Times New Roman" w:hAnsi="Times New Roman"/>
          <w:sz w:val="20"/>
          <w:szCs w:val="20"/>
          <w:color w:val="auto"/>
        </w:rPr>
      </w:pPr>
    </w:p>
    <w:p>
      <w:pPr>
        <w:ind w:left="300" w:hanging="115"/>
        <w:spacing w:after="0"/>
        <w:tabs>
          <w:tab w:leader="none" w:pos="3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limited number of suppliers</w:t>
      </w:r>
    </w:p>
    <w:p>
      <w:pPr>
        <w:spacing w:after="0" w:line="217" w:lineRule="exact"/>
        <w:rPr>
          <w:rFonts w:ascii="Times New Roman" w:cs="Times New Roman" w:eastAsia="Times New Roman" w:hAnsi="Times New Roman"/>
          <w:sz w:val="20"/>
          <w:szCs w:val="20"/>
          <w:color w:val="auto"/>
        </w:rPr>
      </w:pPr>
    </w:p>
    <w:p>
      <w:pPr>
        <w:ind w:left="300" w:hanging="115"/>
        <w:spacing w:after="0"/>
        <w:tabs>
          <w:tab w:leader="none" w:pos="3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products defects</w:t>
      </w:r>
    </w:p>
    <w:p>
      <w:pPr>
        <w:spacing w:after="0" w:line="221" w:lineRule="exact"/>
        <w:rPr>
          <w:rFonts w:ascii="Times New Roman" w:cs="Times New Roman" w:eastAsia="Times New Roman" w:hAnsi="Times New Roman"/>
          <w:sz w:val="20"/>
          <w:szCs w:val="20"/>
          <w:color w:val="auto"/>
        </w:rPr>
      </w:pPr>
    </w:p>
    <w:p>
      <w:pPr>
        <w:ind w:left="300" w:hanging="115"/>
        <w:spacing w:after="0"/>
        <w:tabs>
          <w:tab w:leader="none" w:pos="3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epidemic disease could cause business disruptions</w:t>
      </w:r>
    </w:p>
    <w:p>
      <w:pPr>
        <w:spacing w:after="0" w:line="221" w:lineRule="exact"/>
        <w:rPr>
          <w:rFonts w:ascii="Times New Roman" w:cs="Times New Roman" w:eastAsia="Times New Roman" w:hAnsi="Times New Roman"/>
          <w:sz w:val="20"/>
          <w:szCs w:val="20"/>
          <w:color w:val="auto"/>
        </w:rPr>
      </w:pPr>
    </w:p>
    <w:p>
      <w:pPr>
        <w:ind w:left="300" w:hanging="115"/>
        <w:spacing w:after="0"/>
        <w:tabs>
          <w:tab w:leader="none" w:pos="3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limited ability to use net operating losses</w:t>
      </w:r>
    </w:p>
    <w:p>
      <w:pPr>
        <w:spacing w:after="0" w:line="219" w:lineRule="exact"/>
        <w:rPr>
          <w:rFonts w:ascii="Times New Roman" w:cs="Times New Roman" w:eastAsia="Times New Roman" w:hAnsi="Times New Roman"/>
          <w:sz w:val="20"/>
          <w:szCs w:val="20"/>
          <w:color w:val="auto"/>
        </w:rPr>
      </w:pPr>
    </w:p>
    <w:p>
      <w:pPr>
        <w:ind w:left="300" w:hanging="115"/>
        <w:spacing w:after="0"/>
        <w:tabs>
          <w:tab w:leader="none" w:pos="3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fluctuations in currency exchange rates</w:t>
      </w:r>
    </w:p>
    <w:p>
      <w:pPr>
        <w:spacing w:after="0" w:line="221" w:lineRule="exact"/>
        <w:rPr>
          <w:rFonts w:ascii="Times New Roman" w:cs="Times New Roman" w:eastAsia="Times New Roman" w:hAnsi="Times New Roman"/>
          <w:sz w:val="20"/>
          <w:szCs w:val="20"/>
          <w:color w:val="auto"/>
        </w:rPr>
      </w:pPr>
    </w:p>
    <w:p>
      <w:pPr>
        <w:ind w:left="300" w:hanging="115"/>
        <w:spacing w:after="0"/>
        <w:tabs>
          <w:tab w:leader="none" w:pos="3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acquisition or divestiture may adversely affect our operations</w:t>
      </w:r>
    </w:p>
    <w:p>
      <w:pPr>
        <w:spacing w:after="0" w:line="221" w:lineRule="exact"/>
        <w:rPr>
          <w:rFonts w:ascii="Times New Roman" w:cs="Times New Roman" w:eastAsia="Times New Roman" w:hAnsi="Times New Roman"/>
          <w:sz w:val="20"/>
          <w:szCs w:val="20"/>
          <w:color w:val="auto"/>
        </w:rPr>
      </w:pPr>
    </w:p>
    <w:p>
      <w:pPr>
        <w:ind w:left="300" w:hanging="115"/>
        <w:spacing w:after="0"/>
        <w:tabs>
          <w:tab w:leader="none" w:pos="3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natural disasters</w:t>
      </w:r>
    </w:p>
    <w:p>
      <w:pPr>
        <w:spacing w:after="0" w:line="219" w:lineRule="exact"/>
        <w:rPr>
          <w:rFonts w:ascii="Times New Roman" w:cs="Times New Roman" w:eastAsia="Times New Roman" w:hAnsi="Times New Roman"/>
          <w:sz w:val="20"/>
          <w:szCs w:val="20"/>
          <w:color w:val="auto"/>
        </w:rPr>
      </w:pPr>
    </w:p>
    <w:p>
      <w:pPr>
        <w:ind w:left="300" w:hanging="115"/>
        <w:spacing w:after="0"/>
        <w:tabs>
          <w:tab w:leader="none" w:pos="3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lack of shares could affect our ability to retain and recruit talent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Legal and Regulatory Risks</w:t>
      </w:r>
    </w:p>
    <w:p>
      <w:pPr>
        <w:spacing w:after="0" w:line="223" w:lineRule="exact"/>
        <w:rPr>
          <w:sz w:val="20"/>
          <w:szCs w:val="20"/>
          <w:color w:val="auto"/>
        </w:rPr>
      </w:pPr>
    </w:p>
    <w:p>
      <w:pPr>
        <w:ind w:left="300" w:hanging="115"/>
        <w:spacing w:after="0"/>
        <w:tabs>
          <w:tab w:leader="none" w:pos="3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export and import controls</w:t>
      </w:r>
    </w:p>
    <w:p>
      <w:pPr>
        <w:spacing w:after="0" w:line="221" w:lineRule="exact"/>
        <w:rPr>
          <w:rFonts w:ascii="Times New Roman" w:cs="Times New Roman" w:eastAsia="Times New Roman" w:hAnsi="Times New Roman"/>
          <w:sz w:val="20"/>
          <w:szCs w:val="20"/>
          <w:color w:val="auto"/>
        </w:rPr>
      </w:pPr>
    </w:p>
    <w:p>
      <w:pPr>
        <w:ind w:left="300" w:hanging="115"/>
        <w:spacing w:after="0"/>
        <w:tabs>
          <w:tab w:leader="none" w:pos="3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shareholder activism</w:t>
      </w:r>
    </w:p>
    <w:p>
      <w:pPr>
        <w:spacing w:after="0" w:line="221" w:lineRule="exact"/>
        <w:rPr>
          <w:rFonts w:ascii="Times New Roman" w:cs="Times New Roman" w:eastAsia="Times New Roman" w:hAnsi="Times New Roman"/>
          <w:sz w:val="20"/>
          <w:szCs w:val="20"/>
          <w:color w:val="auto"/>
        </w:rPr>
      </w:pPr>
    </w:p>
    <w:p>
      <w:pPr>
        <w:ind w:left="300" w:hanging="115"/>
        <w:spacing w:after="0"/>
        <w:tabs>
          <w:tab w:leader="none" w:pos="3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litigation, administrative action and expenses</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Risks Related to our Indebtedness and Future Financing</w:t>
      </w:r>
    </w:p>
    <w:p>
      <w:pPr>
        <w:spacing w:after="0" w:line="225" w:lineRule="exact"/>
        <w:rPr>
          <w:sz w:val="20"/>
          <w:szCs w:val="20"/>
          <w:color w:val="auto"/>
        </w:rPr>
      </w:pPr>
    </w:p>
    <w:p>
      <w:pPr>
        <w:ind w:left="300" w:hanging="115"/>
        <w:spacing w:after="0"/>
        <w:tabs>
          <w:tab w:leader="none" w:pos="3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and liabilities could limit cash flow</w:t>
      </w:r>
    </w:p>
    <w:p>
      <w:pPr>
        <w:spacing w:after="0" w:line="221" w:lineRule="exact"/>
        <w:rPr>
          <w:rFonts w:ascii="Times New Roman" w:cs="Times New Roman" w:eastAsia="Times New Roman" w:hAnsi="Times New Roman"/>
          <w:sz w:val="20"/>
          <w:szCs w:val="20"/>
          <w:color w:val="auto"/>
        </w:rPr>
      </w:pPr>
    </w:p>
    <w:p>
      <w:pPr>
        <w:ind w:left="300" w:hanging="115"/>
        <w:spacing w:after="0"/>
        <w:tabs>
          <w:tab w:leader="none" w:pos="3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restrictive covenants in loan agreements</w:t>
      </w:r>
    </w:p>
    <w:p>
      <w:pPr>
        <w:spacing w:after="0" w:line="219" w:lineRule="exact"/>
        <w:rPr>
          <w:rFonts w:ascii="Times New Roman" w:cs="Times New Roman" w:eastAsia="Times New Roman" w:hAnsi="Times New Roman"/>
          <w:sz w:val="20"/>
          <w:szCs w:val="20"/>
          <w:color w:val="auto"/>
        </w:rPr>
      </w:pPr>
    </w:p>
    <w:p>
      <w:pPr>
        <w:ind w:left="300" w:hanging="115"/>
        <w:spacing w:after="0"/>
        <w:tabs>
          <w:tab w:leader="none" w:pos="3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ability to obtain capital on favorable terms or at all</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Data Breaches and Network Infrastructures</w:t>
      </w:r>
    </w:p>
    <w:p>
      <w:pPr>
        <w:spacing w:after="0" w:line="225" w:lineRule="exact"/>
        <w:rPr>
          <w:sz w:val="20"/>
          <w:szCs w:val="20"/>
          <w:color w:val="auto"/>
        </w:rPr>
      </w:pPr>
    </w:p>
    <w:p>
      <w:pPr>
        <w:ind w:left="300" w:hanging="115"/>
        <w:spacing w:after="0"/>
        <w:tabs>
          <w:tab w:leader="none" w:pos="3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data breaches and cyberattacks</w:t>
      </w:r>
    </w:p>
    <w:p>
      <w:pPr>
        <w:spacing w:after="0" w:line="219" w:lineRule="exact"/>
        <w:rPr>
          <w:rFonts w:ascii="Times New Roman" w:cs="Times New Roman" w:eastAsia="Times New Roman" w:hAnsi="Times New Roman"/>
          <w:sz w:val="20"/>
          <w:szCs w:val="20"/>
          <w:color w:val="auto"/>
        </w:rPr>
      </w:pPr>
    </w:p>
    <w:p>
      <w:pPr>
        <w:ind w:left="300" w:hanging="115"/>
        <w:spacing w:after="0"/>
        <w:tabs>
          <w:tab w:leader="none" w:pos="3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disruptions or failures in information technology systems and network infrastructures</w:t>
      </w:r>
    </w:p>
    <w:p>
      <w:pPr>
        <w:sectPr>
          <w:pgSz w:w="11880" w:h="15480" w:orient="portrait"/>
          <w:cols w:equalWidth="0" w:num="1">
            <w:col w:w="9820"/>
          </w:cols>
          <w:pgMar w:left="620" w:top="4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0"/>
          <w:szCs w:val="20"/>
          <w:color w:val="auto"/>
        </w:rPr>
        <w:t>14</w:t>
      </w:r>
    </w:p>
    <w:p>
      <w:pPr>
        <w:sectPr>
          <w:pgSz w:w="11880" w:h="15480" w:orient="portrait"/>
          <w:cols w:equalWidth="0" w:num="1">
            <w:col w:w="9820"/>
          </w:cols>
          <w:pgMar w:left="620" w:top="410" w:right="1440" w:bottom="0" w:gutter="0" w:footer="0" w:header="0"/>
          <w:type w:val="continuous"/>
        </w:sectPr>
      </w:pPr>
    </w:p>
    <w:bookmarkStart w:id="16" w:name="page17"/>
    <w:bookmarkEnd w:id="16"/>
    <w:p>
      <w:pPr>
        <w:ind w:left="20"/>
        <w:spacing w:after="0"/>
        <w:rPr>
          <w:sz w:val="20"/>
          <w:szCs w:val="20"/>
          <w:color w:val="auto"/>
        </w:rPr>
      </w:pPr>
      <w:r>
        <w:rPr>
          <w:rFonts w:ascii="Times New Roman" w:cs="Times New Roman" w:eastAsia="Times New Roman" w:hAnsi="Times New Roman"/>
          <w:sz w:val="20"/>
          <w:szCs w:val="20"/>
          <w:b w:val="1"/>
          <w:bCs w:val="1"/>
          <w:color w:val="auto"/>
        </w:rPr>
        <w:t>Risks Related to International Trade and Operations</w:t>
      </w:r>
    </w:p>
    <w:p>
      <w:pPr>
        <w:spacing w:after="0" w:line="223" w:lineRule="exact"/>
        <w:rPr>
          <w:sz w:val="20"/>
          <w:szCs w:val="20"/>
          <w:color w:val="auto"/>
        </w:rPr>
      </w:pPr>
    </w:p>
    <w:p>
      <w:pPr>
        <w:ind w:left="300" w:hanging="115"/>
        <w:spacing w:after="0"/>
        <w:tabs>
          <w:tab w:leader="none" w:pos="30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U.S. and international trade policies</w:t>
      </w:r>
    </w:p>
    <w:p>
      <w:pPr>
        <w:spacing w:after="0" w:line="221" w:lineRule="exact"/>
        <w:rPr>
          <w:rFonts w:ascii="Times New Roman" w:cs="Times New Roman" w:eastAsia="Times New Roman" w:hAnsi="Times New Roman"/>
          <w:sz w:val="20"/>
          <w:szCs w:val="20"/>
          <w:color w:val="auto"/>
        </w:rPr>
      </w:pPr>
    </w:p>
    <w:p>
      <w:pPr>
        <w:ind w:left="300" w:hanging="115"/>
        <w:spacing w:after="0"/>
        <w:tabs>
          <w:tab w:leader="none" w:pos="30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variety of risks with international sales and operations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Operations in China</w:t>
      </w:r>
    </w:p>
    <w:p>
      <w:pPr>
        <w:spacing w:after="0" w:line="223" w:lineRule="exact"/>
        <w:rPr>
          <w:sz w:val="20"/>
          <w:szCs w:val="20"/>
          <w:color w:val="auto"/>
        </w:rPr>
      </w:pPr>
    </w:p>
    <w:p>
      <w:pPr>
        <w:ind w:left="300" w:hanging="115"/>
        <w:spacing w:after="0"/>
        <w:tabs>
          <w:tab w:leader="none" w:pos="30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economic and political policies in China</w:t>
      </w:r>
    </w:p>
    <w:p>
      <w:pPr>
        <w:spacing w:after="0" w:line="221" w:lineRule="exact"/>
        <w:rPr>
          <w:rFonts w:ascii="Times New Roman" w:cs="Times New Roman" w:eastAsia="Times New Roman" w:hAnsi="Times New Roman"/>
          <w:sz w:val="20"/>
          <w:szCs w:val="20"/>
          <w:color w:val="auto"/>
        </w:rPr>
      </w:pPr>
    </w:p>
    <w:p>
      <w:pPr>
        <w:ind w:left="300" w:hanging="115"/>
        <w:spacing w:after="0"/>
        <w:tabs>
          <w:tab w:leader="none" w:pos="30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high turnover of direct labor in manufacturing in China</w:t>
      </w:r>
    </w:p>
    <w:p>
      <w:pPr>
        <w:spacing w:after="0" w:line="221" w:lineRule="exact"/>
        <w:rPr>
          <w:rFonts w:ascii="Times New Roman" w:cs="Times New Roman" w:eastAsia="Times New Roman" w:hAnsi="Times New Roman"/>
          <w:sz w:val="20"/>
          <w:szCs w:val="20"/>
          <w:color w:val="auto"/>
        </w:rPr>
      </w:pPr>
    </w:p>
    <w:p>
      <w:pPr>
        <w:ind w:left="300" w:hanging="115"/>
        <w:spacing w:after="0"/>
        <w:tabs>
          <w:tab w:leader="none" w:pos="30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regulations of loans to our China subsidiary</w:t>
      </w:r>
    </w:p>
    <w:p>
      <w:pPr>
        <w:spacing w:after="0" w:line="219" w:lineRule="exact"/>
        <w:rPr>
          <w:rFonts w:ascii="Times New Roman" w:cs="Times New Roman" w:eastAsia="Times New Roman" w:hAnsi="Times New Roman"/>
          <w:sz w:val="20"/>
          <w:szCs w:val="20"/>
          <w:color w:val="auto"/>
        </w:rPr>
      </w:pPr>
    </w:p>
    <w:p>
      <w:pPr>
        <w:ind w:left="300" w:hanging="115"/>
        <w:spacing w:after="0"/>
        <w:tabs>
          <w:tab w:leader="none" w:pos="30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China labor laws and increasing labor costs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Intellectual Property Matters</w:t>
      </w:r>
    </w:p>
    <w:p>
      <w:pPr>
        <w:spacing w:after="0" w:line="225" w:lineRule="exact"/>
        <w:rPr>
          <w:sz w:val="20"/>
          <w:szCs w:val="20"/>
          <w:color w:val="auto"/>
        </w:rPr>
      </w:pPr>
    </w:p>
    <w:p>
      <w:pPr>
        <w:ind w:left="300" w:hanging="115"/>
        <w:spacing w:after="0"/>
        <w:tabs>
          <w:tab w:leader="none" w:pos="30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ability to obtain, maintain, protect and enforce our intellectual property rights</w:t>
      </w:r>
    </w:p>
    <w:p>
      <w:pPr>
        <w:spacing w:after="0" w:line="219" w:lineRule="exact"/>
        <w:rPr>
          <w:rFonts w:ascii="Times New Roman" w:cs="Times New Roman" w:eastAsia="Times New Roman" w:hAnsi="Times New Roman"/>
          <w:sz w:val="20"/>
          <w:szCs w:val="20"/>
          <w:color w:val="auto"/>
        </w:rPr>
      </w:pPr>
    </w:p>
    <w:p>
      <w:pPr>
        <w:ind w:left="300" w:hanging="115"/>
        <w:spacing w:after="0"/>
        <w:tabs>
          <w:tab w:leader="none" w:pos="30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intellectual property disputes</w:t>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Risks Related to Our Common Stock</w:t>
      </w:r>
    </w:p>
    <w:p>
      <w:pPr>
        <w:spacing w:after="0" w:line="225" w:lineRule="exact"/>
        <w:rPr>
          <w:sz w:val="20"/>
          <w:szCs w:val="20"/>
          <w:color w:val="auto"/>
        </w:rPr>
      </w:pPr>
    </w:p>
    <w:p>
      <w:pPr>
        <w:ind w:left="300" w:hanging="115"/>
        <w:spacing w:after="0"/>
        <w:tabs>
          <w:tab w:leader="none" w:pos="30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volatility of the trading price of our Common Stock</w:t>
      </w:r>
    </w:p>
    <w:p>
      <w:pPr>
        <w:spacing w:after="0" w:line="219" w:lineRule="exact"/>
        <w:rPr>
          <w:rFonts w:ascii="Times New Roman" w:cs="Times New Roman" w:eastAsia="Times New Roman" w:hAnsi="Times New Roman"/>
          <w:sz w:val="20"/>
          <w:szCs w:val="20"/>
          <w:color w:val="auto"/>
        </w:rPr>
      </w:pPr>
    </w:p>
    <w:p>
      <w:pPr>
        <w:ind w:left="300" w:hanging="115"/>
        <w:spacing w:after="0"/>
        <w:tabs>
          <w:tab w:leader="none" w:pos="30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limitations on the ability of holders of our Common Stock to influence corporate matters</w:t>
      </w:r>
    </w:p>
    <w:p>
      <w:pPr>
        <w:spacing w:after="0" w:line="221" w:lineRule="exact"/>
        <w:rPr>
          <w:rFonts w:ascii="Times New Roman" w:cs="Times New Roman" w:eastAsia="Times New Roman" w:hAnsi="Times New Roman"/>
          <w:sz w:val="20"/>
          <w:szCs w:val="20"/>
          <w:color w:val="auto"/>
        </w:rPr>
      </w:pPr>
    </w:p>
    <w:p>
      <w:pPr>
        <w:ind w:left="300" w:hanging="115"/>
        <w:spacing w:after="0"/>
        <w:tabs>
          <w:tab w:leader="none" w:pos="30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exclusive forum selection clause in our Restated Certificate of Incorporation</w:t>
      </w: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Risks Related to Operating Our Business</w:t>
      </w:r>
    </w:p>
    <w:p>
      <w:pPr>
        <w:spacing w:after="0" w:line="224" w:lineRule="exact"/>
        <w:rPr>
          <w:sz w:val="20"/>
          <w:szCs w:val="20"/>
          <w:color w:val="auto"/>
        </w:rPr>
      </w:pPr>
    </w:p>
    <w:p>
      <w:pPr>
        <w:jc w:val="both"/>
        <w:ind w:left="20"/>
        <w:spacing w:after="0" w:line="250" w:lineRule="auto"/>
        <w:rPr>
          <w:sz w:val="20"/>
          <w:szCs w:val="20"/>
          <w:color w:val="auto"/>
        </w:rPr>
      </w:pPr>
      <w:r>
        <w:rPr>
          <w:rFonts w:ascii="Times New Roman" w:cs="Times New Roman" w:eastAsia="Times New Roman" w:hAnsi="Times New Roman"/>
          <w:sz w:val="20"/>
          <w:szCs w:val="20"/>
          <w:b w:val="1"/>
          <w:bCs w:val="1"/>
          <w:i w:val="1"/>
          <w:iCs w:val="1"/>
          <w:color w:val="auto"/>
        </w:rPr>
        <w:t>Significant capital investments in U.S. manufacturing and automation, including investments intended to support artificial intelligence ("AI")-related demand, may not achieve expected returns and could adversely affect our business, financial condition, and results of operations.</w:t>
      </w:r>
    </w:p>
    <w:p>
      <w:pPr>
        <w:spacing w:after="0" w:line="183" w:lineRule="exact"/>
        <w:rPr>
          <w:sz w:val="20"/>
          <w:szCs w:val="20"/>
          <w:color w:val="auto"/>
        </w:rPr>
      </w:pPr>
    </w:p>
    <w:p>
      <w:pPr>
        <w:jc w:val="both"/>
        <w:ind w:left="20" w:firstLine="706"/>
        <w:spacing w:after="0" w:line="265" w:lineRule="auto"/>
        <w:rPr>
          <w:sz w:val="20"/>
          <w:szCs w:val="20"/>
          <w:color w:val="auto"/>
        </w:rPr>
      </w:pPr>
      <w:r>
        <w:rPr>
          <w:rFonts w:ascii="Times New Roman" w:cs="Times New Roman" w:eastAsia="Times New Roman" w:hAnsi="Times New Roman"/>
          <w:sz w:val="20"/>
          <w:szCs w:val="20"/>
          <w:color w:val="auto"/>
        </w:rPr>
        <w:t>We are planning and, in some cases, have already commenced substantial capital investments to expand and modernize our U.S. manufacturing footprint and to increase automation across our operations.</w:t>
      </w:r>
    </w:p>
    <w:p>
      <w:pPr>
        <w:spacing w:after="0" w:line="167" w:lineRule="exact"/>
        <w:rPr>
          <w:sz w:val="20"/>
          <w:szCs w:val="20"/>
          <w:color w:val="auto"/>
        </w:rPr>
      </w:pPr>
    </w:p>
    <w:p>
      <w:pPr>
        <w:jc w:val="both"/>
        <w:ind w:left="20" w:firstLine="706"/>
        <w:spacing w:after="0"/>
        <w:rPr>
          <w:sz w:val="20"/>
          <w:szCs w:val="20"/>
          <w:color w:val="auto"/>
        </w:rPr>
      </w:pPr>
      <w:r>
        <w:rPr>
          <w:rFonts w:ascii="Times New Roman" w:cs="Times New Roman" w:eastAsia="Times New Roman" w:hAnsi="Times New Roman"/>
          <w:sz w:val="20"/>
          <w:szCs w:val="20"/>
          <w:color w:val="auto"/>
        </w:rPr>
        <w:t>These initiatives include site selection and construction of new or expanded facilities, acquisition and installation of advanced production equipment, deployment of robotics and software-enabled process controls, and related hiring and training of specialized personnel. A significant portion of these investments is predicated on our expectations regarding the growth, timing, and mix of customer demand, including demand we anticipate could be driven by AI-related use cases and workloads across our end markets. These projects involve long lead times, complex execution, and significant upfront and continuing expenditures. If these investments do not yield anticipated productivity gains, cost efficiencies, capacity utilization, or revenue growth, or if the expected AI-driven demand does not materialize, is delayed, or develops differently than we forecast, our returns on invested capital could be materially below our expectations and our business, financial condition, and results of operations could be adversely affected.</w:t>
      </w:r>
    </w:p>
    <w:p>
      <w:pPr>
        <w:spacing w:after="0" w:line="188" w:lineRule="exact"/>
        <w:rPr>
          <w:sz w:val="20"/>
          <w:szCs w:val="20"/>
          <w:color w:val="auto"/>
        </w:rPr>
      </w:pPr>
    </w:p>
    <w:p>
      <w:pPr>
        <w:jc w:val="both"/>
        <w:ind w:left="20" w:firstLine="706"/>
        <w:spacing w:after="0"/>
        <w:rPr>
          <w:sz w:val="20"/>
          <w:szCs w:val="20"/>
          <w:color w:val="auto"/>
        </w:rPr>
      </w:pPr>
      <w:r>
        <w:rPr>
          <w:rFonts w:ascii="Times New Roman" w:cs="Times New Roman" w:eastAsia="Times New Roman" w:hAnsi="Times New Roman"/>
          <w:sz w:val="20"/>
          <w:szCs w:val="20"/>
          <w:color w:val="auto"/>
        </w:rPr>
        <w:t>Realizing the anticipated benefits from these investments depends on numerous factors, many of which are outside of our control. These include the availability, cost, and performance of specialized equipment; the scalability and reliability of automation technologies and related software; successful integration with existing systems and processes; the recruitment, retention, and training of skilled labor; timely permitting and construction; and the stability and capacity of our suppliers and utility providers. We may experience cost inflation, supply chain constraints, labor market tightness, or delays in equipment delivery, installation, qualification, or regulatory approvals, any of which could increase project costs, extend timelines, reduce expected throughput, or impair quality and yield. We also may face risks related to cybersecurity, data integrity, or system outages associated with increased digitization and automation of our manufacturing environments.</w:t>
      </w:r>
    </w:p>
    <w:p>
      <w:pPr>
        <w:spacing w:after="0" w:line="191" w:lineRule="exact"/>
        <w:rPr>
          <w:sz w:val="20"/>
          <w:szCs w:val="20"/>
          <w:color w:val="auto"/>
        </w:rPr>
      </w:pPr>
    </w:p>
    <w:p>
      <w:pPr>
        <w:jc w:val="both"/>
        <w:ind w:left="20" w:firstLine="706"/>
        <w:spacing w:after="0" w:line="276" w:lineRule="auto"/>
        <w:rPr>
          <w:sz w:val="20"/>
          <w:szCs w:val="20"/>
          <w:color w:val="auto"/>
        </w:rPr>
      </w:pPr>
      <w:r>
        <w:rPr>
          <w:rFonts w:ascii="Times New Roman" w:cs="Times New Roman" w:eastAsia="Times New Roman" w:hAnsi="Times New Roman"/>
          <w:sz w:val="18"/>
          <w:szCs w:val="18"/>
          <w:color w:val="auto"/>
        </w:rPr>
        <w:t>Our investment decisions rely on assumptions regarding long-term customer demand, pricing, product mix, and the competitive landscape. If AI adoption slows, stalls, or follows a trajectory that differs from our planning assumptions, we could incur overcapacity, lower utilization rates, and negative operating leverage. In such circumstances, we may not be able to pass increased fixed costs through pricing, which could compress margins and free cash flow. We may be required to incur additional spending to repurpose, reconfigure, or mothball facilities, or to impair long-lived assets, including construction-in-progress, machinery and equipment, and related</w:t>
      </w:r>
    </w:p>
    <w:p>
      <w:pPr>
        <w:sectPr>
          <w:pgSz w:w="11880" w:h="15480" w:orient="portrait"/>
          <w:cols w:equalWidth="0" w:num="1">
            <w:col w:w="10620"/>
          </w:cols>
          <w:pgMar w:left="620" w:top="407" w:right="640" w:bottom="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w:t>
      </w:r>
    </w:p>
    <w:p>
      <w:pPr>
        <w:sectPr>
          <w:pgSz w:w="11880" w:h="15480" w:orient="portrait"/>
          <w:cols w:equalWidth="0" w:num="1">
            <w:col w:w="10620"/>
          </w:cols>
          <w:pgMar w:left="620" w:top="407" w:right="640" w:bottom="0" w:gutter="0" w:footer="0" w:header="0"/>
          <w:type w:val="continuous"/>
        </w:sectPr>
      </w:pPr>
    </w:p>
    <w:bookmarkStart w:id="17" w:name="page18"/>
    <w:bookmarkEnd w:id="17"/>
    <w:p>
      <w:pPr>
        <w:jc w:val="both"/>
        <w:spacing w:after="0" w:line="268" w:lineRule="auto"/>
        <w:rPr>
          <w:sz w:val="20"/>
          <w:szCs w:val="20"/>
          <w:color w:val="auto"/>
        </w:rPr>
      </w:pPr>
      <w:r>
        <w:rPr>
          <w:rFonts w:ascii="Times New Roman" w:cs="Times New Roman" w:eastAsia="Times New Roman" w:hAnsi="Times New Roman"/>
          <w:sz w:val="20"/>
          <w:szCs w:val="20"/>
          <w:color w:val="auto"/>
        </w:rPr>
        <w:t>intangibles. If anticipated volumes do not materialize, we could also face increased inventory obsolescence risk for AI-adjacent components or inputs, as well as contractual take-or-pay or minimum purchase commitments that exceed our needs.</w:t>
      </w:r>
    </w:p>
    <w:p>
      <w:pPr>
        <w:spacing w:after="0" w:line="162" w:lineRule="exact"/>
        <w:rPr>
          <w:sz w:val="20"/>
          <w:szCs w:val="20"/>
          <w:color w:val="auto"/>
        </w:rPr>
      </w:pPr>
    </w:p>
    <w:p>
      <w:pPr>
        <w:jc w:val="both"/>
        <w:ind w:firstLine="706"/>
        <w:spacing w:after="0" w:line="243" w:lineRule="auto"/>
        <w:rPr>
          <w:sz w:val="20"/>
          <w:szCs w:val="20"/>
          <w:color w:val="auto"/>
        </w:rPr>
      </w:pPr>
      <w:r>
        <w:rPr>
          <w:rFonts w:ascii="Times New Roman" w:cs="Times New Roman" w:eastAsia="Times New Roman" w:hAnsi="Times New Roman"/>
          <w:sz w:val="20"/>
          <w:szCs w:val="20"/>
          <w:color w:val="auto"/>
        </w:rPr>
        <w:t>In addition, our competitors may accelerate or alter their strategies in response to the evolving AI ecosystem, including by pursuing alternative technologies, sourcing models, or geographies. If competitors achieve superior cost positions, faster time-to-market, or better alignment to end-market architectures, our relative returns on new capacity and automation investments could deteriorate. Rapid technological change could also render certain equipment or processes obsolete earlier than expected, necessitating additional capital expenditures or resulting in stranded assets.</w:t>
      </w:r>
    </w:p>
    <w:p>
      <w:pPr>
        <w:spacing w:after="0" w:line="188" w:lineRule="exact"/>
        <w:rPr>
          <w:sz w:val="20"/>
          <w:szCs w:val="20"/>
          <w:color w:val="auto"/>
        </w:rPr>
      </w:pPr>
    </w:p>
    <w:p>
      <w:pPr>
        <w:jc w:val="both"/>
        <w:ind w:firstLine="706"/>
        <w:spacing w:after="0" w:line="243" w:lineRule="auto"/>
        <w:rPr>
          <w:sz w:val="20"/>
          <w:szCs w:val="20"/>
          <w:color w:val="auto"/>
        </w:rPr>
      </w:pPr>
      <w:r>
        <w:rPr>
          <w:rFonts w:ascii="Times New Roman" w:cs="Times New Roman" w:eastAsia="Times New Roman" w:hAnsi="Times New Roman"/>
          <w:sz w:val="20"/>
          <w:szCs w:val="20"/>
          <w:color w:val="auto"/>
        </w:rPr>
        <w:t>Our U.S.-based investments are also affected by government policies, incentives, and regulatory frameworks at the federal, state, and local levels. Changes to, or delays in, incentive programs, tax credits, grants, trade regulations, export controls, labor and workplace rules, environmental requirements, energy policies, or permitting processes could increase project costs, reduce expected benefits, or impact our ability to complete or operate facilities as planned. Reliance on projected incentives or credits that are later reduced, rescinded, or unavailable could adversely affect our expected returns and cash flows.</w:t>
      </w:r>
    </w:p>
    <w:p>
      <w:pPr>
        <w:spacing w:after="0" w:line="189" w:lineRule="exact"/>
        <w:rPr>
          <w:sz w:val="20"/>
          <w:szCs w:val="20"/>
          <w:color w:val="auto"/>
        </w:rPr>
      </w:pPr>
    </w:p>
    <w:p>
      <w:pPr>
        <w:jc w:val="both"/>
        <w:ind w:firstLine="706"/>
        <w:spacing w:after="0" w:line="243" w:lineRule="auto"/>
        <w:rPr>
          <w:sz w:val="20"/>
          <w:szCs w:val="20"/>
          <w:color w:val="auto"/>
        </w:rPr>
      </w:pPr>
      <w:r>
        <w:rPr>
          <w:rFonts w:ascii="Times New Roman" w:cs="Times New Roman" w:eastAsia="Times New Roman" w:hAnsi="Times New Roman"/>
          <w:sz w:val="20"/>
          <w:szCs w:val="20"/>
          <w:color w:val="auto"/>
        </w:rPr>
        <w:t>These risks could be exacerbated by financing conditions, including increases in interest rates, tighter credit availability, or covenant constraints that limit our flexibility to fund projects, absorb schedule slippages, or respond to market developments. If project costs rise, schedules extend, or expected benefits lag, we may need to reevaluate our capital allocation priorities, including deferring, scaling back, or cancelling projects, or redirecting capital to other initiatives. Any of these outcomes could adversely affect our growth prospects, competitive position, liquidity, and ability to achieve our strategic objectives.</w:t>
      </w:r>
    </w:p>
    <w:p>
      <w:pPr>
        <w:spacing w:after="0" w:line="189" w:lineRule="exact"/>
        <w:rPr>
          <w:sz w:val="20"/>
          <w:szCs w:val="20"/>
          <w:color w:val="auto"/>
        </w:rPr>
      </w:pPr>
    </w:p>
    <w:p>
      <w:pPr>
        <w:jc w:val="both"/>
        <w:ind w:firstLine="706"/>
        <w:spacing w:after="0" w:line="293" w:lineRule="auto"/>
        <w:rPr>
          <w:sz w:val="20"/>
          <w:szCs w:val="20"/>
          <w:color w:val="auto"/>
        </w:rPr>
      </w:pPr>
      <w:r>
        <w:rPr>
          <w:rFonts w:ascii="Times New Roman" w:cs="Times New Roman" w:eastAsia="Times New Roman" w:hAnsi="Times New Roman"/>
          <w:sz w:val="18"/>
          <w:szCs w:val="18"/>
          <w:color w:val="auto"/>
        </w:rPr>
        <w:t>The timing and magnitude of the effects described above are inherently uncertain. If our U.S. manufacturing and automation investments, including those premised on expected AI-driven demand, do not achieve intended outcomes on the contemplated schedule or at the anticipated cost, our business, financial condition, and results of operations could be materially and adversely affected.</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b w:val="1"/>
          <w:bCs w:val="1"/>
          <w:i w:val="1"/>
          <w:iCs w:val="1"/>
          <w:color w:val="auto"/>
        </w:rPr>
        <w:t>We are dependent on our key customers for a significant portion of our revenue and the loss of, or a significant reduction in orders from, any of our key customers would adversely impact our revenue and results of operations.</w:t>
      </w:r>
    </w:p>
    <w:p>
      <w:pPr>
        <w:spacing w:after="0" w:line="166" w:lineRule="exact"/>
        <w:rPr>
          <w:sz w:val="20"/>
          <w:szCs w:val="20"/>
          <w:color w:val="auto"/>
        </w:rPr>
      </w:pPr>
    </w:p>
    <w:p>
      <w:pPr>
        <w:jc w:val="both"/>
        <w:ind w:firstLine="706"/>
        <w:spacing w:after="0" w:line="239" w:lineRule="auto"/>
        <w:rPr>
          <w:sz w:val="20"/>
          <w:szCs w:val="20"/>
          <w:color w:val="auto"/>
        </w:rPr>
      </w:pPr>
      <w:r>
        <w:rPr>
          <w:rFonts w:ascii="Times New Roman" w:cs="Times New Roman" w:eastAsia="Times New Roman" w:hAnsi="Times New Roman"/>
          <w:sz w:val="20"/>
          <w:szCs w:val="20"/>
          <w:color w:val="auto"/>
        </w:rPr>
        <w:t>We generate much of our revenue from a limited number of customers. For each year ended 2025, 2024 and 2023, our top ten customers represented 96.6%, 95% and 92.7% of our revenue, respectively. In 2025, Digicomm represented 53.1% of our revenue and Microsoft represented 28.8% of our revenue. As a result, the loss of, or a significant reduction in orders from any of our key customers would materially and adversely affect our revenue and results of operations. We typically do not have long-term contracts with our customers and instead rely on recurring purchase orders. However, many of our current revenue expectations and forecasts reflect significant anticipated orders from a limited number of key customers. If our key customers do not continue to purchase our existing products or fail to purchase additional products from us, our revenue would decline and our results of operations would be adversely affected.</w:t>
      </w:r>
    </w:p>
    <w:p>
      <w:pPr>
        <w:spacing w:after="0" w:line="195" w:lineRule="exact"/>
        <w:rPr>
          <w:sz w:val="20"/>
          <w:szCs w:val="20"/>
          <w:color w:val="auto"/>
        </w:rPr>
      </w:pPr>
    </w:p>
    <w:p>
      <w:pPr>
        <w:jc w:val="both"/>
        <w:ind w:firstLine="706"/>
        <w:spacing w:after="0" w:line="241" w:lineRule="auto"/>
        <w:rPr>
          <w:sz w:val="20"/>
          <w:szCs w:val="20"/>
          <w:color w:val="auto"/>
        </w:rPr>
      </w:pPr>
      <w:r>
        <w:rPr>
          <w:rFonts w:ascii="Times New Roman" w:cs="Times New Roman" w:eastAsia="Times New Roman" w:hAnsi="Times New Roman"/>
          <w:sz w:val="20"/>
          <w:szCs w:val="20"/>
          <w:color w:val="auto"/>
        </w:rPr>
        <w:t>Adverse events affecting our key customers could also negatively affect our ability to retain their business and obtain new purchase orders, which could adversely affect our revenue and results of operations. For example, in recent years, there has been consolidation among various network equipment manufacturers and this trend is expected to continue. We are unable to predict the impact that industry consolidation would have on our existing or potential customers. We may not be able to offset any potential decline in revenue arising from the consolidation of our existing customers with revenue from new customers or additional revenue from the merged company.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demand is difficult to forecast accurately and, as a result, we may be unable to match production with customer demand.</w:t>
      </w:r>
    </w:p>
    <w:p>
      <w:pPr>
        <w:spacing w:after="0" w:line="243" w:lineRule="exact"/>
        <w:rPr>
          <w:sz w:val="20"/>
          <w:szCs w:val="20"/>
          <w:color w:val="auto"/>
        </w:rPr>
      </w:pPr>
    </w:p>
    <w:p>
      <w:pPr>
        <w:jc w:val="both"/>
        <w:ind w:firstLine="706"/>
        <w:spacing w:after="0" w:line="267" w:lineRule="auto"/>
        <w:rPr>
          <w:sz w:val="20"/>
          <w:szCs w:val="20"/>
          <w:color w:val="auto"/>
        </w:rPr>
      </w:pPr>
      <w:r>
        <w:rPr>
          <w:rFonts w:ascii="Times New Roman" w:cs="Times New Roman" w:eastAsia="Times New Roman" w:hAnsi="Times New Roman"/>
          <w:sz w:val="18"/>
          <w:szCs w:val="18"/>
          <w:color w:val="auto"/>
        </w:rPr>
        <w:t>We make planning and spending decisions, including determining the levels of business that we will seek and accept, production schedules, component procurement commitments, personnel needs and other resource requirements, based on our estimates of product demand and customer requirements. Our products are typically purchased pursuant to individual purchase orders. While our customers may provide us with their demand forecasts, they are typically not contractually committed to buy any quantity of products beyond firm purchase orders. Furthermore, many of our customers may increase, decrease, cancel or delay purchase orders already in place without significant penalty. The short-term nature of commitments by our customers and the possibility of unexpected changes in demand for their products reduce our ability to accurately estimate future customer requirements. On occasion, customers may require rapid increases in production, which can strain our resources, cause our manufacturing to be negatively impacted by materials shortages, necessitate more onerous procurement commitments and reduce our gross margin. We may not have sufficient capacity at any given time to meet the volume demands of our customers, or one or more of our suppliers may not have sufficient capacity at any given time to meet our volume demands. If any of our major customers decrease, stop or delay purchasing our products for any reason, we will likely have excess manufacturing capacity or inventory and our business and results of operations would be harmed.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If our customers do not qualify our products for use on a timely basis, our results of operations may suffer.</w:t>
      </w:r>
    </w:p>
    <w:p>
      <w:pPr>
        <w:spacing w:after="0" w:line="218" w:lineRule="exact"/>
        <w:rPr>
          <w:sz w:val="20"/>
          <w:szCs w:val="20"/>
          <w:color w:val="auto"/>
        </w:rPr>
      </w:pPr>
    </w:p>
    <w:p>
      <w:pPr>
        <w:jc w:val="both"/>
        <w:ind w:firstLine="706"/>
        <w:spacing w:after="0" w:line="324" w:lineRule="auto"/>
        <w:rPr>
          <w:sz w:val="20"/>
          <w:szCs w:val="20"/>
          <w:color w:val="auto"/>
        </w:rPr>
      </w:pPr>
      <w:r>
        <w:rPr>
          <w:rFonts w:ascii="Times New Roman" w:cs="Times New Roman" w:eastAsia="Times New Roman" w:hAnsi="Times New Roman"/>
          <w:sz w:val="18"/>
          <w:szCs w:val="18"/>
          <w:color w:val="auto"/>
        </w:rPr>
        <w:t>Prior to the sale of new products, our customers typically require us to "qualify" our products for use in their applications. At the successful completion of this qualification process, we refer to the resulting sales opportunity as a "design win". Additionally, new</w:t>
      </w:r>
    </w:p>
    <w:p>
      <w:pPr>
        <w:sectPr>
          <w:pgSz w:w="11880" w:h="15480" w:orient="portrait"/>
          <w:cols w:equalWidth="0" w:num="1">
            <w:col w:w="10600"/>
          </w:cols>
          <w:pgMar w:left="640" w:top="410" w:right="640" w:bottom="0" w:gutter="0" w:footer="0" w:header="0"/>
        </w:sectPr>
      </w:pP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880" w:h="15480" w:orient="portrait"/>
          <w:cols w:equalWidth="0" w:num="1">
            <w:col w:w="10600"/>
          </w:cols>
          <w:pgMar w:left="640" w:top="410" w:right="640" w:bottom="0" w:gutter="0" w:footer="0" w:header="0"/>
          <w:type w:val="continuous"/>
        </w:sectPr>
      </w:pPr>
    </w:p>
    <w:bookmarkStart w:id="18" w:name="page19"/>
    <w:bookmarkEnd w:id="18"/>
    <w:p>
      <w:pPr>
        <w:jc w:val="both"/>
        <w:spacing w:after="0" w:line="241" w:lineRule="auto"/>
        <w:rPr>
          <w:sz w:val="20"/>
          <w:szCs w:val="20"/>
          <w:color w:val="auto"/>
        </w:rPr>
      </w:pPr>
      <w:r>
        <w:rPr>
          <w:rFonts w:ascii="Times New Roman" w:cs="Times New Roman" w:eastAsia="Times New Roman" w:hAnsi="Times New Roman"/>
          <w:sz w:val="20"/>
          <w:szCs w:val="20"/>
          <w:color w:val="auto"/>
        </w:rPr>
        <w:t>customers often audit our manufacturing facilities and perform other evaluations during this qualification process. The qualification process involves product sampling and reliability testing and collaboration with our product management and engineering teams in the design and manufacturing stages. If we are unable to accurately predict the amount of time required to qualify our products with customers, or are unable to qualify our products with certain customers at all, then our ability to generate revenue could be delayed or our revenue would be lower than expected and we may not be able to recover the costs associated with the qualification process or with our product development efforts, which would have an adverse effect on our results of operations.</w:t>
      </w:r>
    </w:p>
    <w:p>
      <w:pPr>
        <w:spacing w:after="0" w:line="193" w:lineRule="exact"/>
        <w:rPr>
          <w:sz w:val="20"/>
          <w:szCs w:val="20"/>
          <w:color w:val="auto"/>
        </w:rPr>
      </w:pPr>
    </w:p>
    <w:p>
      <w:pPr>
        <w:jc w:val="both"/>
        <w:ind w:firstLine="706"/>
        <w:spacing w:after="0" w:line="241" w:lineRule="auto"/>
        <w:rPr>
          <w:sz w:val="20"/>
          <w:szCs w:val="20"/>
          <w:color w:val="auto"/>
        </w:rPr>
      </w:pPr>
      <w:r>
        <w:rPr>
          <w:rFonts w:ascii="Times New Roman" w:cs="Times New Roman" w:eastAsia="Times New Roman" w:hAnsi="Times New Roman"/>
          <w:sz w:val="20"/>
          <w:szCs w:val="20"/>
          <w:color w:val="auto"/>
        </w:rPr>
        <w:t>In addition, due to rapid technological changes in our markets, a customer may cancel or modify a design project before we have qualified our product or begun volume manufacturing of a qualified product. It is unlikely that we would be able to recover the expenses for cancelled or unutilized custom design projects. Some of these unrecoverable expenses for cancelled or unutilized custom design projects may be significant. It is difficult to predict with any certainty whether our customers will delay or terminate product qualification or the frequency with which customers will cancel or modify their projects, but any such delay, cancellation or modification would have a negative effect on our results of operations.</w:t>
      </w:r>
    </w:p>
    <w:p>
      <w:pPr>
        <w:spacing w:after="0" w:line="190" w:lineRule="exact"/>
        <w:rPr>
          <w:sz w:val="20"/>
          <w:szCs w:val="20"/>
          <w:color w:val="auto"/>
        </w:rPr>
      </w:pPr>
    </w:p>
    <w:p>
      <w:pPr>
        <w:jc w:val="both"/>
        <w:ind w:firstLine="706"/>
        <w:spacing w:after="0" w:line="246" w:lineRule="auto"/>
        <w:rPr>
          <w:sz w:val="20"/>
          <w:szCs w:val="20"/>
          <w:color w:val="auto"/>
        </w:rPr>
      </w:pPr>
      <w:r>
        <w:rPr>
          <w:rFonts w:ascii="Times New Roman" w:cs="Times New Roman" w:eastAsia="Times New Roman" w:hAnsi="Times New Roman"/>
          <w:sz w:val="20"/>
          <w:szCs w:val="20"/>
          <w:color w:val="auto"/>
        </w:rPr>
        <w:t>Our ability to successfully qualify and scale capacity for new technologies and products is important to our ability to grow our business and market presence, and we may invest a significant amount to scale our capacity to meet potential demand from customers for our new technologies and products. If we are unable to qualify and sell any of our new products in volume, on time, or at all, our results of operations may be adversely affected.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Technology adoption cycles impact our business</w:t>
      </w:r>
      <w:r>
        <w:rPr>
          <w:rFonts w:ascii="Times New Roman" w:cs="Times New Roman" w:eastAsia="Times New Roman" w:hAnsi="Times New Roman"/>
          <w:sz w:val="20"/>
          <w:szCs w:val="20"/>
          <w:color w:val="auto"/>
        </w:rPr>
        <w:t>.</w:t>
      </w:r>
    </w:p>
    <w:p>
      <w:pPr>
        <w:spacing w:after="0" w:line="219" w:lineRule="exact"/>
        <w:rPr>
          <w:sz w:val="20"/>
          <w:szCs w:val="20"/>
          <w:color w:val="auto"/>
        </w:rPr>
      </w:pPr>
    </w:p>
    <w:p>
      <w:pPr>
        <w:jc w:val="both"/>
        <w:ind w:firstLine="706"/>
        <w:spacing w:after="0"/>
        <w:rPr>
          <w:sz w:val="20"/>
          <w:szCs w:val="20"/>
          <w:color w:val="auto"/>
        </w:rPr>
      </w:pPr>
      <w:r>
        <w:rPr>
          <w:rFonts w:ascii="Times New Roman" w:cs="Times New Roman" w:eastAsia="Times New Roman" w:hAnsi="Times New Roman"/>
          <w:sz w:val="20"/>
          <w:szCs w:val="20"/>
          <w:color w:val="auto"/>
        </w:rPr>
        <w:t>In each of our markets, technology standards influence customer purchasing patterns and vendor selection. Network operators deploy the next generation of technology at different times and typically reduce or stop their purchase of the trailing generation of equipment in advance of their deployment of the next generation. Our revenue from sales of the trailing generation products may fall rapidly, or at an uneven rate, and the prices at which we can sell the trailing generation products may decline. If we do not effectively manage our inventory, we may have an excess of inventory that we may not be able to participate in vendor selection processes of operators and their equipment providers for the next generation of technology deployment, which would reduce our future revenue potential.</w:t>
      </w:r>
    </w:p>
    <w:p>
      <w:pPr>
        <w:spacing w:after="0" w:line="1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b w:val="1"/>
          <w:bCs w:val="1"/>
          <w:i w:val="1"/>
          <w:iCs w:val="1"/>
          <w:color w:val="auto"/>
        </w:rPr>
        <w:t>We must continually develop successful new products and enhance existing products, and if we fail to do so or if our release of new or enhanced products is delayed, our business may be harmed.</w:t>
      </w:r>
    </w:p>
    <w:p>
      <w:pPr>
        <w:spacing w:after="0" w:line="164" w:lineRule="exact"/>
        <w:rPr>
          <w:sz w:val="20"/>
          <w:szCs w:val="20"/>
          <w:color w:val="auto"/>
        </w:rPr>
      </w:pPr>
    </w:p>
    <w:p>
      <w:pPr>
        <w:jc w:val="both"/>
        <w:ind w:firstLine="706"/>
        <w:spacing w:after="0" w:line="243" w:lineRule="auto"/>
        <w:rPr>
          <w:sz w:val="20"/>
          <w:szCs w:val="20"/>
          <w:color w:val="auto"/>
        </w:rPr>
      </w:pPr>
      <w:r>
        <w:rPr>
          <w:rFonts w:ascii="Times New Roman" w:cs="Times New Roman" w:eastAsia="Times New Roman" w:hAnsi="Times New Roman"/>
          <w:sz w:val="20"/>
          <w:szCs w:val="20"/>
          <w:color w:val="auto"/>
        </w:rPr>
        <w:t>The markets for our products are characterized by frequent new product introductions, changes in customer requirements and evolving industry standards, all with an underlying pressure to reduce cost and meet stringent reliability and qualification requirements. Our future performance will depend on our successful development, introduction and market acceptance of new and enhanced products that address these challenges. If we are unable to make our new or enhanced products commercially available on a timely basis, we may lose existing and potential customers and our financial results would suffer.</w:t>
      </w:r>
    </w:p>
    <w:p>
      <w:pPr>
        <w:spacing w:after="0" w:line="188" w:lineRule="exact"/>
        <w:rPr>
          <w:sz w:val="20"/>
          <w:szCs w:val="20"/>
          <w:color w:val="auto"/>
        </w:rPr>
      </w:pPr>
    </w:p>
    <w:p>
      <w:pPr>
        <w:jc w:val="both"/>
        <w:ind w:firstLine="706"/>
        <w:spacing w:after="0" w:line="251" w:lineRule="auto"/>
        <w:rPr>
          <w:sz w:val="20"/>
          <w:szCs w:val="20"/>
          <w:color w:val="auto"/>
        </w:rPr>
      </w:pPr>
      <w:r>
        <w:rPr>
          <w:rFonts w:ascii="Times New Roman" w:cs="Times New Roman" w:eastAsia="Times New Roman" w:hAnsi="Times New Roman"/>
          <w:sz w:val="20"/>
          <w:szCs w:val="20"/>
          <w:color w:val="auto"/>
        </w:rPr>
        <w:t>In addition, due to the costs and length of research, development and manufacturing process cycles, we may not recognize revenue from new products until long after such expenditures, if at all, and our margins may decrease if our costs are higher than expected, adversely affecting our financial condition and results of operations.</w:t>
      </w:r>
    </w:p>
    <w:p>
      <w:pPr>
        <w:spacing w:after="0" w:line="179" w:lineRule="exact"/>
        <w:rPr>
          <w:sz w:val="20"/>
          <w:szCs w:val="20"/>
          <w:color w:val="auto"/>
        </w:rPr>
      </w:pPr>
    </w:p>
    <w:p>
      <w:pPr>
        <w:jc w:val="both"/>
        <w:ind w:firstLine="706"/>
        <w:spacing w:after="0" w:line="324" w:lineRule="auto"/>
        <w:rPr>
          <w:sz w:val="20"/>
          <w:szCs w:val="20"/>
          <w:color w:val="auto"/>
        </w:rPr>
      </w:pPr>
      <w:r>
        <w:rPr>
          <w:rFonts w:ascii="Times New Roman" w:cs="Times New Roman" w:eastAsia="Times New Roman" w:hAnsi="Times New Roman"/>
          <w:sz w:val="18"/>
          <w:szCs w:val="18"/>
          <w:color w:val="auto"/>
        </w:rPr>
        <w:t>Although the length of our product development cycle varies widely by product and customer, it may take 18 months or longer before we receive our first order. As a result, we may incur significant expenses long before customers accept and purchase our products.</w:t>
      </w:r>
    </w:p>
    <w:p>
      <w:pPr>
        <w:spacing w:after="0" w:line="11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Product development delays may result from numerous factors, including:</w:t>
      </w:r>
    </w:p>
    <w:p>
      <w:pPr>
        <w:spacing w:after="0" w:line="228" w:lineRule="exact"/>
        <w:rPr>
          <w:sz w:val="20"/>
          <w:szCs w:val="20"/>
          <w:color w:val="auto"/>
        </w:rPr>
      </w:pPr>
    </w:p>
    <w:p>
      <w:pPr>
        <w:ind w:left="1080" w:hanging="357"/>
        <w:spacing w:after="0"/>
        <w:tabs>
          <w:tab w:leader="none" w:pos="108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modification of product specifications and customer requirements;</w:t>
      </w:r>
    </w:p>
    <w:p>
      <w:pPr>
        <w:spacing w:after="0" w:line="231" w:lineRule="exact"/>
        <w:rPr>
          <w:rFonts w:ascii="Times New Roman" w:cs="Times New Roman" w:eastAsia="Times New Roman" w:hAnsi="Times New Roman"/>
          <w:sz w:val="20"/>
          <w:szCs w:val="20"/>
          <w:color w:val="auto"/>
        </w:rPr>
      </w:pPr>
    </w:p>
    <w:p>
      <w:pPr>
        <w:ind w:left="1080" w:hanging="357"/>
        <w:spacing w:after="0"/>
        <w:tabs>
          <w:tab w:leader="none" w:pos="1080"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unanticipated engineering complexities;</w:t>
      </w:r>
    </w:p>
    <w:p>
      <w:pPr>
        <w:spacing w:after="0" w:line="219" w:lineRule="exact"/>
        <w:rPr>
          <w:rFonts w:ascii="Times New Roman" w:cs="Times New Roman" w:eastAsia="Times New Roman" w:hAnsi="Times New Roman"/>
          <w:sz w:val="19"/>
          <w:szCs w:val="19"/>
          <w:color w:val="auto"/>
        </w:rPr>
      </w:pPr>
    </w:p>
    <w:p>
      <w:pPr>
        <w:ind w:left="1080" w:hanging="357"/>
        <w:spacing w:after="0"/>
        <w:tabs>
          <w:tab w:leader="none" w:pos="1080"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difficulties in reallocating engineering resources and overcoming resource limitations; and</w:t>
      </w:r>
    </w:p>
    <w:p>
      <w:pPr>
        <w:spacing w:after="0" w:line="219" w:lineRule="exact"/>
        <w:rPr>
          <w:rFonts w:ascii="Times New Roman" w:cs="Times New Roman" w:eastAsia="Times New Roman" w:hAnsi="Times New Roman"/>
          <w:sz w:val="19"/>
          <w:szCs w:val="19"/>
          <w:color w:val="auto"/>
        </w:rPr>
      </w:pPr>
    </w:p>
    <w:p>
      <w:pPr>
        <w:ind w:left="1080" w:hanging="357"/>
        <w:spacing w:after="0"/>
        <w:tabs>
          <w:tab w:leader="none" w:pos="1080"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rapidly changing technology or competitive product requirements.</w:t>
      </w:r>
    </w:p>
    <w:p>
      <w:pPr>
        <w:spacing w:after="0" w:line="222" w:lineRule="exact"/>
        <w:rPr>
          <w:sz w:val="20"/>
          <w:szCs w:val="20"/>
          <w:color w:val="auto"/>
        </w:rPr>
      </w:pPr>
    </w:p>
    <w:p>
      <w:pPr>
        <w:jc w:val="both"/>
        <w:ind w:firstLine="706"/>
        <w:spacing w:after="0" w:line="241" w:lineRule="auto"/>
        <w:rPr>
          <w:sz w:val="20"/>
          <w:szCs w:val="20"/>
          <w:color w:val="auto"/>
        </w:rPr>
      </w:pPr>
      <w:r>
        <w:rPr>
          <w:rFonts w:ascii="Times New Roman" w:cs="Times New Roman" w:eastAsia="Times New Roman" w:hAnsi="Times New Roman"/>
          <w:sz w:val="20"/>
          <w:szCs w:val="20"/>
          <w:color w:val="auto"/>
        </w:rPr>
        <w:t>The introduction of new products by us or our competitors and other changes in our customer’s demands could result in a slowdown in demand for our existing products and could result in a write-down in the value of our inventory. We have in the past experienced periodic fluctuations in demand for existing products and delays in new product development, and such fluctuations will likely occur in the future. To the extent we fail to qualify our products and obtain their approval for use, which we refer to as a design win, or experience product development delays for any reason, our competitive position would be adversely affected and our ability to grow our revenue would be impaired.</w:t>
      </w:r>
    </w:p>
    <w:p>
      <w:pPr>
        <w:sectPr>
          <w:pgSz w:w="11880" w:h="15480" w:orient="portrait"/>
          <w:cols w:equalWidth="0" w:num="1">
            <w:col w:w="10600"/>
          </w:cols>
          <w:pgMar w:left="640" w:top="410"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1880" w:h="15480" w:orient="portrait"/>
          <w:cols w:equalWidth="0" w:num="1">
            <w:col w:w="10600"/>
          </w:cols>
          <w:pgMar w:left="640" w:top="410" w:right="640" w:bottom="0" w:gutter="0" w:footer="0" w:header="0"/>
          <w:type w:val="continuous"/>
        </w:sectPr>
      </w:pPr>
    </w:p>
    <w:bookmarkStart w:id="19" w:name="page20"/>
    <w:bookmarkEnd w:id="19"/>
    <w:p>
      <w:pPr>
        <w:jc w:val="both"/>
        <w:ind w:firstLine="706"/>
        <w:spacing w:after="0" w:line="250" w:lineRule="auto"/>
        <w:rPr>
          <w:sz w:val="20"/>
          <w:szCs w:val="20"/>
          <w:color w:val="auto"/>
        </w:rPr>
      </w:pPr>
      <w:r>
        <w:rPr>
          <w:rFonts w:ascii="Times New Roman" w:cs="Times New Roman" w:eastAsia="Times New Roman" w:hAnsi="Times New Roman"/>
          <w:sz w:val="20"/>
          <w:szCs w:val="20"/>
          <w:color w:val="auto"/>
        </w:rPr>
        <w:t>Furthermore, our ability to enter a market with new products in a timely manner can be critical to our success because it is difficult to displace an existing supplier for a particular type of product once a customer has chosen a supplier, even if a later-to-market product provides better performance or cost efficiency.</w:t>
      </w:r>
    </w:p>
    <w:p>
      <w:pPr>
        <w:spacing w:after="0" w:line="182" w:lineRule="exact"/>
        <w:rPr>
          <w:sz w:val="20"/>
          <w:szCs w:val="20"/>
          <w:color w:val="auto"/>
        </w:rPr>
      </w:pPr>
    </w:p>
    <w:p>
      <w:pPr>
        <w:jc w:val="both"/>
        <w:ind w:firstLine="706"/>
        <w:spacing w:after="0"/>
        <w:rPr>
          <w:sz w:val="20"/>
          <w:szCs w:val="20"/>
          <w:color w:val="auto"/>
        </w:rPr>
      </w:pPr>
      <w:r>
        <w:rPr>
          <w:rFonts w:ascii="Times New Roman" w:cs="Times New Roman" w:eastAsia="Times New Roman" w:hAnsi="Times New Roman"/>
          <w:sz w:val="20"/>
          <w:szCs w:val="20"/>
          <w:color w:val="auto"/>
        </w:rPr>
        <w:t>The development of new, technologically advanced products is a complex and uncertain process requiring frequent innovation, highly- skilled engineering and development personnel and significant capital, as well as the accurate anticipation of technological and market trends. We cannot assure you that we will be able to identify, develop, manufacture, market or support new or enhanced products successfully or on a timely basis. Further, we cannot assure you that our new products will gain market acceptance or that we will be able to respond effectively to product introductions by competitors, technological changes or emerging industry standards. We also may not be able to develop the underlying core technologies necessary to create new products and enhancements, license these technologies from third parties, or remain competitive in our markets.</w:t>
      </w:r>
    </w:p>
    <w:p>
      <w:pPr>
        <w:spacing w:after="0" w:line="1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b w:val="1"/>
          <w:bCs w:val="1"/>
          <w:i w:val="1"/>
          <w:iCs w:val="1"/>
          <w:color w:val="auto"/>
        </w:rPr>
        <w:t>Adverse global economic conditions could have a negative effect on our business, results of operations and financial condition and liquidity.</w:t>
      </w:r>
    </w:p>
    <w:p>
      <w:pPr>
        <w:spacing w:after="0" w:line="164" w:lineRule="exact"/>
        <w:rPr>
          <w:sz w:val="20"/>
          <w:szCs w:val="20"/>
          <w:color w:val="auto"/>
        </w:rPr>
      </w:pPr>
    </w:p>
    <w:p>
      <w:pPr>
        <w:jc w:val="both"/>
        <w:ind w:firstLine="706"/>
        <w:spacing w:after="0" w:line="238" w:lineRule="auto"/>
        <w:rPr>
          <w:sz w:val="20"/>
          <w:szCs w:val="20"/>
          <w:color w:val="auto"/>
        </w:rPr>
      </w:pPr>
      <w:r>
        <w:rPr>
          <w:rFonts w:ascii="Times New Roman" w:cs="Times New Roman" w:eastAsia="Times New Roman" w:hAnsi="Times New Roman"/>
          <w:sz w:val="20"/>
          <w:szCs w:val="20"/>
          <w:color w:val="auto"/>
        </w:rPr>
        <w:t>A general slowdown in the global economy or in a particular region or industry, other unfavorable changes in economic conditions, such as inflation, higher interest rates, tightening of the credit markets, recession or slowing growth, or an increase in trade tensions with U.S. trading partners could negatively impact our business, financial condition and liquidity. Adverse global economic conditions have from time to time caused or exacerbated significant slowdowns in the industries and markets in which we operate, which have adversely affected our business and results of operations. Macroeconomic weakness and uncertainty also make it more difficult for us to accurately forecast operating results, and may make it more difficult to raise or refinance debt. An escalation of trade tensions between the U.S. and China has resulted in trade restrictions, increased protectionism and increased tariffs that harm our ability to participate in Chinese markets or compete effectively with Chinese companies. Sustained uncertainty about, or worsening of, current global economic conditions and further escalation of trade tensions between the U.S. and its trading partners, especially China, and the decoupling of the U.S. and China economies, could result in a global economic slowdown and long-term changes to global trade. Such events may also (i) cause our customers and consumers to reduce, delay or forgo technology spending, (ii) result in customers sourcing products from other suppliers not subject to such restrictions or tariffs, (iii) lead to the insolvency or consolidation of key suppliers and customers, and (iv) intensify pricing pressures. Any or all of these factors could negatively affect demand for our products and our business, financial condition and results of operations.</w:t>
      </w:r>
    </w:p>
    <w:p>
      <w:pPr>
        <w:spacing w:after="0" w:line="19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Our revenues, growth rates and operating results are likely to fluctuate significantly as a result of factors that are outside our control, which could adversely impact our operating results.</w:t>
      </w:r>
    </w:p>
    <w:p>
      <w:pPr>
        <w:spacing w:after="0" w:line="169" w:lineRule="exact"/>
        <w:rPr>
          <w:sz w:val="20"/>
          <w:szCs w:val="20"/>
          <w:color w:val="auto"/>
        </w:rPr>
      </w:pPr>
    </w:p>
    <w:p>
      <w:pPr>
        <w:jc w:val="both"/>
        <w:ind w:firstLine="706"/>
        <w:spacing w:after="0" w:line="238" w:lineRule="auto"/>
        <w:rPr>
          <w:sz w:val="20"/>
          <w:szCs w:val="20"/>
          <w:color w:val="auto"/>
        </w:rPr>
      </w:pPr>
      <w:r>
        <w:rPr>
          <w:rFonts w:ascii="Times New Roman" w:cs="Times New Roman" w:eastAsia="Times New Roman" w:hAnsi="Times New Roman"/>
          <w:sz w:val="20"/>
          <w:szCs w:val="20"/>
          <w:color w:val="auto"/>
        </w:rPr>
        <w:t>Our revenues, growth rates and operating results are likely to fluctuate significantly in the future as a result of factors that are outside our control. We may not achieve similar revenues, growth rates or operating results in future periods. Our revenues, growth rates and operating results for any prior quarterly or annual period should not be relied upon as any indication of our future revenues, growth rates or operating results. The timing of order placement, size of orders and satisfaction of contractual customer acceptance criteria, changes in the pricing of our products due to competitive pressures as well as order or shipment delays or deferrals, with respect to our products, may cause material fluctuations in revenues. Our lengthy sales cycle, which may extend to more than one year, may cause our revenues and operating results to vary from period to period and it may be difficult to predict the timing and amount of any variation. Delays or deferrals in purchasing decisions by our customers may increase as we develop new or enhanced products for existing and new markets, including automotive and biotechnology markets. Our current and anticipated future dependence on a small number of customers increases the revenue impact of each such customer’s decision to delay or defer purchases from us, or decision not to purchase products from us. Our expense levels in the future will be based, in large part, on our expectations regarding future revenue sources and, as a result, operating results for any quarterly period in which anticipated material orders fail to occur, or are delayed or deferred, could be significantly harmed.</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If we encounter manufacturing problems, we may lose sales and damage our customer relationships.</w:t>
      </w:r>
    </w:p>
    <w:p>
      <w:pPr>
        <w:spacing w:after="0" w:line="218" w:lineRule="exact"/>
        <w:rPr>
          <w:sz w:val="20"/>
          <w:szCs w:val="20"/>
          <w:color w:val="auto"/>
        </w:rPr>
      </w:pPr>
    </w:p>
    <w:p>
      <w:pPr>
        <w:jc w:val="both"/>
        <w:ind w:firstLine="706"/>
        <w:spacing w:after="0" w:line="238" w:lineRule="auto"/>
        <w:rPr>
          <w:sz w:val="20"/>
          <w:szCs w:val="20"/>
          <w:color w:val="auto"/>
        </w:rPr>
      </w:pPr>
      <w:r>
        <w:rPr>
          <w:rFonts w:ascii="Times New Roman" w:cs="Times New Roman" w:eastAsia="Times New Roman" w:hAnsi="Times New Roman"/>
          <w:sz w:val="20"/>
          <w:szCs w:val="20"/>
          <w:color w:val="auto"/>
        </w:rPr>
        <w:t>We may experience delays, disruptions or quality control problems in our manufacturing operations. These and other factors may cause less than acceptable yields at our facility. Manufacturing yields depend on a number of factors, including the quality of available raw materials, the degradation or change in equipment calibration and the rate and timing of the introduction of new products. Changes in manufacturing processes required as a result of changes in product specifications, changing customer needs and the introduction of new product lines may significantly reduce our manufacturing yields, resulting in low or negative margins on those products. In addition, we use our MBE, fabrication process to make our lasers, in addition to MOCVD, the technique most commonly used in optical manufacturing by communications optics vendors, and our MBE fabrication process relies on custom-manufactured equipment. If our MBE or MOCVD fabrication facility in Sugar Land, Texas were to be damaged or destroyed for any reason, our manufacturing process would be severely disrupted. Any such manufacturing problems would likely delay product shipments to our customers. We may also experience delays in production, typically in February, during the Lunar New Year holiday when our facilities in China and Taiwan are closed.</w:t>
      </w:r>
    </w:p>
    <w:p>
      <w:pPr>
        <w:sectPr>
          <w:pgSz w:w="11880" w:h="15480" w:orient="portrait"/>
          <w:cols w:equalWidth="0" w:num="1">
            <w:col w:w="10600"/>
          </w:cols>
          <w:pgMar w:left="640" w:top="410"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1880" w:h="15480" w:orient="portrait"/>
          <w:cols w:equalWidth="0" w:num="1">
            <w:col w:w="10600"/>
          </w:cols>
          <w:pgMar w:left="640" w:top="410" w:right="640" w:bottom="0" w:gutter="0" w:footer="0" w:header="0"/>
          <w:type w:val="continuous"/>
        </w:sectPr>
      </w:pPr>
    </w:p>
    <w:bookmarkStart w:id="20" w:name="page21"/>
    <w:bookmarkEnd w:id="20"/>
    <w:p>
      <w:pPr>
        <w:ind w:right="380"/>
        <w:spacing w:after="0" w:line="266" w:lineRule="auto"/>
        <w:rPr>
          <w:sz w:val="20"/>
          <w:szCs w:val="20"/>
          <w:color w:val="auto"/>
        </w:rPr>
      </w:pPr>
      <w:r>
        <w:rPr>
          <w:rFonts w:ascii="Times New Roman" w:cs="Times New Roman" w:eastAsia="Times New Roman" w:hAnsi="Times New Roman"/>
          <w:sz w:val="20"/>
          <w:szCs w:val="20"/>
          <w:b w:val="1"/>
          <w:bCs w:val="1"/>
          <w:i w:val="1"/>
          <w:iCs w:val="1"/>
          <w:color w:val="auto"/>
        </w:rPr>
        <w:t>Given the high fixed costs associated with our vertically integrated business, a reduction in demand for our products will likely adversely impact our gross profits and our results of operations.</w:t>
      </w:r>
    </w:p>
    <w:p>
      <w:pPr>
        <w:spacing w:after="0" w:line="164" w:lineRule="exact"/>
        <w:rPr>
          <w:sz w:val="20"/>
          <w:szCs w:val="20"/>
          <w:color w:val="auto"/>
        </w:rPr>
      </w:pPr>
    </w:p>
    <w:p>
      <w:pPr>
        <w:jc w:val="both"/>
        <w:ind w:firstLine="706"/>
        <w:spacing w:after="0" w:line="268" w:lineRule="auto"/>
        <w:rPr>
          <w:sz w:val="20"/>
          <w:szCs w:val="20"/>
          <w:color w:val="auto"/>
        </w:rPr>
      </w:pPr>
      <w:r>
        <w:rPr>
          <w:rFonts w:ascii="Times New Roman" w:cs="Times New Roman" w:eastAsia="Times New Roman" w:hAnsi="Times New Roman"/>
          <w:sz w:val="18"/>
          <w:szCs w:val="18"/>
          <w:color w:val="auto"/>
        </w:rPr>
        <w:t>We have a high fixed cost base due to our vertically integrated business model, including the fact that 4,116 of our employees as of December 31, 2025 were employed in manufacturing and research and development operations. We may not be able to adjust these fixed costs quickly to adapt to rapidly changing market conditions. Our gross profit and gross margin are greatly affected by our sales volume and volatility on a quarterly basis and the corresponding absorption of fixed manufacturing overhead expenses. In addition, because we are a vertically integrated manufacturer, insufficient demand for our products may subject us to the risk of high inventory carrying costs and increased inventory obsolescence. Given our vertical integration, the rate at which we turn inventory has historically been low when compared to our cost of sales. We do not expect this to change significantly in the future and believe that we will have to maintain a relatively high level of inventory compared to our cost of sales. As a result, we continue to expect to have a significant amount of working capital invested in inventory. We may be required to write down inventory costs in the future and our high inventory costs may have an adverse effect on our gross profits and our results of operations.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Changes in United States tariff and import/export regulations may have a negative effect on our business.</w:t>
      </w:r>
    </w:p>
    <w:p>
      <w:pPr>
        <w:spacing w:after="0" w:line="220" w:lineRule="exact"/>
        <w:rPr>
          <w:sz w:val="20"/>
          <w:szCs w:val="20"/>
          <w:color w:val="auto"/>
        </w:rPr>
      </w:pPr>
    </w:p>
    <w:p>
      <w:pPr>
        <w:jc w:val="both"/>
        <w:ind w:firstLine="706"/>
        <w:spacing w:after="0"/>
        <w:rPr>
          <w:sz w:val="20"/>
          <w:szCs w:val="20"/>
          <w:color w:val="auto"/>
        </w:rPr>
      </w:pPr>
      <w:r>
        <w:rPr>
          <w:rFonts w:ascii="Times New Roman" w:cs="Times New Roman" w:eastAsia="Times New Roman" w:hAnsi="Times New Roman"/>
          <w:sz w:val="20"/>
          <w:szCs w:val="20"/>
          <w:color w:val="auto"/>
        </w:rPr>
        <w:t>During the year ended December 31, 2025, the United States has imposed, and may continue to impose, significant tariffs and other trade restrictions on imported goods. In February 2026, the U.S. Supreme Court held that tariffs imposed under the International Emergency Economic Powers Act ("IEEPA") were unlawful, and U.S. Customs and Border Protection subsequently announced that IEEPA-based tariff provisions would be terminated effective February 24, 2026. However, tariffs imposed under other authorities, including Section 232 of the Trade Expansion Act of 1962 and Section 301 of the Trade Act of 1974, remain in effect, and the U.S. government has indicted that it may pursue additional or replacement tariffs under alternative legal authorities, including temporary measures under Section 122 of the Trade Act of 1974.</w:t>
      </w:r>
    </w:p>
    <w:p>
      <w:pPr>
        <w:spacing w:after="0" w:line="195" w:lineRule="exact"/>
        <w:rPr>
          <w:sz w:val="20"/>
          <w:szCs w:val="20"/>
          <w:color w:val="auto"/>
        </w:rPr>
      </w:pPr>
    </w:p>
    <w:p>
      <w:pPr>
        <w:jc w:val="both"/>
        <w:ind w:firstLine="706"/>
        <w:spacing w:after="0" w:line="241" w:lineRule="auto"/>
        <w:rPr>
          <w:sz w:val="20"/>
          <w:szCs w:val="20"/>
          <w:color w:val="auto"/>
        </w:rPr>
      </w:pPr>
      <w:r>
        <w:rPr>
          <w:rFonts w:ascii="Times New Roman" w:cs="Times New Roman" w:eastAsia="Times New Roman" w:hAnsi="Times New Roman"/>
          <w:sz w:val="20"/>
          <w:szCs w:val="20"/>
          <w:color w:val="auto"/>
        </w:rPr>
        <w:t>As a result, the tariff environment remains highly uncertain and subject to rapid change. Further changes in tariff rates, product coverage, enforcement, exclusions, customs guidance, or related trade measures, as well as litigation outcomes and any governmental responses to such outcomes, could increase our costs, disrupt our supply chain, affect customer demand, reduce our margins, and otherwise adversely affect our business, results of operations and financial condition. In addition, uncertainty regarding the availability, timing and amount of any refunds or other relief relating to previously paid duties may affect our cash flows and results in future periods. We cannot predict the scope, timing or ultimate impact of these developments.</w:t>
      </w:r>
    </w:p>
    <w:p>
      <w:pPr>
        <w:spacing w:after="0" w:line="191" w:lineRule="exact"/>
        <w:rPr>
          <w:sz w:val="20"/>
          <w:szCs w:val="20"/>
          <w:color w:val="auto"/>
        </w:rPr>
      </w:pPr>
    </w:p>
    <w:p>
      <w:pPr>
        <w:jc w:val="both"/>
        <w:ind w:firstLine="706"/>
        <w:spacing w:after="0"/>
        <w:rPr>
          <w:sz w:val="20"/>
          <w:szCs w:val="20"/>
          <w:color w:val="auto"/>
        </w:rPr>
      </w:pPr>
      <w:r>
        <w:rPr>
          <w:rFonts w:ascii="Times New Roman" w:cs="Times New Roman" w:eastAsia="Times New Roman" w:hAnsi="Times New Roman"/>
          <w:sz w:val="20"/>
          <w:szCs w:val="20"/>
          <w:color w:val="auto"/>
        </w:rPr>
        <w:t>President Trump has directed various federal agencies to further evaluate key aspects of U.S. trade policy and there has been ongoing discussion and commentary regarding potential significant changes to U.S. trade policies, treaties and tariffs. There continues to exist significant uncertainty about the future relationship between the U.S. and other countries with respect to such trade policies, treaties and tariffs. These developments, or the perception that any of them could occur, may have a material adverse effect on global economic conditions, the stability of global financial markets, and may significantly reduce global trade and, in particular, trade between impacted nations and the U.S. Any of these factors could depress economic activity and restrict our access to suppliers or customers and have a material adverse effect on our business, financial condition and results of operations.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Increasing costs and shifts in product mix may adversely impact our gross margins.</w:t>
      </w:r>
    </w:p>
    <w:p>
      <w:pPr>
        <w:spacing w:after="0" w:line="220" w:lineRule="exact"/>
        <w:rPr>
          <w:sz w:val="20"/>
          <w:szCs w:val="20"/>
          <w:color w:val="auto"/>
        </w:rPr>
      </w:pPr>
    </w:p>
    <w:p>
      <w:pPr>
        <w:jc w:val="both"/>
        <w:ind w:firstLine="706"/>
        <w:spacing w:after="0" w:line="241" w:lineRule="auto"/>
        <w:rPr>
          <w:sz w:val="20"/>
          <w:szCs w:val="20"/>
          <w:color w:val="auto"/>
        </w:rPr>
      </w:pPr>
      <w:r>
        <w:rPr>
          <w:rFonts w:ascii="Times New Roman" w:cs="Times New Roman" w:eastAsia="Times New Roman" w:hAnsi="Times New Roman"/>
          <w:sz w:val="20"/>
          <w:szCs w:val="20"/>
          <w:color w:val="auto"/>
        </w:rPr>
        <w:t>Our gross margins on individual products and among products fluctuate over each product’s life cycle. Our overall gross margins have fluctuated from period to period as a result of shifts in product mix, the introduction of new products, decreases in average selling prices and our ability to reduce product costs, and these fluctuations are expected to continue in the future. We may not be able to accurately predict our product mix from period to period, and as a result we may not be able to forecast accurately our overall gross margins. The rate of increase in our costs and expenses may exceed the rate of increase in our revenue, either of which would materially and adversely affect our business, our results of operations and our financial condition.</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b w:val="1"/>
          <w:bCs w:val="1"/>
          <w:i w:val="1"/>
          <w:iCs w:val="1"/>
          <w:color w:val="auto"/>
        </w:rPr>
        <w:t>Our financial results may vary significantly from quarter-to-quarter due to a number of factors, which may lead to volatility in our stock price.</w:t>
      </w:r>
    </w:p>
    <w:p>
      <w:pPr>
        <w:spacing w:after="0" w:line="166" w:lineRule="exact"/>
        <w:rPr>
          <w:sz w:val="20"/>
          <w:szCs w:val="20"/>
          <w:color w:val="auto"/>
        </w:rPr>
      </w:pPr>
    </w:p>
    <w:p>
      <w:pPr>
        <w:jc w:val="both"/>
        <w:ind w:firstLine="706"/>
        <w:spacing w:after="0" w:line="251" w:lineRule="auto"/>
        <w:rPr>
          <w:sz w:val="20"/>
          <w:szCs w:val="20"/>
          <w:color w:val="auto"/>
        </w:rPr>
      </w:pPr>
      <w:r>
        <w:rPr>
          <w:rFonts w:ascii="Times New Roman" w:cs="Times New Roman" w:eastAsia="Times New Roman" w:hAnsi="Times New Roman"/>
          <w:sz w:val="20"/>
          <w:szCs w:val="20"/>
          <w:color w:val="auto"/>
        </w:rPr>
        <w:t>Our quarterly revenue and operating results have varied in the past and will likely continue to vary significantly from quarter-to-quarter. This variability may lead to volatility in our stock price as research analysts and investors respond to these quarterly fluctuations. These fluctuations are due to numerous factors, including:</w:t>
      </w:r>
    </w:p>
    <w:p>
      <w:pPr>
        <w:spacing w:after="0" w:line="186" w:lineRule="exact"/>
        <w:rPr>
          <w:sz w:val="20"/>
          <w:szCs w:val="20"/>
          <w:color w:val="auto"/>
        </w:rPr>
      </w:pPr>
    </w:p>
    <w:p>
      <w:pPr>
        <w:ind w:left="1080" w:hanging="357"/>
        <w:spacing w:after="0"/>
        <w:tabs>
          <w:tab w:leader="none" w:pos="1080"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the timing, size and mix of sales of our products;</w:t>
      </w:r>
    </w:p>
    <w:p>
      <w:pPr>
        <w:spacing w:after="0" w:line="209" w:lineRule="exact"/>
        <w:rPr>
          <w:rFonts w:ascii="Times New Roman" w:cs="Times New Roman" w:eastAsia="Times New Roman" w:hAnsi="Times New Roman"/>
          <w:sz w:val="19"/>
          <w:szCs w:val="19"/>
          <w:color w:val="auto"/>
        </w:rPr>
      </w:pPr>
    </w:p>
    <w:p>
      <w:pPr>
        <w:ind w:left="1080" w:hanging="357"/>
        <w:spacing w:after="0" w:line="263" w:lineRule="auto"/>
        <w:tabs>
          <w:tab w:leader="none" w:pos="1080"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fluctuations in demand for our products, including the increase, decrease, rescheduling or cancellation of significant customer orders;</w:t>
      </w:r>
    </w:p>
    <w:p>
      <w:pPr>
        <w:spacing w:after="0" w:line="159" w:lineRule="exact"/>
        <w:rPr>
          <w:rFonts w:ascii="Times New Roman" w:cs="Times New Roman" w:eastAsia="Times New Roman" w:hAnsi="Times New Roman"/>
          <w:sz w:val="19"/>
          <w:szCs w:val="19"/>
          <w:color w:val="auto"/>
        </w:rPr>
      </w:pPr>
    </w:p>
    <w:p>
      <w:pPr>
        <w:ind w:left="1080" w:right="20" w:hanging="357"/>
        <w:spacing w:after="0" w:line="263" w:lineRule="auto"/>
        <w:tabs>
          <w:tab w:leader="none" w:pos="1080"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our ability to design, manufacture and deliver products which meet customer requirements in a timely and cost-effective manner;</w:t>
      </w:r>
    </w:p>
    <w:p>
      <w:pPr>
        <w:sectPr>
          <w:pgSz w:w="11880" w:h="15480" w:orient="portrait"/>
          <w:cols w:equalWidth="0" w:num="1">
            <w:col w:w="10600"/>
          </w:cols>
          <w:pgMar w:left="640" w:top="412" w:right="640" w:bottom="0"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1880" w:h="15480" w:orient="portrait"/>
          <w:cols w:equalWidth="0" w:num="1">
            <w:col w:w="10600"/>
          </w:cols>
          <w:pgMar w:left="640" w:top="412" w:right="640" w:bottom="0" w:gutter="0" w:footer="0" w:header="0"/>
          <w:type w:val="continuous"/>
        </w:sectPr>
      </w:pPr>
    </w:p>
    <w:bookmarkStart w:id="21" w:name="page22"/>
    <w:bookmarkEnd w:id="21"/>
    <w:p>
      <w:pPr>
        <w:ind w:left="1080" w:hanging="357"/>
        <w:spacing w:after="0"/>
        <w:tabs>
          <w:tab w:leader="none" w:pos="1080"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the gain or loss of key customers;</w:t>
      </w:r>
    </w:p>
    <w:p>
      <w:pPr>
        <w:spacing w:after="0" w:line="207" w:lineRule="exact"/>
        <w:rPr>
          <w:rFonts w:ascii="Times New Roman" w:cs="Times New Roman" w:eastAsia="Times New Roman" w:hAnsi="Times New Roman"/>
          <w:sz w:val="19"/>
          <w:szCs w:val="19"/>
          <w:color w:val="auto"/>
        </w:rPr>
      </w:pPr>
    </w:p>
    <w:p>
      <w:pPr>
        <w:ind w:left="1080" w:hanging="357"/>
        <w:spacing w:after="0"/>
        <w:tabs>
          <w:tab w:leader="none" w:pos="1080"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changes in our pricing and sales policies or the pricing and sales policies of our competitors;</w:t>
      </w:r>
    </w:p>
    <w:p>
      <w:pPr>
        <w:spacing w:after="0" w:line="207" w:lineRule="exact"/>
        <w:rPr>
          <w:rFonts w:ascii="Times New Roman" w:cs="Times New Roman" w:eastAsia="Times New Roman" w:hAnsi="Times New Roman"/>
          <w:sz w:val="19"/>
          <w:szCs w:val="19"/>
          <w:color w:val="auto"/>
        </w:rPr>
      </w:pPr>
    </w:p>
    <w:p>
      <w:pPr>
        <w:ind w:left="1080" w:hanging="357"/>
        <w:spacing w:after="0"/>
        <w:tabs>
          <w:tab w:leader="none" w:pos="1080"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seasonality of certain of our products and manufacturing capabilities;</w:t>
      </w:r>
    </w:p>
    <w:p>
      <w:pPr>
        <w:spacing w:after="0" w:line="209" w:lineRule="exact"/>
        <w:rPr>
          <w:rFonts w:ascii="Times New Roman" w:cs="Times New Roman" w:eastAsia="Times New Roman" w:hAnsi="Times New Roman"/>
          <w:sz w:val="19"/>
          <w:szCs w:val="19"/>
          <w:color w:val="auto"/>
        </w:rPr>
      </w:pPr>
    </w:p>
    <w:p>
      <w:pPr>
        <w:ind w:left="1080" w:hanging="357"/>
        <w:spacing w:after="0"/>
        <w:tabs>
          <w:tab w:leader="none" w:pos="1080"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quality control or yield problems in our manufacturing operations;</w:t>
      </w:r>
    </w:p>
    <w:p>
      <w:pPr>
        <w:spacing w:after="0" w:line="207" w:lineRule="exact"/>
        <w:rPr>
          <w:rFonts w:ascii="Times New Roman" w:cs="Times New Roman" w:eastAsia="Times New Roman" w:hAnsi="Times New Roman"/>
          <w:sz w:val="19"/>
          <w:szCs w:val="19"/>
          <w:color w:val="auto"/>
        </w:rPr>
      </w:pPr>
    </w:p>
    <w:p>
      <w:pPr>
        <w:ind w:left="1080" w:hanging="357"/>
        <w:spacing w:after="0"/>
        <w:tabs>
          <w:tab w:leader="none" w:pos="1080"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supply disruption for certain raw materials and components used in our products;</w:t>
      </w:r>
    </w:p>
    <w:p>
      <w:pPr>
        <w:spacing w:after="0" w:line="207" w:lineRule="exact"/>
        <w:rPr>
          <w:rFonts w:ascii="Times New Roman" w:cs="Times New Roman" w:eastAsia="Times New Roman" w:hAnsi="Times New Roman"/>
          <w:sz w:val="19"/>
          <w:szCs w:val="19"/>
          <w:color w:val="auto"/>
        </w:rPr>
      </w:pPr>
    </w:p>
    <w:p>
      <w:pPr>
        <w:ind w:left="1080" w:hanging="357"/>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capacity constraints of our outside contract manufacturers for a portion of the manufacturing process for some of our products;</w:t>
      </w:r>
    </w:p>
    <w:p>
      <w:pPr>
        <w:spacing w:after="0" w:line="230"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length and variability of the sales cycles of our products;</w:t>
      </w:r>
    </w:p>
    <w:p>
      <w:pPr>
        <w:spacing w:after="0" w:line="209" w:lineRule="exact"/>
        <w:rPr>
          <w:rFonts w:ascii="Times New Roman" w:cs="Times New Roman" w:eastAsia="Times New Roman" w:hAnsi="Times New Roman"/>
          <w:sz w:val="19"/>
          <w:szCs w:val="19"/>
          <w:color w:val="auto"/>
        </w:rPr>
      </w:pPr>
    </w:p>
    <w:p>
      <w:pPr>
        <w:ind w:left="1080" w:hanging="357"/>
        <w:spacing w:after="0"/>
        <w:tabs>
          <w:tab w:leader="none" w:pos="1080"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unanticipated increases in costs or expenses, including rising inflation or other changes in macroeconomic conditions;</w:t>
      </w:r>
    </w:p>
    <w:p>
      <w:pPr>
        <w:spacing w:after="0" w:line="207" w:lineRule="exact"/>
        <w:rPr>
          <w:rFonts w:ascii="Times New Roman" w:cs="Times New Roman" w:eastAsia="Times New Roman" w:hAnsi="Times New Roman"/>
          <w:sz w:val="19"/>
          <w:szCs w:val="19"/>
          <w:color w:val="auto"/>
        </w:rPr>
      </w:pPr>
    </w:p>
    <w:p>
      <w:pPr>
        <w:ind w:left="1080" w:hanging="357"/>
        <w:spacing w:after="0"/>
        <w:tabs>
          <w:tab w:leader="none" w:pos="1080"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the loss of key employees;</w:t>
      </w:r>
    </w:p>
    <w:p>
      <w:pPr>
        <w:spacing w:after="0" w:line="207" w:lineRule="exact"/>
        <w:rPr>
          <w:rFonts w:ascii="Times New Roman" w:cs="Times New Roman" w:eastAsia="Times New Roman" w:hAnsi="Times New Roman"/>
          <w:sz w:val="19"/>
          <w:szCs w:val="19"/>
          <w:color w:val="auto"/>
        </w:rPr>
      </w:pPr>
    </w:p>
    <w:p>
      <w:pPr>
        <w:ind w:left="1080" w:hanging="357"/>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capital expenditure and budget cycles for our customers, affecting the timing of their spending for our products;</w:t>
      </w:r>
    </w:p>
    <w:p>
      <w:pPr>
        <w:spacing w:after="0" w:line="230"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political stability in the areas of the world in which we operate;</w:t>
      </w:r>
    </w:p>
    <w:p>
      <w:pPr>
        <w:spacing w:after="0" w:line="207" w:lineRule="exact"/>
        <w:rPr>
          <w:rFonts w:ascii="Times New Roman" w:cs="Times New Roman" w:eastAsia="Times New Roman" w:hAnsi="Times New Roman"/>
          <w:sz w:val="19"/>
          <w:szCs w:val="19"/>
          <w:color w:val="auto"/>
        </w:rPr>
      </w:pPr>
    </w:p>
    <w:p>
      <w:pPr>
        <w:jc w:val="both"/>
        <w:ind w:left="1080" w:hanging="357"/>
        <w:spacing w:after="0" w:line="250" w:lineRule="auto"/>
        <w:tabs>
          <w:tab w:leader="none" w:pos="1080"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changes in or limitations imposed by trade protection laws or other regulatory orders or requirements in the United States or in other countries, including tariffs, sanctions, or other costs, restrictions, or requirements which may affect our ability to import or export our products to or from various countries; and</w:t>
      </w:r>
    </w:p>
    <w:p>
      <w:pPr>
        <w:spacing w:after="0" w:line="170" w:lineRule="exact"/>
        <w:rPr>
          <w:rFonts w:ascii="Times New Roman" w:cs="Times New Roman" w:eastAsia="Times New Roman" w:hAnsi="Times New Roman"/>
          <w:sz w:val="19"/>
          <w:szCs w:val="19"/>
          <w:color w:val="auto"/>
        </w:rPr>
      </w:pPr>
    </w:p>
    <w:p>
      <w:pPr>
        <w:ind w:left="1080" w:hanging="357"/>
        <w:spacing w:after="0" w:line="266" w:lineRule="auto"/>
        <w:tabs>
          <w:tab w:leader="none" w:pos="10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trade-related government actions that impose barriers or restrictions that would impact our ability to sell or ship products to customers.</w:t>
      </w:r>
    </w:p>
    <w:p>
      <w:pPr>
        <w:spacing w:after="0" w:line="147" w:lineRule="exact"/>
        <w:rPr>
          <w:sz w:val="20"/>
          <w:szCs w:val="20"/>
          <w:color w:val="auto"/>
        </w:rPr>
      </w:pPr>
    </w:p>
    <w:p>
      <w:pPr>
        <w:jc w:val="both"/>
        <w:ind w:firstLine="706"/>
        <w:spacing w:after="0" w:line="239" w:lineRule="auto"/>
        <w:rPr>
          <w:sz w:val="20"/>
          <w:szCs w:val="20"/>
          <w:color w:val="auto"/>
        </w:rPr>
      </w:pPr>
      <w:r>
        <w:rPr>
          <w:rFonts w:ascii="Times New Roman" w:cs="Times New Roman" w:eastAsia="Times New Roman" w:hAnsi="Times New Roman"/>
          <w:sz w:val="20"/>
          <w:szCs w:val="20"/>
          <w:color w:val="auto"/>
        </w:rPr>
        <w:t>The foregoing factors are difficult to forecast, and these, as well as other factors, could materially adversely affect our quarterly and annual operating results. In addition, a significant amount of our operating expenses are relatively fixed in nature due to our internal manufacturing, research and development, sales and general administrative efforts. Any failure to adjust spending quickly enough to compensate for a revenue shortfall could magnify the adverse impact of such revenue shortfall on our results of operations. For these reasons, you should not rely on quarter -to-quarter comparisons of our results of operations as an indicator of future performance. Moreover, our operating results may not meet our announced guidance or the expectations of research analysts or investors, in which case the price of our common stock could decrease significantly. There can be no assurance that we will be able to successfully address these risks.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depend on key personnel to develop and maintain our technology and manage our business in a rapidly changing market.</w:t>
      </w:r>
    </w:p>
    <w:p>
      <w:pPr>
        <w:spacing w:after="0" w:line="218" w:lineRule="exact"/>
        <w:rPr>
          <w:sz w:val="20"/>
          <w:szCs w:val="20"/>
          <w:color w:val="auto"/>
        </w:rPr>
      </w:pPr>
    </w:p>
    <w:p>
      <w:pPr>
        <w:jc w:val="both"/>
        <w:ind w:firstLine="706"/>
        <w:spacing w:after="0" w:line="246" w:lineRule="auto"/>
        <w:rPr>
          <w:sz w:val="20"/>
          <w:szCs w:val="20"/>
          <w:color w:val="auto"/>
        </w:rPr>
      </w:pPr>
      <w:r>
        <w:rPr>
          <w:rFonts w:ascii="Times New Roman" w:cs="Times New Roman" w:eastAsia="Times New Roman" w:hAnsi="Times New Roman"/>
          <w:sz w:val="20"/>
          <w:szCs w:val="20"/>
          <w:color w:val="auto"/>
        </w:rPr>
        <w:t>The continued services of our executive officers and other key engineering, sales, marketing, manufacturing and support personnel is essential to our success. For example, our ability to achieve new design wins depends upon the experience and expertise of our engineers. Any of our key employees, including our Chief Executive Officer, Chief Financial Officer, Senior Vice President and North America General Manager and Senior Vice President and Asia General Manager, may resign at any time.</w:t>
      </w:r>
    </w:p>
    <w:p>
      <w:pPr>
        <w:spacing w:after="0" w:line="186" w:lineRule="exact"/>
        <w:rPr>
          <w:sz w:val="20"/>
          <w:szCs w:val="20"/>
          <w:color w:val="auto"/>
        </w:rPr>
      </w:pPr>
    </w:p>
    <w:p>
      <w:pPr>
        <w:jc w:val="both"/>
        <w:ind w:firstLine="706"/>
        <w:spacing w:after="0" w:line="243" w:lineRule="auto"/>
        <w:rPr>
          <w:sz w:val="20"/>
          <w:szCs w:val="20"/>
          <w:color w:val="auto"/>
        </w:rPr>
      </w:pPr>
      <w:r>
        <w:rPr>
          <w:rFonts w:ascii="Times New Roman" w:cs="Times New Roman" w:eastAsia="Times New Roman" w:hAnsi="Times New Roman"/>
          <w:sz w:val="20"/>
          <w:szCs w:val="20"/>
          <w:color w:val="auto"/>
        </w:rPr>
        <w:t>To implement our business plan, we also intend to hire additional employees in expanding areas of our business. Our ability to continue to attract and retain highly skilled employees is a critical factor in our success. Competition for highly skilled personnel is intense. We may not be successful in attracting, assimilating or retaining qualified personnel to satisfy our current or future needs. Our ability to develop, manufacture and sell our products, and thus our financial condition and results of operations, would be adversely affected if we are unable to retain existing personnel or hire additional qualified personnel.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depend on a limited number of suppliers and any supply interruption could have an adverse effect on our business.</w:t>
      </w:r>
    </w:p>
    <w:p>
      <w:pPr>
        <w:spacing w:after="0" w:line="218" w:lineRule="exact"/>
        <w:rPr>
          <w:sz w:val="20"/>
          <w:szCs w:val="20"/>
          <w:color w:val="auto"/>
        </w:rPr>
      </w:pPr>
    </w:p>
    <w:p>
      <w:pPr>
        <w:jc w:val="both"/>
        <w:ind w:firstLine="706"/>
        <w:spacing w:after="0" w:line="239" w:lineRule="auto"/>
        <w:rPr>
          <w:sz w:val="20"/>
          <w:szCs w:val="20"/>
          <w:color w:val="auto"/>
        </w:rPr>
      </w:pPr>
      <w:r>
        <w:rPr>
          <w:rFonts w:ascii="Times New Roman" w:cs="Times New Roman" w:eastAsia="Times New Roman" w:hAnsi="Times New Roman"/>
          <w:sz w:val="20"/>
          <w:szCs w:val="20"/>
          <w:color w:val="auto"/>
        </w:rPr>
        <w:t>We depend on a limited number of suppliers for certain raw materials and components used in our products. Some of these suppliers could disrupt our business if they stop, decrease or delay shipments or if the materials or components they ship have quality or reliability issues. Some of the raw materials and components we use in our products are available only from a sole source or have been qualified only from a single supplier. Furthermore, other than our current suppliers, there are a limited number of entities from whom we could obtain certain materials and components. We may also face shortages if we experience increased demand for materials or components beyond what our qualified suppliers can deliver. Our inability to obtain sufficient quantities of critical materials or components could adversely affect our ability to meet demand for our products, adversely affecting our financial condition and results of operations.</w:t>
      </w:r>
    </w:p>
    <w:p>
      <w:pPr>
        <w:spacing w:after="0" w:line="198" w:lineRule="exact"/>
        <w:rPr>
          <w:sz w:val="20"/>
          <w:szCs w:val="20"/>
          <w:color w:val="auto"/>
        </w:rPr>
      </w:pPr>
    </w:p>
    <w:p>
      <w:pPr>
        <w:jc w:val="both"/>
        <w:ind w:firstLine="755"/>
        <w:spacing w:after="0" w:line="321" w:lineRule="auto"/>
        <w:rPr>
          <w:sz w:val="20"/>
          <w:szCs w:val="20"/>
          <w:color w:val="auto"/>
        </w:rPr>
      </w:pPr>
      <w:r>
        <w:rPr>
          <w:rFonts w:ascii="Times New Roman" w:cs="Times New Roman" w:eastAsia="Times New Roman" w:hAnsi="Times New Roman"/>
          <w:sz w:val="18"/>
          <w:szCs w:val="18"/>
          <w:color w:val="auto"/>
        </w:rPr>
        <w:t>We typically have not entered into long-term agreements with our suppliers and, therefore, our suppliers could stop supplying materials and components to us at any time or fail to supply adequate quantities of materials or components to us on a timely basis. It is</w:t>
      </w:r>
    </w:p>
    <w:p>
      <w:pPr>
        <w:sectPr>
          <w:pgSz w:w="11880" w:h="15480" w:orient="portrait"/>
          <w:cols w:equalWidth="0" w:num="1">
            <w:col w:w="10600"/>
          </w:cols>
          <w:pgMar w:left="640" w:top="417" w:right="640" w:bottom="0" w:gutter="0" w:footer="0" w:header="0"/>
        </w:sectPr>
      </w:pP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1880" w:h="15480" w:orient="portrait"/>
          <w:cols w:equalWidth="0" w:num="1">
            <w:col w:w="10600"/>
          </w:cols>
          <w:pgMar w:left="640" w:top="417" w:right="640" w:bottom="0" w:gutter="0" w:footer="0" w:header="0"/>
          <w:type w:val="continuous"/>
        </w:sectPr>
      </w:pPr>
    </w:p>
    <w:bookmarkStart w:id="22" w:name="page23"/>
    <w:bookmarkEnd w:id="22"/>
    <w:p>
      <w:pPr>
        <w:jc w:val="both"/>
        <w:spacing w:after="0" w:line="245" w:lineRule="auto"/>
        <w:rPr>
          <w:sz w:val="20"/>
          <w:szCs w:val="20"/>
          <w:color w:val="auto"/>
        </w:rPr>
      </w:pPr>
      <w:r>
        <w:rPr>
          <w:rFonts w:ascii="Times New Roman" w:cs="Times New Roman" w:eastAsia="Times New Roman" w:hAnsi="Times New Roman"/>
          <w:sz w:val="20"/>
          <w:szCs w:val="20"/>
          <w:color w:val="auto"/>
        </w:rPr>
        <w:t>difficult, costly, time consuming and, on short notice, sometimes impossible for us to identify and qualify new suppliers. Our customers generally restrict our ability to change the components in our products. For more critical components, any changes may require repeating the entire qualification process. Our reliance on a limited number of suppliers or a single qualified vendor may result in delivery and quality problems, and reduced control over product pricing, reliability and performance.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products could contain defects that may cause us to incur significant costs or result in a loss of customers.</w:t>
      </w:r>
    </w:p>
    <w:p>
      <w:pPr>
        <w:spacing w:after="0" w:line="220" w:lineRule="exact"/>
        <w:rPr>
          <w:sz w:val="20"/>
          <w:szCs w:val="20"/>
          <w:color w:val="auto"/>
        </w:rPr>
      </w:pPr>
    </w:p>
    <w:p>
      <w:pPr>
        <w:jc w:val="both"/>
        <w:ind w:firstLine="706"/>
        <w:spacing w:after="0" w:line="237" w:lineRule="auto"/>
        <w:rPr>
          <w:sz w:val="20"/>
          <w:szCs w:val="20"/>
          <w:color w:val="auto"/>
        </w:rPr>
      </w:pPr>
      <w:r>
        <w:rPr>
          <w:rFonts w:ascii="Times New Roman" w:cs="Times New Roman" w:eastAsia="Times New Roman" w:hAnsi="Times New Roman"/>
          <w:sz w:val="20"/>
          <w:szCs w:val="20"/>
          <w:color w:val="auto"/>
        </w:rPr>
        <w:t>Our products are complex and undergo quality testing as well as formal qualification by our customers. Our customers’ testing procedures are limited to evaluating our products under likely and foreseeable failure scenarios and over varying amounts of time. For various reasons, such as the occurrence of performance problems that are unforeseeable in testing or that are detected only when products age or are operated under peak stress conditions, our products may fail to perform as expected long after customer acceptance. Failures could result from faulty components or design, problems in manufacturing or other unforeseen reasons. Any such failures could delay product shipments to our customers or result in a loss of customers. Our products are typically embedded in, or deployed in conjunction with, our customers’ products, which incorporate a variety of components, modules and subsystems and may be expected to interoperate with modules produced by third parties. As a result, not all defects are immediately detectable and when problems occur, it may be difficult to identify the source of the problem. We face this risk because our products are widely deployed in many demanding environments and applications worldwide. In addition, we may in certain circumstances honor warranty claims after the warranty has expired or for problems not covered by warranty to maintain customer relationships. Any significant product failure could result in litigation, damages, repair costs and lost future sales of the affected product and other products, divert the attention of our engineering personnel from our product development efforts and cause significant customer relations problems, all of which would harm our business. Although we carry product liability insurance, this insurance may not adequately cover our costs arising from defects in our products or otherwise.</w:t>
      </w:r>
    </w:p>
    <w:p>
      <w:pPr>
        <w:spacing w:after="0" w:line="20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b w:val="1"/>
          <w:bCs w:val="1"/>
          <w:i w:val="1"/>
          <w:iCs w:val="1"/>
          <w:color w:val="auto"/>
        </w:rPr>
        <w:t>Epidemic diseases, such as COVID-19, or the perception of their effects, could have a material adverse effect on our business, financial condition, results of operation, or cash flows.</w:t>
      </w:r>
    </w:p>
    <w:p>
      <w:pPr>
        <w:spacing w:after="0" w:line="164" w:lineRule="exact"/>
        <w:rPr>
          <w:sz w:val="20"/>
          <w:szCs w:val="20"/>
          <w:color w:val="auto"/>
        </w:rPr>
      </w:pPr>
    </w:p>
    <w:p>
      <w:pPr>
        <w:jc w:val="both"/>
        <w:ind w:firstLine="706"/>
        <w:spacing w:after="0" w:line="270" w:lineRule="auto"/>
        <w:rPr>
          <w:sz w:val="20"/>
          <w:szCs w:val="20"/>
          <w:color w:val="auto"/>
        </w:rPr>
      </w:pPr>
      <w:r>
        <w:rPr>
          <w:rFonts w:ascii="Times New Roman" w:cs="Times New Roman" w:eastAsia="Times New Roman" w:hAnsi="Times New Roman"/>
          <w:sz w:val="18"/>
          <w:szCs w:val="18"/>
          <w:color w:val="auto"/>
        </w:rPr>
        <w:t>Outbreaks of epidemic, pandemic, or contagious diseases, such as the recent COVID-19 pandemic or, historically, the Ebola virus, Middle East Respiratory Syndrome, Severe Acute Respiratory Syndrome, or the H1N1 virus, could result in business disruptions. Business disruptions could include disruptions or restrictions on our ability to travel or to distribute our products, as well as temporary closures of our facilities or the facilities of our suppliers and their contract manufacturers. Any disruption of our suppliers and their contract manufacturers or our customers would likely impact our sales and operating results. In addition, a significant outbreak of epidemic, pandemic, or contagious diseases in the human population could result in a widespread health crisis that could adversely affect the economies and financial markets of many countries, resulting in an economic downturn that could affect demand for our products. Any of these events could have a material adverse effect on our business, financial condition, results of operations, or cash flows.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ability to use our net operating losses and certain other tax attributes may be limited.</w:t>
      </w:r>
    </w:p>
    <w:p>
      <w:pPr>
        <w:spacing w:after="0" w:line="218" w:lineRule="exact"/>
        <w:rPr>
          <w:sz w:val="20"/>
          <w:szCs w:val="20"/>
          <w:color w:val="auto"/>
        </w:rPr>
      </w:pPr>
    </w:p>
    <w:p>
      <w:pPr>
        <w:jc w:val="both"/>
        <w:ind w:firstLine="706"/>
        <w:spacing w:after="0" w:line="237" w:lineRule="auto"/>
        <w:rPr>
          <w:sz w:val="20"/>
          <w:szCs w:val="20"/>
          <w:color w:val="auto"/>
        </w:rPr>
      </w:pPr>
      <w:r>
        <w:rPr>
          <w:rFonts w:ascii="Times New Roman" w:cs="Times New Roman" w:eastAsia="Times New Roman" w:hAnsi="Times New Roman"/>
          <w:sz w:val="20"/>
          <w:szCs w:val="20"/>
          <w:color w:val="auto"/>
        </w:rPr>
        <w:t>As of December 31, 2025, we had U.S. accumulated net operating loss carryforwards, or NOLs, of approximately $253.0 million, federal and state research and development credits ("R&amp;D credits") of $14.9 million, business interest expense carryforwards of $24.9 million and foreign tax credits of $4.6 million for U.S. federal income tax purposes. Our ability to use our net operating losses, or NOLs, to offset future taxable income may be subject to certain limitations which could subject our business to higher tax liability. We may be limited in the portion of NOL carryforwards that we can use in the future to offset taxable income for U.S. federal and state income tax purposes, and federal tax credits to offset federal tax liabilities. Sections 382 and 383 of the Internal Revenue Code of 1986, as amended, limit the use of NOLs and tax credits after a cumulative change in corporate ownership of more than 50% occurs within a three- year period. The statutes place a formula limit on how much NOLs and tax credits a corporation can use in a tax year after a change in ownership. Avoiding an ownership change is generally beyond our control. Although the ownership changes we experienced in the past would not have prevented us from using all NOLs and tax credits accumulated before such ownership changes, assuming we were otherwise able to do so, we could experience another ownership change that might limit our use of NOLs and tax credits in the future. Under the Tax Cuts and Jobs Act of 2017, or Tax Act, NOLs from tax years that began after December 31, 2017 do not expire, but NOLs from tax years that began before January 1, 2018 expire after 20 years. Further, under the Tax Act, although the treatment of tax losses generated in taxable years ending before December 31, 2017 has generally not changed, tax losses generated in taxable years beginning after December 31, 2017 may offset no more than 80% of taxable income annually. Accordingly, if we generate NOLs after the tax year ended December 31, 2017, we might have to pay more federal income taxes in a subsequent year as a result of the 80% taxable income limitation than we would have had to pay under the law in effect before the Tax Act. Also, any foreign NOLs (for example NOLs in our China and Taiwan jurisdictions) are subject to different NOL expirations, generally shorter than in the US.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future results of operations may be subject to volatility as a result of exposure to fluctuations in currency exchange rates.</w:t>
      </w:r>
    </w:p>
    <w:p>
      <w:pPr>
        <w:spacing w:after="0" w:line="220" w:lineRule="exact"/>
        <w:rPr>
          <w:sz w:val="20"/>
          <w:szCs w:val="20"/>
          <w:color w:val="auto"/>
        </w:rPr>
      </w:pPr>
    </w:p>
    <w:p>
      <w:pPr>
        <w:jc w:val="both"/>
        <w:ind w:firstLine="706"/>
        <w:spacing w:after="0" w:line="291" w:lineRule="auto"/>
        <w:rPr>
          <w:sz w:val="20"/>
          <w:szCs w:val="20"/>
          <w:color w:val="auto"/>
        </w:rPr>
      </w:pPr>
      <w:r>
        <w:rPr>
          <w:rFonts w:ascii="Times New Roman" w:cs="Times New Roman" w:eastAsia="Times New Roman" w:hAnsi="Times New Roman"/>
          <w:sz w:val="18"/>
          <w:szCs w:val="18"/>
          <w:color w:val="auto"/>
        </w:rPr>
        <w:t>We have significant foreign currency exposure and are affected by fluctuations among the U.S. dollar, the Chinese Renminbi, or RMB, and the New Taiwan dollar, or NT dollar, because a substantial portion of our business is conducted in China and Taiwan. Our sales, raw materials, components and capital expenditures are denominated in U.S. dollars, RMB and NT dollars in varying amounts.</w:t>
      </w:r>
    </w:p>
    <w:p>
      <w:pPr>
        <w:sectPr>
          <w:pgSz w:w="11880" w:h="15480" w:orient="portrait"/>
          <w:cols w:equalWidth="0" w:num="1">
            <w:col w:w="10600"/>
          </w:cols>
          <w:pgMar w:left="640" w:top="410" w:right="640" w:bottom="0" w:gutter="0" w:footer="0" w:header="0"/>
        </w:sect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1880" w:h="15480" w:orient="portrait"/>
          <w:cols w:equalWidth="0" w:num="1">
            <w:col w:w="10600"/>
          </w:cols>
          <w:pgMar w:left="640" w:top="410" w:right="640" w:bottom="0" w:gutter="0" w:footer="0" w:header="0"/>
          <w:type w:val="continuous"/>
        </w:sectPr>
      </w:pPr>
    </w:p>
    <w:bookmarkStart w:id="23" w:name="page24"/>
    <w:bookmarkEnd w:id="23"/>
    <w:p>
      <w:pPr>
        <w:jc w:val="both"/>
        <w:ind w:firstLine="706"/>
        <w:spacing w:after="0" w:line="271" w:lineRule="auto"/>
        <w:rPr>
          <w:sz w:val="20"/>
          <w:szCs w:val="20"/>
          <w:color w:val="auto"/>
        </w:rPr>
      </w:pPr>
      <w:r>
        <w:rPr>
          <w:rFonts w:ascii="Times New Roman" w:cs="Times New Roman" w:eastAsia="Times New Roman" w:hAnsi="Times New Roman"/>
          <w:sz w:val="18"/>
          <w:szCs w:val="18"/>
          <w:color w:val="auto"/>
        </w:rPr>
        <w:t>Foreign currency fluctuations may adversely affect our revenue and our costs and expenses, and hence our results of operations. The value of the NT dollar or the RMB against the U.S. dollar and other currencies may fluctuate and be affected by, among other things, changes in political and economic conditions. The RMB currency is no longer being pegged solely to the value of the U.S. dollar. In the long term, the RMB may appreciate or depreciate significantly in value against the U.S. dollar, depending upon the fluctuation of the basket of currencies against which it is currently valued, or it may be permitted to enter into a full float, which may also result in a significant appreciation or depreciation of the RMB against the U.S. dollar. In addition, our currency exchange variations may be magnified by Chinese exchange control regulations that restrict our ability to convert RMB into foreign currency.</w:t>
      </w:r>
    </w:p>
    <w:p>
      <w:pPr>
        <w:spacing w:after="0" w:line="166" w:lineRule="exact"/>
        <w:rPr>
          <w:sz w:val="20"/>
          <w:szCs w:val="20"/>
          <w:color w:val="auto"/>
        </w:rPr>
      </w:pPr>
    </w:p>
    <w:p>
      <w:pPr>
        <w:jc w:val="both"/>
        <w:ind w:firstLine="706"/>
        <w:spacing w:after="0" w:line="251" w:lineRule="auto"/>
        <w:rPr>
          <w:sz w:val="20"/>
          <w:szCs w:val="20"/>
          <w:color w:val="auto"/>
        </w:rPr>
      </w:pPr>
      <w:r>
        <w:rPr>
          <w:rFonts w:ascii="Times New Roman" w:cs="Times New Roman" w:eastAsia="Times New Roman" w:hAnsi="Times New Roman"/>
          <w:sz w:val="20"/>
          <w:szCs w:val="20"/>
          <w:color w:val="auto"/>
        </w:rPr>
        <w:t>To date, we have not entered into any hedging transactions in an effort to reduce our exposure to foreign currency exchange risk. While we may decide to enter into hedging transactions in the future, the availability and effectiveness of these hedging transactions may be limited and we may not be able to successfully hedge our exposure.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Future acquisitions may adversely affect our financial condition and results of operations.</w:t>
      </w:r>
    </w:p>
    <w:p>
      <w:pPr>
        <w:spacing w:after="0" w:line="218" w:lineRule="exact"/>
        <w:rPr>
          <w:sz w:val="20"/>
          <w:szCs w:val="20"/>
          <w:color w:val="auto"/>
        </w:rPr>
      </w:pPr>
    </w:p>
    <w:p>
      <w:pPr>
        <w:jc w:val="both"/>
        <w:ind w:firstLine="706"/>
        <w:spacing w:after="0" w:line="251" w:lineRule="auto"/>
        <w:rPr>
          <w:sz w:val="20"/>
          <w:szCs w:val="20"/>
          <w:color w:val="auto"/>
        </w:rPr>
      </w:pPr>
      <w:r>
        <w:rPr>
          <w:rFonts w:ascii="Times New Roman" w:cs="Times New Roman" w:eastAsia="Times New Roman" w:hAnsi="Times New Roman"/>
          <w:sz w:val="20"/>
          <w:szCs w:val="20"/>
          <w:color w:val="auto"/>
        </w:rPr>
        <w:t>As part of our business strategy, we may pursue acquisitions of companies that we believe could enhance or complement our current product portfolio, augment our technology roadmap or diversify our revenue base. Acquisitions involve numerous risks, any of which could harm our business, including:</w:t>
      </w:r>
    </w:p>
    <w:p>
      <w:pPr>
        <w:spacing w:after="0" w:line="164" w:lineRule="exact"/>
        <w:rPr>
          <w:sz w:val="20"/>
          <w:szCs w:val="20"/>
          <w:color w:val="auto"/>
        </w:rPr>
      </w:pPr>
    </w:p>
    <w:p>
      <w:pPr>
        <w:ind w:left="900" w:hanging="177"/>
        <w:spacing w:after="0"/>
        <w:tabs>
          <w:tab w:leader="none" w:pos="900"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difficulties integrating the acquired business;</w:t>
      </w:r>
    </w:p>
    <w:p>
      <w:pPr>
        <w:spacing w:after="0" w:line="207" w:lineRule="exact"/>
        <w:rPr>
          <w:rFonts w:ascii="Times New Roman" w:cs="Times New Roman" w:eastAsia="Times New Roman" w:hAnsi="Times New Roman"/>
          <w:sz w:val="19"/>
          <w:szCs w:val="19"/>
          <w:color w:val="auto"/>
        </w:rPr>
      </w:pPr>
    </w:p>
    <w:p>
      <w:pPr>
        <w:ind w:left="900" w:hanging="177"/>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capital expenditures or liabilities or changes related to research in progress and product development;</w:t>
      </w:r>
    </w:p>
    <w:p>
      <w:pPr>
        <w:spacing w:after="0" w:line="232" w:lineRule="exact"/>
        <w:rPr>
          <w:rFonts w:ascii="Times New Roman" w:cs="Times New Roman" w:eastAsia="Times New Roman" w:hAnsi="Times New Roman"/>
          <w:sz w:val="18"/>
          <w:szCs w:val="18"/>
          <w:color w:val="auto"/>
        </w:rPr>
      </w:pPr>
    </w:p>
    <w:p>
      <w:pPr>
        <w:ind w:left="900" w:hanging="177"/>
        <w:spacing w:after="0"/>
        <w:tabs>
          <w:tab w:leader="none" w:pos="900"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diversion of financial and management resources from our existing business;</w:t>
      </w:r>
    </w:p>
    <w:p>
      <w:pPr>
        <w:spacing w:after="0" w:line="207" w:lineRule="exact"/>
        <w:rPr>
          <w:rFonts w:ascii="Times New Roman" w:cs="Times New Roman" w:eastAsia="Times New Roman" w:hAnsi="Times New Roman"/>
          <w:sz w:val="19"/>
          <w:szCs w:val="19"/>
          <w:color w:val="auto"/>
        </w:rPr>
      </w:pPr>
    </w:p>
    <w:p>
      <w:pPr>
        <w:ind w:left="900" w:hanging="177"/>
        <w:spacing w:after="0" w:line="266" w:lineRule="auto"/>
        <w:tabs>
          <w:tab w:leader="none" w:pos="90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difficulties integrating the business relationships with suppliers and customers of the acquired business with our existing business relationships;</w:t>
      </w:r>
    </w:p>
    <w:p>
      <w:pPr>
        <w:spacing w:after="0" w:line="153" w:lineRule="exact"/>
        <w:rPr>
          <w:rFonts w:ascii="Times New Roman" w:cs="Times New Roman" w:eastAsia="Times New Roman" w:hAnsi="Times New Roman"/>
          <w:sz w:val="20"/>
          <w:szCs w:val="20"/>
          <w:color w:val="auto"/>
        </w:rPr>
      </w:pPr>
    </w:p>
    <w:p>
      <w:pPr>
        <w:ind w:left="900" w:hanging="177"/>
        <w:spacing w:after="0"/>
        <w:tabs>
          <w:tab w:leader="none" w:pos="900"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risks associated with entering markets in which we have little or no prior experience; and</w:t>
      </w:r>
    </w:p>
    <w:p>
      <w:pPr>
        <w:spacing w:after="0" w:line="207" w:lineRule="exact"/>
        <w:rPr>
          <w:rFonts w:ascii="Times New Roman" w:cs="Times New Roman" w:eastAsia="Times New Roman" w:hAnsi="Times New Roman"/>
          <w:sz w:val="19"/>
          <w:szCs w:val="19"/>
          <w:color w:val="auto"/>
        </w:rPr>
      </w:pPr>
    </w:p>
    <w:p>
      <w:pPr>
        <w:ind w:left="900" w:hanging="177"/>
        <w:spacing w:after="0"/>
        <w:tabs>
          <w:tab w:leader="none" w:pos="900"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potential loss of key employees, particularly those of the acquired organizations.</w:t>
      </w:r>
    </w:p>
    <w:p>
      <w:pPr>
        <w:spacing w:after="0" w:line="201" w:lineRule="exact"/>
        <w:rPr>
          <w:sz w:val="20"/>
          <w:szCs w:val="20"/>
          <w:color w:val="auto"/>
        </w:rPr>
      </w:pPr>
    </w:p>
    <w:p>
      <w:pPr>
        <w:jc w:val="both"/>
        <w:ind w:firstLine="706"/>
        <w:spacing w:after="0" w:line="246" w:lineRule="auto"/>
        <w:rPr>
          <w:sz w:val="20"/>
          <w:szCs w:val="20"/>
          <w:color w:val="auto"/>
        </w:rPr>
      </w:pPr>
      <w:r>
        <w:rPr>
          <w:rFonts w:ascii="Times New Roman" w:cs="Times New Roman" w:eastAsia="Times New Roman" w:hAnsi="Times New Roman"/>
          <w:sz w:val="20"/>
          <w:szCs w:val="20"/>
          <w:color w:val="auto"/>
        </w:rPr>
        <w:t>Acquisitions may also result in the recording of goodwill and other intangible assets subject to potential impairment in the future, adversely affecting our operating results. We may not achieve the anticipated benefits of an acquisition if we fail to evaluate it properly, and we may incur costs in excess of what we anticipate. A failure to evaluate and execute an acquisition appropriately or otherwise adequately address these risks may adversely affect our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Future divestitures may adversely affect our financial condition and results of operations.</w:t>
      </w:r>
    </w:p>
    <w:p>
      <w:pPr>
        <w:spacing w:after="0" w:line="220" w:lineRule="exact"/>
        <w:rPr>
          <w:sz w:val="20"/>
          <w:szCs w:val="20"/>
          <w:color w:val="auto"/>
        </w:rPr>
      </w:pPr>
    </w:p>
    <w:p>
      <w:pPr>
        <w:jc w:val="both"/>
        <w:ind w:firstLine="706"/>
        <w:spacing w:after="0" w:line="273" w:lineRule="auto"/>
        <w:rPr>
          <w:sz w:val="20"/>
          <w:szCs w:val="20"/>
          <w:color w:val="auto"/>
        </w:rPr>
      </w:pPr>
      <w:r>
        <w:rPr>
          <w:rFonts w:ascii="Times New Roman" w:cs="Times New Roman" w:eastAsia="Times New Roman" w:hAnsi="Times New Roman"/>
          <w:sz w:val="18"/>
          <w:szCs w:val="18"/>
          <w:color w:val="auto"/>
        </w:rPr>
        <w:t>We frequently evaluate our portfolio of products and may consider divestitures or exits of businesses that we no longer believe to be an appropriate strategic fit. Divestitures may adversely impact our results if we are unable to offset the dilutive impacts from the loss of revenue associated with the divested products or businesses, or mitigate overhead costs allocated to those businesses. Furthermore, the divestitures could adversely affect our ongoing business operations, including by enhancing our competitors' positions or reducing customer confidence in our ongoing brand and products. The inability to effectively and efficiently manage divestitures with the results we expect or in the timeframe we anticipate could adversely affect our financial condition and results of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Natural disasters or other catastrophic events could harm our operations.</w:t>
      </w:r>
    </w:p>
    <w:p>
      <w:pPr>
        <w:spacing w:after="0" w:line="220" w:lineRule="exact"/>
        <w:rPr>
          <w:sz w:val="20"/>
          <w:szCs w:val="20"/>
          <w:color w:val="auto"/>
        </w:rPr>
      </w:pPr>
    </w:p>
    <w:p>
      <w:pPr>
        <w:jc w:val="both"/>
        <w:ind w:firstLine="706"/>
        <w:spacing w:after="0" w:line="266" w:lineRule="auto"/>
        <w:rPr>
          <w:sz w:val="20"/>
          <w:szCs w:val="20"/>
          <w:color w:val="auto"/>
        </w:rPr>
      </w:pPr>
      <w:r>
        <w:rPr>
          <w:rFonts w:ascii="Times New Roman" w:cs="Times New Roman" w:eastAsia="Times New Roman" w:hAnsi="Times New Roman"/>
          <w:sz w:val="18"/>
          <w:szCs w:val="18"/>
          <w:color w:val="auto"/>
        </w:rPr>
        <w:t>Our operations in the U.S., China and Taiwan could be subject to significant risk of natural disasters, including earthquakes, hurricanes, typhoons, flooding and tornadoes, as well as other catastrophic events, such as epidemics, cyberattacks, terrorist attacks or wars. For example, our corporate headquarters and wafer fabrication facility in Sugar Land, Texas is located near the Gulf of Mexico, an area that is susceptible to hurricanes. We use a proprietary MBE laser manufacturing process that requires customized equipment, and this process is currently conducted and located solely at our wafer fabrication facility in Sugar Land, Texas, such that a natural disaster, cyberattack, terrorist attack or other catastrophic event that affects that facility would materially harm our operations. In addition, our manufacturing facility in Taipei, Taiwan, is susceptible to typhoons and earthquakes, and our manufacturing facility in Ningbo, China, has from time to time, suffered electrical outages. Any disruption in our manufacturing facilities arising from these and other natural disasters or other catastrophic events could cause significant delays in the production or shipment of our products until we are able to shift production to different facilities or arrange for third parties to manufacture our products. We may not be able to obtain alternate capacity on favorable terms or at all. Our property insurance coverage with respect to natural disaster is limited and is subject to deductible and coverage limits. Such coverage may not be adequate or continue to be available at commercially reasonable rates and terms. The occurrence of any of these circumstances may adversely affect our financial condition and results of operation.</w:t>
      </w:r>
    </w:p>
    <w:p>
      <w:pPr>
        <w:sectPr>
          <w:pgSz w:w="11880" w:h="15480" w:orient="portrait"/>
          <w:cols w:equalWidth="0" w:num="1">
            <w:col w:w="10600"/>
          </w:cols>
          <w:pgMar w:left="640" w:top="410"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1880" w:h="15480" w:orient="portrait"/>
          <w:cols w:equalWidth="0" w:num="1">
            <w:col w:w="10600"/>
          </w:cols>
          <w:pgMar w:left="640" w:top="410" w:right="640" w:bottom="0" w:gutter="0" w:footer="0" w:header="0"/>
          <w:type w:val="continuous"/>
        </w:sectPr>
      </w:pPr>
    </w:p>
    <w:bookmarkStart w:id="24" w:name="page25"/>
    <w:bookmarkEnd w:id="24"/>
    <w:p>
      <w:pPr>
        <w:jc w:val="both"/>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Our ability to retain or recruit key personnel could be adversely affected by the lack of available shares under our equity incentive plan. In addition, if this lack causes us to be unable to settle outstanding awards in shares and such awards must instead be settled in cash, such cash settlement could deplete our available cash, which could have an adverse effect on our business and financial condition.</w:t>
      </w:r>
    </w:p>
    <w:p>
      <w:pPr>
        <w:spacing w:after="0" w:line="186" w:lineRule="exact"/>
        <w:rPr>
          <w:sz w:val="20"/>
          <w:szCs w:val="20"/>
          <w:color w:val="auto"/>
        </w:rPr>
      </w:pPr>
    </w:p>
    <w:p>
      <w:pPr>
        <w:jc w:val="both"/>
        <w:ind w:firstLine="706"/>
        <w:spacing w:after="0" w:line="273" w:lineRule="auto"/>
        <w:rPr>
          <w:sz w:val="20"/>
          <w:szCs w:val="20"/>
          <w:color w:val="auto"/>
        </w:rPr>
      </w:pPr>
      <w:r>
        <w:rPr>
          <w:rFonts w:ascii="Times New Roman" w:cs="Times New Roman" w:eastAsia="Times New Roman" w:hAnsi="Times New Roman"/>
          <w:sz w:val="18"/>
          <w:szCs w:val="18"/>
          <w:color w:val="auto"/>
        </w:rPr>
        <w:t>The success of our business and results of operations is dependent on our executive officers and other key personnel. Beginning in 2021, in order to improve our ability to retain and recruit such persons, as well as to better align our executive compensation program with the interests of our stockholders, we implemented a long-term incentive program under our Amended and Restated 2021 Equity Incentive Plan (the "2021 Plan") pursuant to which we grant performance-based equity awards that vest on the achievement of specified performance goals for a specified three -year period. These performance-based awards could be earned and become payable with respect to between 0% and 200% of the target number of shares based on the Company’s achievement of preset performance goals.</w:t>
      </w:r>
    </w:p>
    <w:p>
      <w:pPr>
        <w:spacing w:after="0" w:line="166" w:lineRule="exact"/>
        <w:rPr>
          <w:sz w:val="20"/>
          <w:szCs w:val="20"/>
          <w:color w:val="auto"/>
        </w:rPr>
      </w:pPr>
    </w:p>
    <w:p>
      <w:pPr>
        <w:jc w:val="both"/>
        <w:ind w:firstLine="706"/>
        <w:spacing w:after="0" w:line="243" w:lineRule="auto"/>
        <w:rPr>
          <w:sz w:val="20"/>
          <w:szCs w:val="20"/>
          <w:color w:val="auto"/>
        </w:rPr>
      </w:pPr>
      <w:r>
        <w:rPr>
          <w:rFonts w:ascii="Times New Roman" w:cs="Times New Roman" w:eastAsia="Times New Roman" w:hAnsi="Times New Roman"/>
          <w:sz w:val="20"/>
          <w:szCs w:val="20"/>
          <w:color w:val="auto"/>
        </w:rPr>
        <w:t>If the Company is not able to obtain shareholder approval for additional shares of common stock under the 2021 Plan in the future that are sufficient to permit outstanding awards to be settled in shares, the Company may have to incur additional cash expenditures to settle such awards in cash in lieu of shares. This could impair the effectiveness of our long-term incentive program and negatively affect our ability to retain or recruit key personnel, and cash settlement in lieu of shares could have an adverse effect on our future results and financial condition.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Legal and Regulatory Risks</w:t>
      </w:r>
    </w:p>
    <w:p>
      <w:pPr>
        <w:spacing w:after="0" w:line="2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b w:val="1"/>
          <w:bCs w:val="1"/>
          <w:i w:val="1"/>
          <w:iCs w:val="1"/>
          <w:color w:val="auto"/>
        </w:rPr>
        <w:t>We are subject to governmental export and import controls that could subject us to liability or impair our ability to compete in international markets.</w:t>
      </w:r>
    </w:p>
    <w:p>
      <w:pPr>
        <w:spacing w:after="0" w:line="166" w:lineRule="exact"/>
        <w:rPr>
          <w:sz w:val="20"/>
          <w:szCs w:val="20"/>
          <w:color w:val="auto"/>
        </w:rPr>
      </w:pPr>
    </w:p>
    <w:p>
      <w:pPr>
        <w:jc w:val="both"/>
        <w:ind w:firstLine="706"/>
        <w:spacing w:after="0" w:line="270" w:lineRule="auto"/>
        <w:rPr>
          <w:sz w:val="20"/>
          <w:szCs w:val="20"/>
          <w:color w:val="auto"/>
        </w:rPr>
      </w:pPr>
      <w:r>
        <w:rPr>
          <w:rFonts w:ascii="Times New Roman" w:cs="Times New Roman" w:eastAsia="Times New Roman" w:hAnsi="Times New Roman"/>
          <w:sz w:val="18"/>
          <w:szCs w:val="18"/>
          <w:color w:val="auto"/>
        </w:rPr>
        <w:t>We are subject to export and import control laws, trade regulations, and other trade requirements that limit which products we sell and where and to whom we sell our products. Specifically, the BIS regulates the export of most commercial items and "dual-use" goods that may have both commercial and military applications. Our products are primarily classified under Export Control Classification Numbers (ECCN) 5A991, 6A995, and EAR99. Export Control Classification requirements are dependent upon an item’s technical characteristics and dictate the licensing requirements and permissible destination, end-use, end-users, and activities of the end-user. Should the regulations applicable to our products change, or the restrictions applicable to countries to which we ship our products change, then the export of our products to such countries could be restricted. As a result, our ability to export or sell our products to certain countries and end-users could be restricted, which could adversely affect our business, financial condition, and results of operations.</w:t>
      </w:r>
    </w:p>
    <w:p>
      <w:pPr>
        <w:spacing w:after="0" w:line="16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New policy priorities may modify our import risks footprint affecting the flow of our products into the U.S.</w:t>
      </w:r>
    </w:p>
    <w:p>
      <w:pPr>
        <w:spacing w:after="0" w:line="222" w:lineRule="exact"/>
        <w:rPr>
          <w:sz w:val="20"/>
          <w:szCs w:val="20"/>
          <w:color w:val="auto"/>
        </w:rPr>
      </w:pPr>
    </w:p>
    <w:p>
      <w:pPr>
        <w:jc w:val="both"/>
        <w:ind w:firstLine="706"/>
        <w:spacing w:after="0" w:line="245" w:lineRule="auto"/>
        <w:rPr>
          <w:sz w:val="20"/>
          <w:szCs w:val="20"/>
          <w:color w:val="auto"/>
        </w:rPr>
      </w:pPr>
      <w:r>
        <w:rPr>
          <w:rFonts w:ascii="Times New Roman" w:cs="Times New Roman" w:eastAsia="Times New Roman" w:hAnsi="Times New Roman"/>
          <w:sz w:val="20"/>
          <w:szCs w:val="20"/>
          <w:color w:val="auto"/>
        </w:rPr>
        <w:t>Changes in our products, any change in export or import regulations or related legislation, shift in approach to the enforcement or scope of existing regulations, or change in the countries, persons, or technologies targeted by such regulations could result in delayed or decreased sales of our products to existing or potential customers. In such cases, our business and the results of operations could be adversely affected.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business could be negatively impacted as a result of shareholder activism.</w:t>
      </w:r>
    </w:p>
    <w:p>
      <w:pPr>
        <w:spacing w:after="0" w:line="220" w:lineRule="exact"/>
        <w:rPr>
          <w:sz w:val="20"/>
          <w:szCs w:val="20"/>
          <w:color w:val="auto"/>
        </w:rPr>
      </w:pPr>
    </w:p>
    <w:p>
      <w:pPr>
        <w:jc w:val="both"/>
        <w:ind w:firstLine="706"/>
        <w:spacing w:after="0" w:line="270" w:lineRule="auto"/>
        <w:rPr>
          <w:sz w:val="20"/>
          <w:szCs w:val="20"/>
          <w:color w:val="auto"/>
        </w:rPr>
      </w:pPr>
      <w:r>
        <w:rPr>
          <w:rFonts w:ascii="Times New Roman" w:cs="Times New Roman" w:eastAsia="Times New Roman" w:hAnsi="Times New Roman"/>
          <w:sz w:val="18"/>
          <w:szCs w:val="18"/>
          <w:color w:val="auto"/>
        </w:rPr>
        <w:t>In recent years, shareholder activists have become involved in numerous public companies. Shareholder activists frequently propose to involve themselves in the governance, strategic direction, and operations of the Company. We may in the future become subject to such shareholder activity and demands. Such demands may disrupt our business and divert the attention of our management and employees, and any perceived uncertainties as to our future direction resulting from such a situation could result in the loss of potential business opportunities, be exploited by our competitors, cause concern to our current or potential customers, and make it more difficult to attract and retain qualified personnel and business partners, all of which could adversely affect our business. In addition, actions of activist shareholders may cause significant fluctuations in our stock price based on temporary or speculative market perceptions or other factors that do not necessarily reflect the underlying fundamentals and prospects of our business.</w:t>
      </w:r>
    </w:p>
    <w:p>
      <w:pPr>
        <w:spacing w:after="0" w:line="16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b w:val="1"/>
          <w:bCs w:val="1"/>
          <w:i w:val="1"/>
          <w:iCs w:val="1"/>
          <w:color w:val="auto"/>
        </w:rPr>
        <w:t>The unfavorable outcome of any pending or future litigation or administrative action and expenses incurred in connection with litigation could result in financial losses or harm to our business.</w:t>
      </w:r>
    </w:p>
    <w:p>
      <w:pPr>
        <w:spacing w:after="0" w:line="166" w:lineRule="exact"/>
        <w:rPr>
          <w:sz w:val="20"/>
          <w:szCs w:val="20"/>
          <w:color w:val="auto"/>
        </w:rPr>
      </w:pPr>
    </w:p>
    <w:p>
      <w:pPr>
        <w:jc w:val="both"/>
        <w:ind w:firstLine="706"/>
        <w:spacing w:after="0" w:line="243" w:lineRule="auto"/>
        <w:rPr>
          <w:sz w:val="20"/>
          <w:szCs w:val="20"/>
          <w:color w:val="auto"/>
        </w:rPr>
      </w:pPr>
      <w:r>
        <w:rPr>
          <w:rFonts w:ascii="Times New Roman" w:cs="Times New Roman" w:eastAsia="Times New Roman" w:hAnsi="Times New Roman"/>
          <w:sz w:val="20"/>
          <w:szCs w:val="20"/>
          <w:color w:val="auto"/>
        </w:rPr>
        <w:t>We have been, and in the future may be, subject to legal actions in the ordinary course of our operations, both domestically and internationally. There can be no assurances as to the favorable outcome of any litigation, arbitration or administrative action. In addition, it can be costly to defend such matters and these costs could negatively impact our financial results. Any litigation, arbitration, or other administrative action could result in substantial costs and divert our management’s attention from other business concerns, which could seriously harm our business.</w:t>
      </w:r>
    </w:p>
    <w:p>
      <w:pPr>
        <w:sectPr>
          <w:pgSz w:w="11880" w:h="15480" w:orient="portrait"/>
          <w:cols w:equalWidth="0" w:num="1">
            <w:col w:w="10600"/>
          </w:cols>
          <w:pgMar w:left="640" w:top="412"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1880" w:h="15480" w:orient="portrait"/>
          <w:cols w:equalWidth="0" w:num="1">
            <w:col w:w="10600"/>
          </w:cols>
          <w:pgMar w:left="640" w:top="412" w:right="640" w:bottom="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20"/>
          <w:szCs w:val="20"/>
          <w:b w:val="1"/>
          <w:bCs w:val="1"/>
          <w:color w:val="auto"/>
        </w:rPr>
        <w:t>Risks Related to Our Indebtedness and Future Financing</w:t>
      </w:r>
    </w:p>
    <w:p>
      <w:pPr>
        <w:spacing w:after="0" w:line="224"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8"/>
          <w:szCs w:val="18"/>
          <w:b w:val="1"/>
          <w:bCs w:val="1"/>
          <w:i w:val="1"/>
          <w:iCs w:val="1"/>
          <w:color w:val="auto"/>
        </w:rPr>
        <w:t>Our indebtedness and liabilities could limit the cash flow available for our operations, expose us to risks that could adversely affect our business, financial condition and results of operations and impair our ability to satisfy our obligations under our indebtedness.</w:t>
      </w:r>
    </w:p>
    <w:p>
      <w:pPr>
        <w:spacing w:after="0" w:line="120" w:lineRule="exact"/>
        <w:rPr>
          <w:sz w:val="20"/>
          <w:szCs w:val="20"/>
          <w:color w:val="auto"/>
        </w:rPr>
      </w:pPr>
    </w:p>
    <w:p>
      <w:pPr>
        <w:jc w:val="both"/>
        <w:ind w:firstLine="706"/>
        <w:spacing w:after="0" w:line="251" w:lineRule="auto"/>
        <w:rPr>
          <w:sz w:val="20"/>
          <w:szCs w:val="20"/>
          <w:color w:val="auto"/>
        </w:rPr>
      </w:pPr>
      <w:r>
        <w:rPr>
          <w:rFonts w:ascii="Times New Roman" w:cs="Times New Roman" w:eastAsia="Times New Roman" w:hAnsi="Times New Roman"/>
          <w:sz w:val="20"/>
          <w:szCs w:val="20"/>
          <w:color w:val="auto"/>
        </w:rPr>
        <w:t>As of December 31, 2025, we had approximately $163.8 million of consolidated indebtedness. We may also incur additional indebtedness to meet future financing needs. Our indebtedness could have significant negative consequences for our security holders and our business, results of operations and financial condition by, among other things:</w:t>
      </w:r>
    </w:p>
    <w:p>
      <w:pPr>
        <w:spacing w:after="0" w:line="164" w:lineRule="exact"/>
        <w:rPr>
          <w:sz w:val="20"/>
          <w:szCs w:val="20"/>
          <w:color w:val="auto"/>
        </w:rPr>
      </w:pPr>
    </w:p>
    <w:p>
      <w:pPr>
        <w:ind w:left="900" w:hanging="177"/>
        <w:spacing w:after="0"/>
        <w:tabs>
          <w:tab w:leader="none" w:pos="90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increasing our vulnerability to adverse economic and industry conditions;</w:t>
      </w:r>
    </w:p>
    <w:p>
      <w:pPr>
        <w:spacing w:after="0" w:line="216" w:lineRule="exact"/>
        <w:rPr>
          <w:rFonts w:ascii="Times New Roman" w:cs="Times New Roman" w:eastAsia="Times New Roman" w:hAnsi="Times New Roman"/>
          <w:sz w:val="20"/>
          <w:szCs w:val="20"/>
          <w:color w:val="auto"/>
        </w:rPr>
      </w:pPr>
    </w:p>
    <w:p>
      <w:pPr>
        <w:ind w:left="900" w:hanging="177"/>
        <w:spacing w:after="0"/>
        <w:tabs>
          <w:tab w:leader="none" w:pos="90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limiting our ability to obtain additional financing;</w:t>
      </w:r>
    </w:p>
    <w:p>
      <w:pPr>
        <w:spacing w:after="0" w:line="219" w:lineRule="exact"/>
        <w:rPr>
          <w:rFonts w:ascii="Times New Roman" w:cs="Times New Roman" w:eastAsia="Times New Roman" w:hAnsi="Times New Roman"/>
          <w:sz w:val="20"/>
          <w:szCs w:val="20"/>
          <w:color w:val="auto"/>
        </w:rPr>
      </w:pPr>
    </w:p>
    <w:p>
      <w:pPr>
        <w:ind w:left="900" w:hanging="177"/>
        <w:spacing w:after="0" w:line="264" w:lineRule="auto"/>
        <w:tabs>
          <w:tab w:leader="none" w:pos="90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requiring the dedication of a substantial portion of our cash flow from operations to service our indebtedness, which will reduce the amount of cash available for other purposes;</w:t>
      </w:r>
    </w:p>
    <w:p>
      <w:pPr>
        <w:spacing w:after="0" w:line="166" w:lineRule="exact"/>
        <w:rPr>
          <w:rFonts w:ascii="Times New Roman" w:cs="Times New Roman" w:eastAsia="Times New Roman" w:hAnsi="Times New Roman"/>
          <w:sz w:val="20"/>
          <w:szCs w:val="20"/>
          <w:color w:val="auto"/>
        </w:rPr>
      </w:pPr>
    </w:p>
    <w:p>
      <w:pPr>
        <w:ind w:left="900" w:hanging="177"/>
        <w:spacing w:after="0"/>
        <w:tabs>
          <w:tab w:leader="none" w:pos="90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limiting our flexibility to plan for, or react to, changes in our business;</w:t>
      </w:r>
    </w:p>
    <w:p>
      <w:pPr>
        <w:spacing w:after="0" w:line="216" w:lineRule="exact"/>
        <w:rPr>
          <w:rFonts w:ascii="Times New Roman" w:cs="Times New Roman" w:eastAsia="Times New Roman" w:hAnsi="Times New Roman"/>
          <w:sz w:val="20"/>
          <w:szCs w:val="20"/>
          <w:color w:val="auto"/>
        </w:rPr>
      </w:pPr>
    </w:p>
    <w:p>
      <w:pPr>
        <w:ind w:left="900" w:hanging="177"/>
        <w:spacing w:after="0" w:line="266" w:lineRule="auto"/>
        <w:tabs>
          <w:tab w:leader="none" w:pos="90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diluting the interests of our existing stockholders as a result of issuing shares of our common stock upon conversion of the 2030 Notes; and</w:t>
      </w:r>
    </w:p>
    <w:p>
      <w:pPr>
        <w:spacing w:after="0" w:line="163" w:lineRule="exact"/>
        <w:rPr>
          <w:rFonts w:ascii="Times New Roman" w:cs="Times New Roman" w:eastAsia="Times New Roman" w:hAnsi="Times New Roman"/>
          <w:sz w:val="20"/>
          <w:szCs w:val="20"/>
          <w:color w:val="auto"/>
        </w:rPr>
      </w:pPr>
    </w:p>
    <w:p>
      <w:pPr>
        <w:ind w:left="900" w:hanging="177"/>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possible competitive disadvantage with competitors that are less leveraged than us or have better access to capital.</w:t>
      </w:r>
    </w:p>
    <w:p>
      <w:pPr>
        <w:spacing w:after="0" w:line="247" w:lineRule="exact"/>
        <w:rPr>
          <w:sz w:val="20"/>
          <w:szCs w:val="20"/>
          <w:color w:val="auto"/>
        </w:rPr>
      </w:pPr>
    </w:p>
    <w:p>
      <w:pPr>
        <w:jc w:val="both"/>
        <w:ind w:firstLine="706"/>
        <w:spacing w:after="0" w:line="273" w:lineRule="auto"/>
        <w:rPr>
          <w:sz w:val="20"/>
          <w:szCs w:val="20"/>
          <w:color w:val="auto"/>
        </w:rPr>
      </w:pPr>
      <w:r>
        <w:rPr>
          <w:rFonts w:ascii="Times New Roman" w:cs="Times New Roman" w:eastAsia="Times New Roman" w:hAnsi="Times New Roman"/>
          <w:sz w:val="18"/>
          <w:szCs w:val="18"/>
          <w:color w:val="auto"/>
        </w:rPr>
        <w:t>Our business may not generate sufficient funds, and we may otherwise be unable to maintain sufficient cash reserves, to pay amounts due under our indebtedness, including the 2030 Notes, and our cash needs may increase in the future. In addition, our existing credit facilities in Asia and the U.S. contain, and any future indebtedness that we may incur may contain, financial and other restrictive covenants that limit our ability to operate our business, raise capital or make payments under our other indebtedness. If we fail to comply with these covenants or to make payments under our indebtedness when due, then we would be in default under that indebtedness, which could, in turn, result in that and our other indebtedness becoming immediately payable in full.</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loan agreements contain restrictive covenants that may adversely affect our ability to conduct our business.</w:t>
      </w:r>
    </w:p>
    <w:p>
      <w:pPr>
        <w:spacing w:after="0" w:line="220" w:lineRule="exact"/>
        <w:rPr>
          <w:sz w:val="20"/>
          <w:szCs w:val="20"/>
          <w:color w:val="auto"/>
        </w:rPr>
      </w:pPr>
    </w:p>
    <w:p>
      <w:pPr>
        <w:jc w:val="both"/>
        <w:ind w:firstLine="706"/>
        <w:spacing w:after="0" w:line="243" w:lineRule="auto"/>
        <w:rPr>
          <w:sz w:val="20"/>
          <w:szCs w:val="20"/>
          <w:color w:val="auto"/>
        </w:rPr>
      </w:pPr>
      <w:r>
        <w:rPr>
          <w:rFonts w:ascii="Times New Roman" w:cs="Times New Roman" w:eastAsia="Times New Roman" w:hAnsi="Times New Roman"/>
          <w:sz w:val="20"/>
          <w:szCs w:val="20"/>
          <w:color w:val="auto"/>
        </w:rPr>
        <w:t>We have lending arrangements with several financial institutions, including credit facilities with several lending institutions in Asia, and BOK Financial in the U.S. Our loan agreements governing our long-term debt obligations in Asia and the U.S. contain certain financial and operating covenants that limit our management’s discretion with respect to certain business matters. Among other things, these covenants restrict our ability to incur additional debt, create liens or other encumbrances, change the nature of our business, sell or otherwise dispose of assets and merge or consolidate with other entities.</w:t>
      </w:r>
    </w:p>
    <w:p>
      <w:pPr>
        <w:spacing w:after="0" w:line="188" w:lineRule="exact"/>
        <w:rPr>
          <w:sz w:val="20"/>
          <w:szCs w:val="20"/>
          <w:color w:val="auto"/>
        </w:rPr>
      </w:pPr>
    </w:p>
    <w:p>
      <w:pPr>
        <w:jc w:val="both"/>
        <w:ind w:firstLine="706"/>
        <w:spacing w:after="0" w:line="243" w:lineRule="auto"/>
        <w:rPr>
          <w:sz w:val="20"/>
          <w:szCs w:val="20"/>
          <w:color w:val="auto"/>
        </w:rPr>
      </w:pPr>
      <w:r>
        <w:rPr>
          <w:rFonts w:ascii="Times New Roman" w:cs="Times New Roman" w:eastAsia="Times New Roman" w:hAnsi="Times New Roman"/>
          <w:sz w:val="20"/>
          <w:szCs w:val="20"/>
          <w:color w:val="auto"/>
        </w:rPr>
        <w:t>These restrictions may limit our flexibility in responding to business opportunities, competitive developments and adverse economic or industry conditions. Any failure by us or our subsidiaries to comply with these agreements could harm our business, financial condition and operating results. A breach of any of the covenants under our loan agreements, or a failure to pay interest or indebtedness when due under any of our credit facilities could result in a variety of adverse consequences, including the acceleration of our indebtedness.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not be able to obtain additional capital when desired, on favorable terms or at all.</w:t>
      </w:r>
    </w:p>
    <w:p>
      <w:pPr>
        <w:spacing w:after="0" w:line="220" w:lineRule="exact"/>
        <w:rPr>
          <w:sz w:val="20"/>
          <w:szCs w:val="20"/>
          <w:color w:val="auto"/>
        </w:rPr>
      </w:pPr>
    </w:p>
    <w:p>
      <w:pPr>
        <w:jc w:val="both"/>
        <w:ind w:firstLine="706"/>
        <w:spacing w:after="0" w:line="243" w:lineRule="auto"/>
        <w:rPr>
          <w:sz w:val="20"/>
          <w:szCs w:val="20"/>
          <w:color w:val="auto"/>
        </w:rPr>
      </w:pPr>
      <w:r>
        <w:rPr>
          <w:rFonts w:ascii="Times New Roman" w:cs="Times New Roman" w:eastAsia="Times New Roman" w:hAnsi="Times New Roman"/>
          <w:sz w:val="20"/>
          <w:szCs w:val="20"/>
          <w:color w:val="auto"/>
        </w:rPr>
        <w:t>We operate in a market that makes our prospects difficult to evaluate and, to remain competitive, we will be required to make continued investments in capital equipment, facilities and technological improvements. We expect that substantial capital will be required to expand our manufacturing capacity and fund working capital for anticipated growth. If we do not generate sufficient cash flow from operations or otherwise have the capital resources to meet our future capital needs, we may need additional financing to implement our business strategy, which includes:</w:t>
      </w:r>
    </w:p>
    <w:p>
      <w:pPr>
        <w:spacing w:after="0" w:line="173" w:lineRule="exact"/>
        <w:rPr>
          <w:sz w:val="20"/>
          <w:szCs w:val="20"/>
          <w:color w:val="auto"/>
        </w:rPr>
      </w:pPr>
    </w:p>
    <w:p>
      <w:pPr>
        <w:ind w:left="900" w:hanging="177"/>
        <w:spacing w:after="0"/>
        <w:tabs>
          <w:tab w:leader="none" w:pos="90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expansion of research and development;</w:t>
      </w:r>
    </w:p>
    <w:p>
      <w:pPr>
        <w:spacing w:after="0" w:line="207" w:lineRule="exact"/>
        <w:rPr>
          <w:rFonts w:ascii="Times New Roman" w:cs="Times New Roman" w:eastAsia="Times New Roman" w:hAnsi="Times New Roman"/>
          <w:sz w:val="20"/>
          <w:szCs w:val="20"/>
          <w:color w:val="auto"/>
        </w:rPr>
      </w:pPr>
    </w:p>
    <w:p>
      <w:pPr>
        <w:ind w:left="900" w:hanging="177"/>
        <w:spacing w:after="0"/>
        <w:tabs>
          <w:tab w:leader="none" w:pos="90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expansion of manufacturing capabilities;</w:t>
      </w:r>
    </w:p>
    <w:p>
      <w:pPr>
        <w:spacing w:after="0" w:line="216" w:lineRule="exact"/>
        <w:rPr>
          <w:rFonts w:ascii="Times New Roman" w:cs="Times New Roman" w:eastAsia="Times New Roman" w:hAnsi="Times New Roman"/>
          <w:sz w:val="20"/>
          <w:szCs w:val="20"/>
          <w:color w:val="auto"/>
        </w:rPr>
      </w:pPr>
    </w:p>
    <w:p>
      <w:pPr>
        <w:ind w:left="900" w:hanging="177"/>
        <w:spacing w:after="0"/>
        <w:tabs>
          <w:tab w:leader="none" w:pos="90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of any outstanding indebtedness;</w:t>
      </w:r>
    </w:p>
    <w:p>
      <w:pPr>
        <w:spacing w:after="0" w:line="207" w:lineRule="exact"/>
        <w:rPr>
          <w:rFonts w:ascii="Times New Roman" w:cs="Times New Roman" w:eastAsia="Times New Roman" w:hAnsi="Times New Roman"/>
          <w:sz w:val="20"/>
          <w:szCs w:val="20"/>
          <w:color w:val="auto"/>
        </w:rPr>
      </w:pPr>
    </w:p>
    <w:p>
      <w:pPr>
        <w:ind w:left="900" w:hanging="177"/>
        <w:spacing w:after="0"/>
        <w:tabs>
          <w:tab w:leader="none" w:pos="90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hiring of additional technical, sales and other personnel; and</w:t>
      </w:r>
    </w:p>
    <w:p>
      <w:pPr>
        <w:spacing w:after="0" w:line="209" w:lineRule="exact"/>
        <w:rPr>
          <w:rFonts w:ascii="Times New Roman" w:cs="Times New Roman" w:eastAsia="Times New Roman" w:hAnsi="Times New Roman"/>
          <w:sz w:val="20"/>
          <w:szCs w:val="20"/>
          <w:color w:val="auto"/>
        </w:rPr>
      </w:pPr>
    </w:p>
    <w:p>
      <w:pPr>
        <w:ind w:left="900" w:hanging="177"/>
        <w:spacing w:after="0"/>
        <w:tabs>
          <w:tab w:leader="none" w:pos="90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acquisitions of complementary businesses.</w:t>
      </w:r>
    </w:p>
    <w:p>
      <w:pPr>
        <w:spacing w:after="0" w:line="201" w:lineRule="exact"/>
        <w:rPr>
          <w:sz w:val="20"/>
          <w:szCs w:val="20"/>
          <w:color w:val="auto"/>
        </w:rPr>
      </w:pPr>
    </w:p>
    <w:p>
      <w:pPr>
        <w:ind w:firstLine="706"/>
        <w:spacing w:after="0" w:line="324" w:lineRule="auto"/>
        <w:rPr>
          <w:sz w:val="20"/>
          <w:szCs w:val="20"/>
          <w:color w:val="auto"/>
        </w:rPr>
      </w:pPr>
      <w:r>
        <w:rPr>
          <w:rFonts w:ascii="Times New Roman" w:cs="Times New Roman" w:eastAsia="Times New Roman" w:hAnsi="Times New Roman"/>
          <w:sz w:val="18"/>
          <w:szCs w:val="18"/>
          <w:color w:val="auto"/>
        </w:rPr>
        <w:t>If we raise additional funds through the issuance of our common stock or convertible securities, the ownership interests of our stockholders could be significantly diluted. These newly issued securities may have rights, preferences or privileges senior to those of</w:t>
      </w:r>
    </w:p>
    <w:p>
      <w:pPr>
        <w:sectPr>
          <w:pgSz w:w="11880" w:h="15480" w:orient="portrait"/>
          <w:cols w:equalWidth="0" w:num="1">
            <w:col w:w="10600"/>
          </w:cols>
          <w:pgMar w:left="640" w:top="407" w:right="640" w:bottom="0" w:gutter="0" w:footer="0" w:header="0"/>
        </w:sectPr>
      </w:pP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1880" w:h="15480" w:orient="portrait"/>
          <w:cols w:equalWidth="0" w:num="1">
            <w:col w:w="10600"/>
          </w:cols>
          <w:pgMar w:left="640" w:top="407" w:right="640" w:bottom="0" w:gutter="0" w:footer="0" w:header="0"/>
          <w:type w:val="continuous"/>
        </w:sectPr>
      </w:pPr>
    </w:p>
    <w:bookmarkStart w:id="26" w:name="page27"/>
    <w:bookmarkEnd w:id="26"/>
    <w:p>
      <w:pPr>
        <w:jc w:val="both"/>
        <w:spacing w:after="0" w:line="243" w:lineRule="auto"/>
        <w:rPr>
          <w:sz w:val="20"/>
          <w:szCs w:val="20"/>
          <w:color w:val="auto"/>
        </w:rPr>
      </w:pPr>
      <w:r>
        <w:rPr>
          <w:rFonts w:ascii="Times New Roman" w:cs="Times New Roman" w:eastAsia="Times New Roman" w:hAnsi="Times New Roman"/>
          <w:sz w:val="20"/>
          <w:szCs w:val="20"/>
          <w:color w:val="auto"/>
        </w:rPr>
        <w:t>existing stockholders. Additional financing may not, however, be available on terms favorable to us, or at all, if and when needed, and our ability to fund our operations, take advantage of unanticipated opportunities, develop or enhance our infrastructure or respond to competitive pressures could be significantly limited. If we cannot raise required capital when needed, we may be unable to meet the demands of existing and prospective customers, adversely affecting our sales and market opportunities and consequently our business,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Data Breaches and Network Infrastructures</w:t>
      </w:r>
    </w:p>
    <w:p>
      <w:pPr>
        <w:spacing w:after="0" w:line="2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b w:val="1"/>
          <w:bCs w:val="1"/>
          <w:i w:val="1"/>
          <w:iCs w:val="1"/>
          <w:color w:val="auto"/>
        </w:rPr>
        <w:t>Data breaches and cyberattacks could compromise our operations, our customers’ operations, or the operations of our contract manufacturers upon whom we rely, and cause significant damage to our business and reputation.</w:t>
      </w:r>
    </w:p>
    <w:p>
      <w:pPr>
        <w:spacing w:after="0" w:line="166" w:lineRule="exact"/>
        <w:rPr>
          <w:sz w:val="20"/>
          <w:szCs w:val="20"/>
          <w:color w:val="auto"/>
        </w:rPr>
      </w:pPr>
    </w:p>
    <w:p>
      <w:pPr>
        <w:jc w:val="both"/>
        <w:ind w:firstLine="706"/>
        <w:spacing w:after="0" w:line="243" w:lineRule="auto"/>
        <w:rPr>
          <w:sz w:val="20"/>
          <w:szCs w:val="20"/>
          <w:color w:val="auto"/>
        </w:rPr>
      </w:pPr>
      <w:r>
        <w:rPr>
          <w:rFonts w:ascii="Times New Roman" w:cs="Times New Roman" w:eastAsia="Times New Roman" w:hAnsi="Times New Roman"/>
          <w:sz w:val="20"/>
          <w:szCs w:val="20"/>
          <w:color w:val="auto"/>
        </w:rPr>
        <w:t>Cyberattacks have become more prevalent and much harder to detect and defend against. Companies, including companies in our industry, have been increasingly subject to a wide variety of security incidents, cyberattacks and other attempts to gain unauthorized access to their systems or to deny access and disrupt their systems and operations. These threats can come from a variety of sources, ranging in sophistication from an individual hacker to a state-sponsored attack. Cyber threats may be generic, or they may be custom-crafted against our information systems.</w:t>
      </w:r>
    </w:p>
    <w:p>
      <w:pPr>
        <w:spacing w:after="0" w:line="188" w:lineRule="exact"/>
        <w:rPr>
          <w:sz w:val="20"/>
          <w:szCs w:val="20"/>
          <w:color w:val="auto"/>
        </w:rPr>
      </w:pPr>
    </w:p>
    <w:p>
      <w:pPr>
        <w:jc w:val="both"/>
        <w:ind w:firstLine="706"/>
        <w:spacing w:after="0" w:line="243" w:lineRule="auto"/>
        <w:rPr>
          <w:sz w:val="20"/>
          <w:szCs w:val="20"/>
          <w:color w:val="auto"/>
        </w:rPr>
      </w:pPr>
      <w:r>
        <w:rPr>
          <w:rFonts w:ascii="Times New Roman" w:cs="Times New Roman" w:eastAsia="Times New Roman" w:hAnsi="Times New Roman"/>
          <w:sz w:val="20"/>
          <w:szCs w:val="20"/>
          <w:color w:val="auto"/>
        </w:rPr>
        <w:t>In the ordinary course of our business, we and our customers maintain sensitive data on our respective networks, including intellectual property, employee personal information and proprietary or confidential business information relating to our business and that of our customers and business partners. The secure maintenance of this information is critical to our business and reputation. Despite our implementation of network security measures, our network and storage applications have been subject to computer viruses, ransomware and other forms of cyber terrorism.</w:t>
      </w:r>
    </w:p>
    <w:p>
      <w:pPr>
        <w:spacing w:after="0" w:line="188" w:lineRule="exact"/>
        <w:rPr>
          <w:sz w:val="20"/>
          <w:szCs w:val="20"/>
          <w:color w:val="auto"/>
        </w:rPr>
      </w:pPr>
    </w:p>
    <w:p>
      <w:pPr>
        <w:jc w:val="both"/>
        <w:ind w:firstLine="706"/>
        <w:spacing w:after="0" w:line="237" w:lineRule="auto"/>
        <w:rPr>
          <w:sz w:val="20"/>
          <w:szCs w:val="20"/>
          <w:color w:val="auto"/>
        </w:rPr>
      </w:pPr>
      <w:r>
        <w:rPr>
          <w:rFonts w:ascii="Times New Roman" w:cs="Times New Roman" w:eastAsia="Times New Roman" w:hAnsi="Times New Roman"/>
          <w:sz w:val="20"/>
          <w:szCs w:val="20"/>
          <w:color w:val="auto"/>
        </w:rPr>
        <w:t>Also, despite our implementation of security measures, we are not able to guarantee that we can prevent unauthorized access by hackers or breaches due to operator error, malfeasance or other system disruptions. Our customers’ network and storage applications may be subject to similar disruptions. It is often difficult to anticipate or immediately detect such incidents and the damage caused by such incidents. Data breaches and any unauthorized access or disclosure of our information, employee information or intellectual property could compromise our business, trade secrets and other sensitive business information, any of which could result in legal action against us, exposure of our intellectual property to our competitors, damages, fines and other adverse effects. A data security breach could also lead to public exposure of personal information of our employees, customers and others. Any such theft, loss or misuse of personal data collected, used, stored or transferred by us to run our business could result in significantly increased security costs or costs related to defending legal claims. Cyberattacks, such as computer viruses or other forms of cyber terrorism, have disrupted access to some of our network or storage applications. In past incidents we have been able to recover quickly without material financial impact, however such disruptions in the future may result in delays or cancellations of customer orders or delays or additional costs to produce and ship our products. Data security breaches involving our data center customers could affect their financial condition and ability to continue to purchase our products. Further, cyberattacks may cause us to incur significant remediation costs, result in product development delays, disrupt key business operations and divert attention of management and key information technology resources. These incidents could also subject us to liability, expose us to significant expense and cause significant harm to our reputation and business.</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b w:val="1"/>
          <w:bCs w:val="1"/>
          <w:i w:val="1"/>
          <w:iCs w:val="1"/>
          <w:color w:val="auto"/>
        </w:rPr>
        <w:t>We may be subject to disruptions or failures in information technology systems and network infrastructures that could have a material adverse effect on our business and financial condition.</w:t>
      </w:r>
    </w:p>
    <w:p>
      <w:pPr>
        <w:spacing w:after="0" w:line="164" w:lineRule="exact"/>
        <w:rPr>
          <w:sz w:val="20"/>
          <w:szCs w:val="20"/>
          <w:color w:val="auto"/>
        </w:rPr>
      </w:pPr>
    </w:p>
    <w:p>
      <w:pPr>
        <w:jc w:val="both"/>
        <w:ind w:firstLine="706"/>
        <w:spacing w:after="0" w:line="265" w:lineRule="auto"/>
        <w:rPr>
          <w:sz w:val="20"/>
          <w:szCs w:val="20"/>
          <w:color w:val="auto"/>
        </w:rPr>
      </w:pPr>
      <w:r>
        <w:rPr>
          <w:rFonts w:ascii="Times New Roman" w:cs="Times New Roman" w:eastAsia="Times New Roman" w:hAnsi="Times New Roman"/>
          <w:sz w:val="18"/>
          <w:szCs w:val="18"/>
          <w:color w:val="auto"/>
        </w:rPr>
        <w:t>We rely on the efficient and uninterrupted operation of complex information technology systems and network infrastructures to operate our business. A disruption, infiltration or failure of our information technology systems as a result of software or hardware malfunctions, system implementations or upgrades, computer viruses, third-party security breaches, employee error, theft or misuse, malfeasance, power disruptions, natural disasters or accidents could cause a breach of data security, loss of intellectual property and critical data and the release and misappropriation of sensitive competitive information and partner, customer, and employee personal data. Any of these events could harm our competitive position, result in a loss of customer confidence, cause us to incur significant costs to remedy any damages and ultimately materially adversely affect our business and financial condition. To manage our growth and our increasingly complex business operations, we may need to upgrade systems and procedures, which requires management time and may result in significant additional expense. For example, we upgraded our enterprise resource planning system in fiscal 2025 in order to accommodate our expanding operations. We cannot be certain that we will institute, in a timely or efficient manner or at all, the improvements to our managerial, operational and financial systems and procedures necessary to support our anticipated increased levels of operations. Problems associated with, or disruptions resulting from, any improvement or expansion of our operational and financial systems could adversely affect our relationships with our suppliers, manufacturers, resellers and customers, inhibit our ability to expand or take advantage of market opportunities, cause harm to our reputation, result in errors in our financial and other reporting, and affect our ability to maintain an effective internal control environment and meet our external reporting obligations, any of which could harm our business and operating results and affect our stock price.</w:t>
      </w:r>
    </w:p>
    <w:p>
      <w:pPr>
        <w:sectPr>
          <w:pgSz w:w="11880" w:h="15480" w:orient="portrait"/>
          <w:cols w:equalWidth="0" w:num="1">
            <w:col w:w="10600"/>
          </w:cols>
          <w:pgMar w:left="640" w:top="410"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1880" w:h="15480" w:orient="portrait"/>
          <w:cols w:equalWidth="0" w:num="1">
            <w:col w:w="10600"/>
          </w:cols>
          <w:pgMar w:left="640" w:top="410" w:right="640" w:bottom="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20"/>
          <w:szCs w:val="20"/>
          <w:b w:val="1"/>
          <w:bCs w:val="1"/>
          <w:color w:val="auto"/>
        </w:rPr>
        <w:t>Risks Related to International Trade and Operations</w:t>
      </w:r>
    </w:p>
    <w:p>
      <w:pPr>
        <w:spacing w:after="0" w:line="2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b w:val="1"/>
          <w:bCs w:val="1"/>
          <w:i w:val="1"/>
          <w:iCs w:val="1"/>
          <w:color w:val="auto"/>
        </w:rPr>
        <w:t>Changes in U.S. and international trade policies, particularly regarding China, may materially and adversely impact our business and operating results.</w:t>
      </w:r>
    </w:p>
    <w:p>
      <w:pPr>
        <w:spacing w:after="0" w:line="166" w:lineRule="exact"/>
        <w:rPr>
          <w:sz w:val="20"/>
          <w:szCs w:val="20"/>
          <w:color w:val="auto"/>
        </w:rPr>
      </w:pPr>
    </w:p>
    <w:p>
      <w:pPr>
        <w:jc w:val="both"/>
        <w:ind w:firstLine="706"/>
        <w:spacing w:after="0" w:line="238" w:lineRule="auto"/>
        <w:rPr>
          <w:sz w:val="20"/>
          <w:szCs w:val="20"/>
          <w:color w:val="auto"/>
        </w:rPr>
      </w:pPr>
      <w:r>
        <w:rPr>
          <w:rFonts w:ascii="Times New Roman" w:cs="Times New Roman" w:eastAsia="Times New Roman" w:hAnsi="Times New Roman"/>
          <w:sz w:val="20"/>
          <w:szCs w:val="20"/>
          <w:color w:val="auto"/>
        </w:rPr>
        <w:t>The U.S. government has made statements and taken certain actions that have led and may lead to further changes to U.S. and international trade policies, including imposing additional tariffs on certain products manufactured abroad, with a specific focus on China. Since the beginning of 2018, increasing rhetoric coupled with legislative, administrative, or executive action, from several U.S. and foreign leaders has led to the imposition of increased tariffs on imports of certain materials and products. Five rounds of U.S. tariffs on imports from China (respectively the "U.S. Tariffs on China Imports") went into effect on July 2018, August 2018, September 2018, September 2019, and February 2020. In 2025, following an Executive order, all Chinese-origin products became subject to additional U.S. "Fentanyl" tariffs. "Reciprocal tariffs" were also implemented on Chinese and Taiwanese origin goods. The Chinese government has, in turn, issued reciprocal tariffs on U.S. goods. In February 2026, the U.S. Supreme Court held that that tariffs imposed under the IEEPA were unlawful. The U.S. government indicated that it may pursue additional or replacement tariffs under alternative legal authorities, including temporary measures under Section 122 of the Trade Act of 1974. In addition to country-specific tariffs, sectoral tariffs have come into effect targeting raw materials such as aluminum and rare earth minerals, as well as some finished and semifinished goods, such as semiconductors.</w:t>
      </w:r>
    </w:p>
    <w:p>
      <w:pPr>
        <w:spacing w:after="0" w:line="194" w:lineRule="exact"/>
        <w:rPr>
          <w:sz w:val="20"/>
          <w:szCs w:val="20"/>
          <w:color w:val="auto"/>
        </w:rPr>
      </w:pPr>
    </w:p>
    <w:p>
      <w:pPr>
        <w:jc w:val="both"/>
        <w:ind w:firstLine="706"/>
        <w:spacing w:after="0" w:line="273" w:lineRule="auto"/>
        <w:rPr>
          <w:sz w:val="20"/>
          <w:szCs w:val="20"/>
          <w:color w:val="auto"/>
        </w:rPr>
      </w:pPr>
      <w:r>
        <w:rPr>
          <w:rFonts w:ascii="Times New Roman" w:cs="Times New Roman" w:eastAsia="Times New Roman" w:hAnsi="Times New Roman"/>
          <w:sz w:val="18"/>
          <w:szCs w:val="18"/>
          <w:color w:val="auto"/>
        </w:rPr>
        <w:t>Due to rapid changes to U.S. import laws and applicable duties the Company faces a variety of import-related risk. Because of the political nature of U.S. trade policy, it is unknown whether and to what extent new tariffs (or other new laws or regulations) will be adopted, the duration of any existing punitive tariffs, or the effect of U.S. trade policy on the Company or our industry. A significant portion of our manufacturing operations are based in Ningbo, China; therefore, there could be material adverse effects on our business, financial condition, and/or cash flow if any new tariffs, legislation, regulations, or executive orders are implemented, or if existing trade agreements are renegotiated or if China or other affected countries take further retaliatory trade measures.</w:t>
      </w:r>
    </w:p>
    <w:p>
      <w:pPr>
        <w:spacing w:after="0" w:line="163" w:lineRule="exact"/>
        <w:rPr>
          <w:sz w:val="20"/>
          <w:szCs w:val="20"/>
          <w:color w:val="auto"/>
        </w:rPr>
      </w:pPr>
    </w:p>
    <w:p>
      <w:pPr>
        <w:jc w:val="both"/>
        <w:ind w:firstLine="706"/>
        <w:spacing w:after="0" w:line="251" w:lineRule="auto"/>
        <w:rPr>
          <w:sz w:val="20"/>
          <w:szCs w:val="20"/>
          <w:color w:val="auto"/>
        </w:rPr>
      </w:pPr>
      <w:r>
        <w:rPr>
          <w:rFonts w:ascii="Times New Roman" w:cs="Times New Roman" w:eastAsia="Times New Roman" w:hAnsi="Times New Roman"/>
          <w:sz w:val="20"/>
          <w:szCs w:val="20"/>
          <w:color w:val="auto"/>
        </w:rPr>
        <w:t>Furthermore, the implementation of tariffs both globally and between the U.S. and China specifically carries the risk of negatively impacting China’s overall economic condition, which could negatively affect our business. Bilateral tariffs could result in a decrease in the sales of our products to customers located in China or other customers selling to Chinese end users.</w:t>
      </w:r>
    </w:p>
    <w:p>
      <w:pPr>
        <w:spacing w:after="0" w:line="182" w:lineRule="exact"/>
        <w:rPr>
          <w:sz w:val="20"/>
          <w:szCs w:val="20"/>
          <w:color w:val="auto"/>
        </w:rPr>
      </w:pPr>
    </w:p>
    <w:p>
      <w:pPr>
        <w:jc w:val="both"/>
        <w:ind w:firstLine="706"/>
        <w:spacing w:after="0" w:line="250" w:lineRule="auto"/>
        <w:rPr>
          <w:sz w:val="20"/>
          <w:szCs w:val="20"/>
          <w:color w:val="auto"/>
        </w:rPr>
      </w:pPr>
      <w:r>
        <w:rPr>
          <w:rFonts w:ascii="Times New Roman" w:cs="Times New Roman" w:eastAsia="Times New Roman" w:hAnsi="Times New Roman"/>
          <w:sz w:val="20"/>
          <w:szCs w:val="20"/>
          <w:color w:val="auto"/>
        </w:rPr>
        <w:t>The Company's ability to export U.S.-made products is primarily subject to the jurisdiction of the Bureau of Industry and Security (BIS) of the U.S. Department of Commerce. Because the Company's focus on telecommunications products is a priority trade issue for BIS, the Company actively monitors licensing and export policy for our products.</w:t>
      </w:r>
    </w:p>
    <w:p>
      <w:pPr>
        <w:spacing w:after="0" w:line="182" w:lineRule="exact"/>
        <w:rPr>
          <w:sz w:val="20"/>
          <w:szCs w:val="20"/>
          <w:color w:val="auto"/>
        </w:rPr>
      </w:pPr>
    </w:p>
    <w:p>
      <w:pPr>
        <w:jc w:val="both"/>
        <w:ind w:firstLine="706"/>
        <w:spacing w:after="0" w:line="241" w:lineRule="auto"/>
        <w:rPr>
          <w:sz w:val="20"/>
          <w:szCs w:val="20"/>
          <w:color w:val="auto"/>
        </w:rPr>
      </w:pPr>
      <w:r>
        <w:rPr>
          <w:rFonts w:ascii="Times New Roman" w:cs="Times New Roman" w:eastAsia="Times New Roman" w:hAnsi="Times New Roman"/>
          <w:sz w:val="20"/>
          <w:szCs w:val="20"/>
          <w:color w:val="auto"/>
        </w:rPr>
        <w:t>Significant changes to existing international trade agreements could also lead to sourcing or logistics disruption resulting from import delays or the imposition of increased tariffs on our sourcing partners. For example, the Chinese government could require the use of local suppliers, compel companies that do business in China to partner with local companies, or otherwise provide additional government incentives or subsidies to government-backed local customers to buy from local suppliers. Changes in and responses to U.S. trade policy could reduce the competitiveness of our products and thus cause our sales and revenues to drop, which could materially and adversely impact our business and operations.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face a variety of risks associated with our international sales and operations.</w:t>
      </w:r>
    </w:p>
    <w:p>
      <w:pPr>
        <w:spacing w:after="0" w:line="218" w:lineRule="exact"/>
        <w:rPr>
          <w:sz w:val="20"/>
          <w:szCs w:val="20"/>
          <w:color w:val="auto"/>
        </w:rPr>
      </w:pPr>
    </w:p>
    <w:p>
      <w:pPr>
        <w:jc w:val="both"/>
        <w:ind w:firstLine="706"/>
        <w:spacing w:after="0" w:line="242" w:lineRule="auto"/>
        <w:rPr>
          <w:sz w:val="20"/>
          <w:szCs w:val="20"/>
          <w:color w:val="auto"/>
        </w:rPr>
      </w:pPr>
      <w:r>
        <w:rPr>
          <w:rFonts w:ascii="Times New Roman" w:cs="Times New Roman" w:eastAsia="Times New Roman" w:hAnsi="Times New Roman"/>
          <w:sz w:val="20"/>
          <w:szCs w:val="20"/>
          <w:color w:val="auto"/>
        </w:rPr>
        <w:t>Trade-related government actions by the U.S., China or other countries that impose barriers or restrictions that would impact our ability to sell or ship products to customers or potential customers may have a negative impact on our financial condition and operations. We cannot predict the actions government entities may take in this context and we may be unable to quickly or effectively react to government actions that restrict our ability to sell to certain customers or those in certain jurisdictions. Government actions that affect our customers' ability to sell products or access critical elements of their supply chains may result in a decreased demand for their products, which may consequently reduce their demand for our products.</w:t>
      </w:r>
    </w:p>
    <w:p>
      <w:pPr>
        <w:spacing w:after="0" w:line="18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Our international revenue and operations are subject to several material risks, including:</w:t>
      </w:r>
    </w:p>
    <w:p>
      <w:pPr>
        <w:spacing w:after="0" w:line="228" w:lineRule="exact"/>
        <w:rPr>
          <w:sz w:val="20"/>
          <w:szCs w:val="20"/>
          <w:color w:val="auto"/>
        </w:rPr>
      </w:pPr>
    </w:p>
    <w:p>
      <w:pPr>
        <w:ind w:left="1080" w:hanging="357"/>
        <w:spacing w:after="0"/>
        <w:tabs>
          <w:tab w:leader="none" w:pos="1080" w:val="left"/>
        </w:tabs>
        <w:numPr>
          <w:ilvl w:val="0"/>
          <w:numId w:val="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difficulties in staffing, managing and supporting operations in more than one country;</w:t>
      </w:r>
    </w:p>
    <w:p>
      <w:pPr>
        <w:spacing w:after="0" w:line="231" w:lineRule="exact"/>
        <w:rPr>
          <w:rFonts w:ascii="Times New Roman" w:cs="Times New Roman" w:eastAsia="Times New Roman" w:hAnsi="Times New Roman"/>
          <w:sz w:val="20"/>
          <w:szCs w:val="20"/>
          <w:b w:val="1"/>
          <w:bCs w:val="1"/>
          <w:color w:val="auto"/>
        </w:rPr>
      </w:pPr>
    </w:p>
    <w:p>
      <w:pPr>
        <w:ind w:left="1080" w:hanging="357"/>
        <w:spacing w:after="0"/>
        <w:tabs>
          <w:tab w:leader="none" w:pos="1080" w:val="left"/>
        </w:tabs>
        <w:numPr>
          <w:ilvl w:val="0"/>
          <w:numId w:val="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difficulties in enforcing agreements and collecting receivables through foreign legal systems;</w:t>
      </w:r>
    </w:p>
    <w:p>
      <w:pPr>
        <w:spacing w:after="0" w:line="231" w:lineRule="exact"/>
        <w:rPr>
          <w:rFonts w:ascii="Times New Roman" w:cs="Times New Roman" w:eastAsia="Times New Roman" w:hAnsi="Times New Roman"/>
          <w:sz w:val="20"/>
          <w:szCs w:val="20"/>
          <w:b w:val="1"/>
          <w:bCs w:val="1"/>
          <w:color w:val="auto"/>
        </w:rPr>
      </w:pPr>
    </w:p>
    <w:p>
      <w:pPr>
        <w:ind w:left="1080" w:hanging="357"/>
        <w:spacing w:after="0"/>
        <w:tabs>
          <w:tab w:leader="none" w:pos="108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fewer legal protections for intellectual property in foreign jurisdictions;</w:t>
      </w:r>
    </w:p>
    <w:p>
      <w:pPr>
        <w:spacing w:after="0" w:line="229" w:lineRule="exact"/>
        <w:rPr>
          <w:rFonts w:ascii="Times New Roman" w:cs="Times New Roman" w:eastAsia="Times New Roman" w:hAnsi="Times New Roman"/>
          <w:sz w:val="20"/>
          <w:szCs w:val="20"/>
          <w:color w:val="auto"/>
        </w:rPr>
      </w:pPr>
    </w:p>
    <w:p>
      <w:pPr>
        <w:ind w:left="1080" w:hanging="357"/>
        <w:spacing w:after="0" w:line="266" w:lineRule="auto"/>
        <w:tabs>
          <w:tab w:leader="none" w:pos="108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foreign and U.S. taxation issues and international trade barriers, including the adoption or expansion of governmental trade tariffs, export controls, and fluctuating changes to end-use and end-user rules;</w:t>
      </w:r>
    </w:p>
    <w:p>
      <w:pPr>
        <w:spacing w:after="0" w:line="176" w:lineRule="exact"/>
        <w:rPr>
          <w:rFonts w:ascii="Times New Roman" w:cs="Times New Roman" w:eastAsia="Times New Roman" w:hAnsi="Times New Roman"/>
          <w:sz w:val="20"/>
          <w:szCs w:val="20"/>
          <w:color w:val="auto"/>
        </w:rPr>
      </w:pPr>
    </w:p>
    <w:p>
      <w:pPr>
        <w:ind w:left="1080" w:hanging="357"/>
        <w:spacing w:after="0" w:line="266" w:lineRule="auto"/>
        <w:tabs>
          <w:tab w:leader="none" w:pos="108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difficulties in obtaining any necessary governmental authorizations for the export of our products to certain foreign jurisdictions;</w:t>
      </w:r>
    </w:p>
    <w:p>
      <w:pPr>
        <w:sectPr>
          <w:pgSz w:w="11880" w:h="15480" w:orient="portrait"/>
          <w:cols w:equalWidth="0" w:num="1">
            <w:col w:w="10600"/>
          </w:cols>
          <w:pgMar w:left="640" w:top="407" w:right="640" w:bottom="0" w:gutter="0" w:footer="0" w:header="0"/>
        </w:sect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1880" w:h="15480" w:orient="portrait"/>
          <w:cols w:equalWidth="0" w:num="1">
            <w:col w:w="10600"/>
          </w:cols>
          <w:pgMar w:left="640" w:top="407" w:right="640" w:bottom="0" w:gutter="0" w:footer="0" w:header="0"/>
          <w:type w:val="continuous"/>
        </w:sectPr>
      </w:pPr>
    </w:p>
    <w:bookmarkStart w:id="28" w:name="page29"/>
    <w:bookmarkEnd w:id="28"/>
    <w:p>
      <w:pPr>
        <w:ind w:left="1080" w:right="20" w:hanging="357"/>
        <w:spacing w:after="0" w:line="266" w:lineRule="auto"/>
        <w:tabs>
          <w:tab w:leader="none" w:pos="10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fluctuations in foreign economies including the impact of recessionary environments and inflation in the United States and other economies where we do business;</w:t>
      </w:r>
    </w:p>
    <w:p>
      <w:pPr>
        <w:spacing w:after="0" w:line="177" w:lineRule="exact"/>
        <w:rPr>
          <w:rFonts w:ascii="Times New Roman" w:cs="Times New Roman" w:eastAsia="Times New Roman" w:hAnsi="Times New Roman"/>
          <w:sz w:val="20"/>
          <w:szCs w:val="20"/>
          <w:color w:val="auto"/>
        </w:rPr>
      </w:pPr>
    </w:p>
    <w:p>
      <w:pPr>
        <w:ind w:left="1080" w:hanging="357"/>
        <w:spacing w:after="0" w:line="264" w:lineRule="auto"/>
        <w:tabs>
          <w:tab w:leader="none" w:pos="10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fluctuations in the value of foreign currencies and interest rates, including the impact of recessionary environments and inflation in the United States and other economies where we do business;</w:t>
      </w:r>
    </w:p>
    <w:p>
      <w:pPr>
        <w:spacing w:after="0" w:line="178" w:lineRule="exact"/>
        <w:rPr>
          <w:rFonts w:ascii="Times New Roman" w:cs="Times New Roman" w:eastAsia="Times New Roman" w:hAnsi="Times New Roman"/>
          <w:sz w:val="20"/>
          <w:szCs w:val="20"/>
          <w:color w:val="auto"/>
        </w:rPr>
      </w:pPr>
    </w:p>
    <w:p>
      <w:pPr>
        <w:ind w:left="1080" w:hanging="357"/>
        <w:spacing w:after="0"/>
        <w:tabs>
          <w:tab w:leader="none" w:pos="10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trade and travel restrictions;</w:t>
      </w:r>
    </w:p>
    <w:p>
      <w:pPr>
        <w:spacing w:after="0" w:line="231" w:lineRule="exact"/>
        <w:rPr>
          <w:rFonts w:ascii="Times New Roman" w:cs="Times New Roman" w:eastAsia="Times New Roman" w:hAnsi="Times New Roman"/>
          <w:sz w:val="20"/>
          <w:szCs w:val="20"/>
          <w:color w:val="auto"/>
        </w:rPr>
      </w:pPr>
    </w:p>
    <w:p>
      <w:pPr>
        <w:ind w:left="1080" w:hanging="357"/>
        <w:spacing w:after="0" w:line="266" w:lineRule="auto"/>
        <w:tabs>
          <w:tab w:leader="none" w:pos="10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domestic and international economic or political changes, hostilities and other disruptions in regions where we currently operate or may operate in the future;</w:t>
      </w:r>
    </w:p>
    <w:p>
      <w:pPr>
        <w:spacing w:after="0" w:line="177" w:lineRule="exact"/>
        <w:rPr>
          <w:rFonts w:ascii="Times New Roman" w:cs="Times New Roman" w:eastAsia="Times New Roman" w:hAnsi="Times New Roman"/>
          <w:sz w:val="20"/>
          <w:szCs w:val="20"/>
          <w:color w:val="auto"/>
        </w:rPr>
      </w:pPr>
    </w:p>
    <w:p>
      <w:pPr>
        <w:jc w:val="both"/>
        <w:ind w:left="1080" w:hanging="357"/>
        <w:spacing w:after="0" w:line="249" w:lineRule="auto"/>
        <w:tabs>
          <w:tab w:leader="none" w:pos="10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difficulties and increased expenses in complying with a variety of U.S. and foreign laws, regulations, and trade standards, including modifications of the U.S. import regime, the Foreign Corrupt Practices Act and various modifications by the BIS to export policy; and</w:t>
      </w:r>
    </w:p>
    <w:p>
      <w:pPr>
        <w:spacing w:after="0" w:line="194" w:lineRule="exact"/>
        <w:rPr>
          <w:rFonts w:ascii="Times New Roman" w:cs="Times New Roman" w:eastAsia="Times New Roman" w:hAnsi="Times New Roman"/>
          <w:sz w:val="20"/>
          <w:szCs w:val="20"/>
          <w:color w:val="auto"/>
        </w:rPr>
      </w:pPr>
    </w:p>
    <w:p>
      <w:pPr>
        <w:ind w:left="1080" w:right="20" w:hanging="357"/>
        <w:spacing w:after="0" w:line="266" w:lineRule="auto"/>
        <w:tabs>
          <w:tab w:leader="none" w:pos="10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different and changing legal and regulatory requirements in the jurisdictions we currently operate or may operate in the future.</w:t>
      </w:r>
    </w:p>
    <w:p>
      <w:pPr>
        <w:spacing w:after="0" w:line="171" w:lineRule="exact"/>
        <w:rPr>
          <w:sz w:val="20"/>
          <w:szCs w:val="20"/>
          <w:color w:val="auto"/>
        </w:rPr>
      </w:pPr>
    </w:p>
    <w:p>
      <w:pPr>
        <w:jc w:val="both"/>
        <w:ind w:firstLine="706"/>
        <w:spacing w:after="0" w:line="241" w:lineRule="auto"/>
        <w:rPr>
          <w:sz w:val="20"/>
          <w:szCs w:val="20"/>
          <w:color w:val="auto"/>
        </w:rPr>
      </w:pPr>
      <w:r>
        <w:rPr>
          <w:rFonts w:ascii="Times New Roman" w:cs="Times New Roman" w:eastAsia="Times New Roman" w:hAnsi="Times New Roman"/>
          <w:sz w:val="20"/>
          <w:szCs w:val="20"/>
          <w:color w:val="auto"/>
        </w:rPr>
        <w:t>Negative developments in any of these factors in China, Taiwan, the U.S., or other countries could result in a reduction in demand for our products, the cancellation or delay of orders already placed, difficulties in producing and delivering our products, threats to our intellectual property, difficulty in collecting receivables, and a higher cost of doing business. Although we maintain compliance programs throughout the Company, violations of U.S. and foreign laws and regulations may result in criminal or civil sanctions, including material monetary fines, penalties and other costs against us or our employees, and may have a material adverse effect on our business.</w:t>
      </w:r>
    </w:p>
    <w:p>
      <w:pPr>
        <w:spacing w:after="0" w:line="190" w:lineRule="exact"/>
        <w:rPr>
          <w:sz w:val="20"/>
          <w:szCs w:val="20"/>
          <w:color w:val="auto"/>
        </w:rPr>
      </w:pPr>
    </w:p>
    <w:p>
      <w:pPr>
        <w:jc w:val="both"/>
        <w:ind w:firstLine="706"/>
        <w:spacing w:after="0" w:line="277" w:lineRule="auto"/>
        <w:rPr>
          <w:sz w:val="20"/>
          <w:szCs w:val="20"/>
          <w:color w:val="auto"/>
        </w:rPr>
      </w:pPr>
      <w:r>
        <w:rPr>
          <w:rFonts w:ascii="Times New Roman" w:cs="Times New Roman" w:eastAsia="Times New Roman" w:hAnsi="Times New Roman"/>
          <w:sz w:val="18"/>
          <w:szCs w:val="18"/>
          <w:color w:val="auto"/>
        </w:rPr>
        <w:t>Our business operations conducted in China and Taiwan are important to our success. A substantial portion of our property, plants, and equipment is located in China and Taiwan. We expect to make further investments in Taiwan in the future. Therefore, our business, financial condition, results of operations and prospects are subject to economic, political, legal, and social events and developments in Asia. Factors affecting military, political or economic conditions between China and Taiwan could have a material adverse effect on our financial condition and results of operations, as well as the market price and the liquidity of our common shares.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Operations in China</w:t>
      </w:r>
    </w:p>
    <w:p>
      <w:pPr>
        <w:spacing w:after="0" w:line="225" w:lineRule="exact"/>
        <w:rPr>
          <w:sz w:val="20"/>
          <w:szCs w:val="20"/>
          <w:color w:val="auto"/>
        </w:rPr>
      </w:pPr>
    </w:p>
    <w:p>
      <w:pPr>
        <w:jc w:val="both"/>
        <w:ind w:firstLine="706"/>
        <w:spacing w:after="0" w:line="241" w:lineRule="auto"/>
        <w:rPr>
          <w:sz w:val="20"/>
          <w:szCs w:val="20"/>
          <w:color w:val="auto"/>
        </w:rPr>
      </w:pPr>
      <w:r>
        <w:rPr>
          <w:rFonts w:ascii="Times New Roman" w:cs="Times New Roman" w:eastAsia="Times New Roman" w:hAnsi="Times New Roman"/>
          <w:sz w:val="20"/>
          <w:szCs w:val="20"/>
          <w:color w:val="auto"/>
        </w:rPr>
        <w:t>Our business operations conducted in China are critical to our success. A total of $262.1 million, $111.8 million and $43.3 million or 57.5%, 44.8% and 19.9% of our revenue in the years ended December 31, 2025, 2024 and 2023 was attributable to our product manufactured at our plant in China, respectively. Additionally, a substantial portion of our property, plant and equipment, 42.8%, 46.9% and 43.0%, as of December 31, 2025, 2024 and 2023, was located in China, respectively. Therefore, our business, financial condition, results of operations and prospects are to a significant degree subject to economic, political, legal, and social events and developments in China.</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b w:val="1"/>
          <w:bCs w:val="1"/>
          <w:i w:val="1"/>
          <w:iCs w:val="1"/>
          <w:color w:val="auto"/>
        </w:rPr>
        <w:t>Adverse changes in economic and political policies in China, or Chinese laws or regulations could have a material adverse effect on business conditions and the overall economic growth of China, which could adversely affect our business.</w:t>
      </w:r>
    </w:p>
    <w:p>
      <w:pPr>
        <w:spacing w:after="0" w:line="164" w:lineRule="exact"/>
        <w:rPr>
          <w:sz w:val="20"/>
          <w:szCs w:val="20"/>
          <w:color w:val="auto"/>
        </w:rPr>
      </w:pPr>
    </w:p>
    <w:p>
      <w:pPr>
        <w:jc w:val="both"/>
        <w:ind w:firstLine="706"/>
        <w:spacing w:after="0" w:line="243" w:lineRule="auto"/>
        <w:rPr>
          <w:sz w:val="20"/>
          <w:szCs w:val="20"/>
          <w:color w:val="auto"/>
        </w:rPr>
      </w:pPr>
      <w:r>
        <w:rPr>
          <w:rFonts w:ascii="Times New Roman" w:cs="Times New Roman" w:eastAsia="Times New Roman" w:hAnsi="Times New Roman"/>
          <w:sz w:val="20"/>
          <w:szCs w:val="20"/>
          <w:color w:val="auto"/>
        </w:rPr>
        <w:t>The Chinese economy differs from the economies of most developed countries in many respects, including the level of government involvement, level of development, growth rate, control of foreign exchange and allocation of resources. The Chinese economy has been transitioning from a planned economy to a more market-oriented economy. Despite reforms, the government continues to exercise significant control over China’s economic growth by way of the allocation of resources, control over foreign currency-denominated obligations and monetary policy and provision of preferential treatment to particular industries or companies.</w:t>
      </w:r>
    </w:p>
    <w:p>
      <w:pPr>
        <w:spacing w:after="0" w:line="188" w:lineRule="exact"/>
        <w:rPr>
          <w:sz w:val="20"/>
          <w:szCs w:val="20"/>
          <w:color w:val="auto"/>
        </w:rPr>
      </w:pPr>
    </w:p>
    <w:p>
      <w:pPr>
        <w:jc w:val="both"/>
        <w:ind w:firstLine="706"/>
        <w:spacing w:after="0" w:line="241" w:lineRule="auto"/>
        <w:rPr>
          <w:sz w:val="20"/>
          <w:szCs w:val="20"/>
          <w:color w:val="auto"/>
        </w:rPr>
      </w:pPr>
      <w:r>
        <w:rPr>
          <w:rFonts w:ascii="Times New Roman" w:cs="Times New Roman" w:eastAsia="Times New Roman" w:hAnsi="Times New Roman"/>
          <w:sz w:val="20"/>
          <w:szCs w:val="20"/>
          <w:color w:val="auto"/>
        </w:rPr>
        <w:t>In addition, the laws, regulations and legal requirements in China, including the laws that apply to foreign-invested enterprises, or FIEs, are subject to frequent changes. The interpretation and enforcement of such laws is uncertain. Protections of intellectual property rights and confidentiality in China may not be as effective as in the U.S. or other countries or regions with more developed legal systems. Any litigation in China may be protracted and result in substantial costs and diversion of resources and management attention. Any adverse changes to these laws, regulations and legal requirements or their interpretation or enforcement could have a material adverse effect on our business.</w:t>
      </w:r>
    </w:p>
    <w:p>
      <w:pPr>
        <w:spacing w:after="0" w:line="193" w:lineRule="exact"/>
        <w:rPr>
          <w:sz w:val="20"/>
          <w:szCs w:val="20"/>
          <w:color w:val="auto"/>
        </w:rPr>
      </w:pPr>
    </w:p>
    <w:p>
      <w:pPr>
        <w:jc w:val="both"/>
        <w:ind w:firstLine="706"/>
        <w:spacing w:after="0" w:line="273" w:lineRule="auto"/>
        <w:rPr>
          <w:sz w:val="20"/>
          <w:szCs w:val="20"/>
          <w:color w:val="auto"/>
        </w:rPr>
      </w:pPr>
      <w:r>
        <w:rPr>
          <w:rFonts w:ascii="Times New Roman" w:cs="Times New Roman" w:eastAsia="Times New Roman" w:hAnsi="Times New Roman"/>
          <w:sz w:val="18"/>
          <w:szCs w:val="18"/>
          <w:color w:val="auto"/>
        </w:rPr>
        <w:t>Furthermore, while China’s economy has experienced rapid growth in the past 30 years, growth has been uneven across different regions, among various economic sectors and over time. China has also in the past and may in the future experience economic downturns due to, for example, government austerity measures, changes in government policies relating to capital spending, limitations placed on the ability of commercial banks to make loans, reduced levels of exports and international trade, inflation, lack of financial liquidity, stock market volatility and global economic conditions. Any of these developments could contribute to a decline in business and consumer spending in addition to other adverse market conditions, which could adversely affect our business.</w:t>
      </w:r>
    </w:p>
    <w:p>
      <w:pPr>
        <w:sectPr>
          <w:pgSz w:w="11880" w:h="15480" w:orient="portrait"/>
          <w:cols w:equalWidth="0" w:num="1">
            <w:col w:w="10600"/>
          </w:cols>
          <w:pgMar w:left="640" w:top="417" w:right="640" w:bottom="0" w:gutter="0" w:footer="0" w:header="0"/>
        </w:sect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1880" w:h="15480" w:orient="portrait"/>
          <w:cols w:equalWidth="0" w:num="1">
            <w:col w:w="10600"/>
          </w:cols>
          <w:pgMar w:left="640" w:top="417" w:right="640" w:bottom="0" w:gutter="0" w:footer="0" w:header="0"/>
          <w:type w:val="continuous"/>
        </w:sectPr>
      </w:pPr>
    </w:p>
    <w:bookmarkStart w:id="29" w:name="page30"/>
    <w:bookmarkEnd w:id="29"/>
    <w:p>
      <w:pPr>
        <w:jc w:val="both"/>
        <w:spacing w:after="0" w:line="266" w:lineRule="auto"/>
        <w:rPr>
          <w:sz w:val="20"/>
          <w:szCs w:val="20"/>
          <w:color w:val="auto"/>
        </w:rPr>
      </w:pPr>
      <w:r>
        <w:rPr>
          <w:rFonts w:ascii="Times New Roman" w:cs="Times New Roman" w:eastAsia="Times New Roman" w:hAnsi="Times New Roman"/>
          <w:sz w:val="20"/>
          <w:szCs w:val="20"/>
          <w:b w:val="1"/>
          <w:bCs w:val="1"/>
          <w:i w:val="1"/>
          <w:iCs w:val="1"/>
          <w:color w:val="auto"/>
        </w:rPr>
        <w:t>The turnover of direct labor in manufacturing industries in China is high, which could adversely affect our production, shipments and results of operations.</w:t>
      </w:r>
    </w:p>
    <w:p>
      <w:pPr>
        <w:spacing w:after="0" w:line="164" w:lineRule="exact"/>
        <w:rPr>
          <w:sz w:val="20"/>
          <w:szCs w:val="20"/>
          <w:color w:val="auto"/>
        </w:rPr>
      </w:pPr>
    </w:p>
    <w:p>
      <w:pPr>
        <w:jc w:val="both"/>
        <w:ind w:firstLine="706"/>
        <w:spacing w:after="0" w:line="243" w:lineRule="auto"/>
        <w:rPr>
          <w:sz w:val="20"/>
          <w:szCs w:val="20"/>
          <w:color w:val="auto"/>
        </w:rPr>
      </w:pPr>
      <w:r>
        <w:rPr>
          <w:rFonts w:ascii="Times New Roman" w:cs="Times New Roman" w:eastAsia="Times New Roman" w:hAnsi="Times New Roman"/>
          <w:sz w:val="20"/>
          <w:szCs w:val="20"/>
          <w:color w:val="auto"/>
        </w:rPr>
        <w:t>Employee turnover of direct labor in the manufacturing sector in China is extremely high and retention of such personnel is a challenge to companies located in or with operations in China. Although direct labor costs do not represent a high proportion of our overall manufacturing costs, direct labor is required for the manufacture of our products. If our direct labor turnover rates are higher than we expect, or we otherwise fail to adequately manage our direct labor turnover rates, then our results of operations could be adversely affected.</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b w:val="1"/>
          <w:bCs w:val="1"/>
          <w:i w:val="1"/>
          <w:iCs w:val="1"/>
          <w:color w:val="auto"/>
        </w:rPr>
        <w:t>Chinese regulation of loans to and direct investment by offshore holding companies in China entities may delay or prevent us from making loans or additional capital contributions to our China subsidiary.</w:t>
      </w:r>
    </w:p>
    <w:p>
      <w:pPr>
        <w:spacing w:after="0" w:line="166" w:lineRule="exact"/>
        <w:rPr>
          <w:sz w:val="20"/>
          <w:szCs w:val="20"/>
          <w:color w:val="auto"/>
        </w:rPr>
      </w:pPr>
    </w:p>
    <w:p>
      <w:pPr>
        <w:jc w:val="both"/>
        <w:ind w:firstLine="706"/>
        <w:spacing w:after="0" w:line="241" w:lineRule="auto"/>
        <w:rPr>
          <w:sz w:val="20"/>
          <w:szCs w:val="20"/>
          <w:color w:val="auto"/>
        </w:rPr>
      </w:pPr>
      <w:r>
        <w:rPr>
          <w:rFonts w:ascii="Times New Roman" w:cs="Times New Roman" w:eastAsia="Times New Roman" w:hAnsi="Times New Roman"/>
          <w:sz w:val="20"/>
          <w:szCs w:val="20"/>
          <w:color w:val="auto"/>
        </w:rPr>
        <w:t>Any loans that we wish to make to our China subsidiary are subject to Chinese regulations and approvals. For example, any loans to our China subsidiary to finance their activities cannot exceed statutory limits, must be registered with State Administration of Foreign Exchange, or SAFE, or its local counterpart, and must be approved by the relevant government authorities. Any capital contributions to our China subsidiary must be approved by the Ministry of Commerce or its local counterpart. In addition, under Circular 142, our China subsidiary, as a FIE, may not be able to convert our capital contributions to them into RMB for equity investments or acquisitions in China.</w:t>
      </w:r>
    </w:p>
    <w:p>
      <w:pPr>
        <w:spacing w:after="0" w:line="193" w:lineRule="exact"/>
        <w:rPr>
          <w:sz w:val="20"/>
          <w:szCs w:val="20"/>
          <w:color w:val="auto"/>
        </w:rPr>
      </w:pPr>
    </w:p>
    <w:p>
      <w:pPr>
        <w:jc w:val="both"/>
        <w:ind w:firstLine="706"/>
        <w:spacing w:after="0" w:line="245" w:lineRule="auto"/>
        <w:rPr>
          <w:sz w:val="20"/>
          <w:szCs w:val="20"/>
          <w:color w:val="auto"/>
        </w:rPr>
      </w:pPr>
      <w:r>
        <w:rPr>
          <w:rFonts w:ascii="Times New Roman" w:cs="Times New Roman" w:eastAsia="Times New Roman" w:hAnsi="Times New Roman"/>
          <w:sz w:val="20"/>
          <w:szCs w:val="20"/>
          <w:color w:val="auto"/>
        </w:rPr>
        <w:t>We cannot assure you that we will be able to obtain these government registrations or approvals on a timely basis, if at all, with respect to our future loans or capital contributions to our China subsidiary. If we fail to receive such registrations or approvals, our ability to capitalize our China subsidiary may be negatively affected, which could materially and adversely affect our liquidity and ability to fund and expand our business.</w:t>
      </w:r>
    </w:p>
    <w:p>
      <w:pPr>
        <w:spacing w:after="0" w:line="18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Our China subsidiary is subject to Chinese labor laws and regulations, and Chinese labor laws may increase our operating costs in China.</w:t>
      </w:r>
    </w:p>
    <w:p>
      <w:pPr>
        <w:spacing w:after="0" w:line="169" w:lineRule="exact"/>
        <w:rPr>
          <w:sz w:val="20"/>
          <w:szCs w:val="20"/>
          <w:color w:val="auto"/>
        </w:rPr>
      </w:pPr>
    </w:p>
    <w:p>
      <w:pPr>
        <w:jc w:val="both"/>
        <w:ind w:firstLine="706"/>
        <w:spacing w:after="0" w:line="238" w:lineRule="auto"/>
        <w:rPr>
          <w:sz w:val="20"/>
          <w:szCs w:val="20"/>
          <w:color w:val="auto"/>
        </w:rPr>
      </w:pPr>
      <w:r>
        <w:rPr>
          <w:rFonts w:ascii="Times New Roman" w:cs="Times New Roman" w:eastAsia="Times New Roman" w:hAnsi="Times New Roman"/>
          <w:sz w:val="20"/>
          <w:szCs w:val="20"/>
          <w:color w:val="auto"/>
        </w:rPr>
        <w:t>Chinese labor laws and regulations provide certain protections for our employees located in China, and changes to those labor laws and regulations may increase our costs and reduce our flexibility. The China Labor Contract Law, which went into effect in 2008, together with its implementing rules, provides increased rights to Chinese employees compared to prior employment laws in China. Under the rules under the China Labor Contract Law, the probation period varies depending on contract terms and the employment contract can only be terminated during the probation period for cause upon three days’ notice. Additionally, an employer may not be able to terminate a contract during the probation period on the grounds of a material change of circumstances or a mass layoff. The law also has specific provisions on conditions when an employer has to sign an employment contract with open-ended terms. If an employer fails to enter into an open-ended contract in certain circumstances, the employer must pay the employee twice their monthly wage beginning from the time the employer should have executed an open-ended contract. Additionally, an employer must pay severance for nearly all terminations, including when an employer decides not to renew a fixed-term contract. Any further changes to these laws may increase our costs and reduce our flexibility.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Intellectual Property Matters</w:t>
      </w:r>
    </w:p>
    <w:p>
      <w:pPr>
        <w:spacing w:after="0" w:line="22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If we fail to protect, or incur significant costs in defending, our intellectual property and other proprietary rights, our business and results of operations could be materially harmed.</w:t>
      </w:r>
    </w:p>
    <w:p>
      <w:pPr>
        <w:spacing w:after="0" w:line="169" w:lineRule="exact"/>
        <w:rPr>
          <w:sz w:val="20"/>
          <w:szCs w:val="20"/>
          <w:color w:val="auto"/>
        </w:rPr>
      </w:pPr>
    </w:p>
    <w:p>
      <w:pPr>
        <w:jc w:val="both"/>
        <w:ind w:firstLine="706"/>
        <w:spacing w:after="0" w:line="270" w:lineRule="auto"/>
        <w:rPr>
          <w:sz w:val="20"/>
          <w:szCs w:val="20"/>
          <w:color w:val="auto"/>
        </w:rPr>
      </w:pPr>
      <w:r>
        <w:rPr>
          <w:rFonts w:ascii="Times New Roman" w:cs="Times New Roman" w:eastAsia="Times New Roman" w:hAnsi="Times New Roman"/>
          <w:sz w:val="18"/>
          <w:szCs w:val="18"/>
          <w:color w:val="auto"/>
        </w:rPr>
        <w:t>Our success depends on our ability to protect our intellectual property and other proprietary rights. We rely on a combination of patent, trademark, copyright, trade secret and unfair competition laws, as well as license agreements and other contractual provisions, to establish and protect our intellectual property and other proprietary rights. We have applied for patents in the U.S. and in other foreign countries, some of which have been issued. In addition, we have registered certain trademarks in the U.S. We cannot guarantee that our pending applications will be approved by the applicable governmental authorities. Moreover, our existing and future patents and trademarks may not be sufficiently broad to protect our proprietary rights or may be held invalid or unenforceable in court. A failure to obtain patents or trademark registrations or a successful challenge to our patents and trademark registrations in the U.S. or other foreign countries may limit our ability to protect the intellectual property rights that these patent and trademark registrations intended to cover.</w:t>
      </w:r>
    </w:p>
    <w:p>
      <w:pPr>
        <w:spacing w:after="0" w:line="167" w:lineRule="exact"/>
        <w:rPr>
          <w:sz w:val="20"/>
          <w:szCs w:val="20"/>
          <w:color w:val="auto"/>
        </w:rPr>
      </w:pPr>
    </w:p>
    <w:p>
      <w:pPr>
        <w:jc w:val="both"/>
        <w:ind w:firstLine="706"/>
        <w:spacing w:after="0"/>
        <w:rPr>
          <w:sz w:val="20"/>
          <w:szCs w:val="20"/>
          <w:color w:val="auto"/>
        </w:rPr>
      </w:pPr>
      <w:r>
        <w:rPr>
          <w:rFonts w:ascii="Times New Roman" w:cs="Times New Roman" w:eastAsia="Times New Roman" w:hAnsi="Times New Roman"/>
          <w:sz w:val="20"/>
          <w:szCs w:val="20"/>
          <w:color w:val="auto"/>
        </w:rPr>
        <w:t>Policing unauthorized use of our technology is difficult and we cannot be certain that the steps we have taken will prevent the misappropriation, unauthorized use or other infringement of our intellectual property rights. Further, we may not be able to effectively protect our intellectual property rights from misappropriation or other infringement in foreign countries where we have not applied for patent protections and where effective patent, trademark, trade secret and other intellectual property laws may be unavailable, or may not protect our proprietary rights as fully as U.S. law. We may seek to secure comparable intellectual property protections in other countries. However, the level of protection afforded by patent and other laws in other countries may not be comparable to that afforded in the U.S.</w:t>
      </w:r>
    </w:p>
    <w:p>
      <w:pPr>
        <w:spacing w:after="0" w:line="192" w:lineRule="exact"/>
        <w:rPr>
          <w:sz w:val="20"/>
          <w:szCs w:val="20"/>
          <w:color w:val="auto"/>
        </w:rPr>
      </w:pPr>
    </w:p>
    <w:p>
      <w:pPr>
        <w:jc w:val="both"/>
        <w:ind w:firstLine="706"/>
        <w:spacing w:after="0" w:line="324" w:lineRule="auto"/>
        <w:rPr>
          <w:sz w:val="20"/>
          <w:szCs w:val="20"/>
          <w:color w:val="auto"/>
        </w:rPr>
      </w:pPr>
      <w:r>
        <w:rPr>
          <w:rFonts w:ascii="Times New Roman" w:cs="Times New Roman" w:eastAsia="Times New Roman" w:hAnsi="Times New Roman"/>
          <w:sz w:val="18"/>
          <w:szCs w:val="18"/>
          <w:color w:val="auto"/>
        </w:rPr>
        <w:t>We also attempt to protect our intellectual property, including our trade secrets and know-how, through the use of trade secret and other intellectual property laws, and contractual provisions. We enter into confidentiality and invention assignment agreements with</w:t>
      </w:r>
    </w:p>
    <w:p>
      <w:pPr>
        <w:sectPr>
          <w:pgSz w:w="11880" w:h="15480" w:orient="portrait"/>
          <w:cols w:equalWidth="0" w:num="1">
            <w:col w:w="10600"/>
          </w:cols>
          <w:pgMar w:left="640" w:top="412" w:right="640" w:bottom="0" w:gutter="0" w:footer="0" w:header="0"/>
        </w:sectPr>
      </w:pP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1880" w:h="15480" w:orient="portrait"/>
          <w:cols w:equalWidth="0" w:num="1">
            <w:col w:w="10600"/>
          </w:cols>
          <w:pgMar w:left="640" w:top="412" w:right="640" w:bottom="0" w:gutter="0" w:footer="0" w:header="0"/>
          <w:type w:val="continuous"/>
        </w:sectPr>
      </w:pPr>
    </w:p>
    <w:bookmarkStart w:id="30" w:name="page31"/>
    <w:bookmarkEnd w:id="30"/>
    <w:p>
      <w:pPr>
        <w:jc w:val="both"/>
        <w:spacing w:after="0" w:line="239" w:lineRule="auto"/>
        <w:rPr>
          <w:sz w:val="20"/>
          <w:szCs w:val="20"/>
          <w:color w:val="auto"/>
        </w:rPr>
      </w:pPr>
      <w:r>
        <w:rPr>
          <w:rFonts w:ascii="Times New Roman" w:cs="Times New Roman" w:eastAsia="Times New Roman" w:hAnsi="Times New Roman"/>
          <w:sz w:val="20"/>
          <w:szCs w:val="20"/>
          <w:color w:val="auto"/>
        </w:rPr>
        <w:t>our employees and independent consultants. We also use non-disclosure agreements with other third parties who may have access to our proprietary technologies and information. Such measures, however, provide only limited protection, and there can be no assurance that our confidentiality and non-disclosure agreements will not be breached, especially after our employees end their employment, and that our trade secrets will not otherwise become known by competitors or that we will have adequate remedies in the event of unauthorized use or disclosure of proprietary information. Unauthorized third parties may try to copy or reverse engineer our products or portions of our products, otherwise obtain and use our intellectual property, or may independently develop similar or equivalent trade secrets or know-how. If we fail to protect our intellectual property and other proprietary rights, or if such intellectual property and proprietary rights are infringed, misappropriated or duplicated, our business, results of operations or financial condition could be materially harmed.</w:t>
      </w:r>
    </w:p>
    <w:p>
      <w:pPr>
        <w:spacing w:after="0" w:line="192" w:lineRule="exact"/>
        <w:rPr>
          <w:sz w:val="20"/>
          <w:szCs w:val="20"/>
          <w:color w:val="auto"/>
        </w:rPr>
      </w:pPr>
    </w:p>
    <w:p>
      <w:pPr>
        <w:jc w:val="both"/>
        <w:ind w:firstLine="706"/>
        <w:spacing w:after="0" w:line="243" w:lineRule="auto"/>
        <w:rPr>
          <w:sz w:val="20"/>
          <w:szCs w:val="20"/>
          <w:color w:val="auto"/>
        </w:rPr>
      </w:pPr>
      <w:r>
        <w:rPr>
          <w:rFonts w:ascii="Times New Roman" w:cs="Times New Roman" w:eastAsia="Times New Roman" w:hAnsi="Times New Roman"/>
          <w:sz w:val="20"/>
          <w:szCs w:val="20"/>
          <w:color w:val="auto"/>
        </w:rPr>
        <w:t>We have taken legal actions to prevent third parties from infringing upon or misappropriating our intellectual property or from otherwise gaining access to our technology. Protecting and enforcing our intellectual property rights and determining their validity and scope could result in significant litigation costs and require significant time and attention from our technical and management personnel, which could significantly harm our business. We may not prevail in such proceedings, and an adverse outcome may adversely impact our competitive advantage or otherwise harm our financial condition and our business.</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b w:val="1"/>
          <w:bCs w:val="1"/>
          <w:i w:val="1"/>
          <w:iCs w:val="1"/>
          <w:color w:val="auto"/>
        </w:rPr>
        <w:t>We may be involved in intellectual property disputes in the future, which could divert management’s attention, cause us to incur significant costs and prevent us from selling or using the challenged technology.</w:t>
      </w:r>
    </w:p>
    <w:p>
      <w:pPr>
        <w:spacing w:after="0" w:line="166" w:lineRule="exact"/>
        <w:rPr>
          <w:sz w:val="20"/>
          <w:szCs w:val="20"/>
          <w:color w:val="auto"/>
        </w:rPr>
      </w:pPr>
    </w:p>
    <w:p>
      <w:pPr>
        <w:jc w:val="both"/>
        <w:ind w:firstLine="706"/>
        <w:spacing w:after="0"/>
        <w:rPr>
          <w:sz w:val="20"/>
          <w:szCs w:val="20"/>
          <w:color w:val="auto"/>
        </w:rPr>
      </w:pPr>
      <w:r>
        <w:rPr>
          <w:rFonts w:ascii="Times New Roman" w:cs="Times New Roman" w:eastAsia="Times New Roman" w:hAnsi="Times New Roman"/>
          <w:sz w:val="20"/>
          <w:szCs w:val="20"/>
          <w:color w:val="auto"/>
        </w:rPr>
        <w:t>Participants in the markets in which we sell our products have experienced frequent litigation regarding patent and other intellectual property rights. While we have a policy in place that is designed to reduce the risk of infringement of intellectual property rights of others and we have conducted a limited review of other companies’ relevant patents, there can be no assurance that third parties will not assert infringement claims against us. We cannot be certain that our products would not be found infringing on the intellectual property rights of others. Regardless of their merit, responding to such claims can be time consuming, divert management’s attention and resources and may cause us to incur significant expenses. Intellectual property claims against us could force us to do one or more of the following:</w:t>
      </w:r>
    </w:p>
    <w:p>
      <w:pPr>
        <w:spacing w:after="0" w:line="198" w:lineRule="exact"/>
        <w:rPr>
          <w:sz w:val="20"/>
          <w:szCs w:val="20"/>
          <w:color w:val="auto"/>
        </w:rPr>
      </w:pPr>
    </w:p>
    <w:p>
      <w:pPr>
        <w:ind w:left="1080" w:hanging="357"/>
        <w:spacing w:after="0" w:line="266" w:lineRule="auto"/>
        <w:tabs>
          <w:tab w:leader="none" w:pos="108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 from a third party claiming infringement a license to the relevant technology, which may not be available on reasonable terms, or at all;</w:t>
      </w:r>
    </w:p>
    <w:p>
      <w:pPr>
        <w:spacing w:after="0" w:line="177" w:lineRule="exact"/>
        <w:rPr>
          <w:rFonts w:ascii="Times New Roman" w:cs="Times New Roman" w:eastAsia="Times New Roman" w:hAnsi="Times New Roman"/>
          <w:sz w:val="20"/>
          <w:szCs w:val="20"/>
          <w:color w:val="auto"/>
        </w:rPr>
      </w:pPr>
    </w:p>
    <w:p>
      <w:pPr>
        <w:ind w:left="1080" w:hanging="357"/>
        <w:spacing w:after="0"/>
        <w:tabs>
          <w:tab w:leader="none" w:pos="108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stop manufacturing, selling, incorporating or using our products that use the challenged intellectual property;</w:t>
      </w:r>
    </w:p>
    <w:p>
      <w:pPr>
        <w:spacing w:after="0" w:line="231" w:lineRule="exact"/>
        <w:rPr>
          <w:rFonts w:ascii="Times New Roman" w:cs="Times New Roman" w:eastAsia="Times New Roman" w:hAnsi="Times New Roman"/>
          <w:sz w:val="20"/>
          <w:szCs w:val="20"/>
          <w:color w:val="auto"/>
        </w:rPr>
      </w:pPr>
    </w:p>
    <w:p>
      <w:pPr>
        <w:ind w:left="1080" w:hanging="357"/>
        <w:spacing w:after="0"/>
        <w:tabs>
          <w:tab w:leader="none" w:pos="108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 substantial monetary damages; or</w:t>
      </w:r>
    </w:p>
    <w:p>
      <w:pPr>
        <w:spacing w:after="0" w:line="229" w:lineRule="exact"/>
        <w:rPr>
          <w:rFonts w:ascii="Times New Roman" w:cs="Times New Roman" w:eastAsia="Times New Roman" w:hAnsi="Times New Roman"/>
          <w:sz w:val="20"/>
          <w:szCs w:val="20"/>
          <w:color w:val="auto"/>
        </w:rPr>
      </w:pPr>
    </w:p>
    <w:p>
      <w:pPr>
        <w:ind w:left="1080" w:hanging="357"/>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 significant resources to redesign the products that use the technology and to develop non-infringing technology.</w:t>
      </w:r>
    </w:p>
    <w:p>
      <w:pPr>
        <w:spacing w:after="0" w:line="24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Any of these actions could result in a substantial reduction in our revenue and could result in losses over an extended period of time.</w:t>
      </w:r>
    </w:p>
    <w:p>
      <w:pPr>
        <w:spacing w:after="0" w:line="233" w:lineRule="exact"/>
        <w:rPr>
          <w:sz w:val="20"/>
          <w:szCs w:val="20"/>
          <w:color w:val="auto"/>
        </w:rPr>
      </w:pPr>
    </w:p>
    <w:p>
      <w:pPr>
        <w:jc w:val="both"/>
        <w:ind w:firstLine="706"/>
        <w:spacing w:after="0" w:line="243" w:lineRule="auto"/>
        <w:rPr>
          <w:sz w:val="20"/>
          <w:szCs w:val="20"/>
          <w:color w:val="auto"/>
        </w:rPr>
      </w:pPr>
      <w:r>
        <w:rPr>
          <w:rFonts w:ascii="Times New Roman" w:cs="Times New Roman" w:eastAsia="Times New Roman" w:hAnsi="Times New Roman"/>
          <w:sz w:val="20"/>
          <w:szCs w:val="20"/>
          <w:color w:val="auto"/>
        </w:rPr>
        <w:t>In any potential intellectual property dispute, our customers could also become the target of litigation. Because we often indemnify our customers for intellectual property claims made against them with respect to our products, any claims against our customers could trigger indemnification claims against us. These obligations could result in substantial expenses such as legal expenses, damages for past infringement or royalties for future use. Any indemnity claim could also adversely affect our relationships with our customers and result in substantial costs to 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Common Stock</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stock price has been and is likely to be volatile.</w:t>
      </w:r>
    </w:p>
    <w:p>
      <w:pPr>
        <w:spacing w:after="0" w:line="218" w:lineRule="exact"/>
        <w:rPr>
          <w:sz w:val="20"/>
          <w:szCs w:val="20"/>
          <w:color w:val="auto"/>
        </w:rPr>
      </w:pPr>
    </w:p>
    <w:p>
      <w:pPr>
        <w:jc w:val="both"/>
        <w:ind w:firstLine="706"/>
        <w:spacing w:after="0" w:line="243" w:lineRule="auto"/>
        <w:rPr>
          <w:sz w:val="20"/>
          <w:szCs w:val="20"/>
          <w:color w:val="auto"/>
        </w:rPr>
      </w:pPr>
      <w:r>
        <w:rPr>
          <w:rFonts w:ascii="Times New Roman" w:cs="Times New Roman" w:eastAsia="Times New Roman" w:hAnsi="Times New Roman"/>
          <w:sz w:val="20"/>
          <w:szCs w:val="20"/>
          <w:color w:val="auto"/>
        </w:rPr>
        <w:t>The market price of our common stock has been and is likely to be subject to wide fluctuations in response to, among other things, the risk factors described in this section of this Form 10- K, and other factors beyond our control, such as fluctuations in the valuation of companies perceived by investors to be comparable to us. For example, announcements made by competitors regarding factors influencing their business may cause fluctuations in the valuation of companies throughout our industry, including fluctuations in the valuation of our stock.</w:t>
      </w:r>
    </w:p>
    <w:p>
      <w:pPr>
        <w:spacing w:after="0" w:line="188" w:lineRule="exact"/>
        <w:rPr>
          <w:sz w:val="20"/>
          <w:szCs w:val="20"/>
          <w:color w:val="auto"/>
        </w:rPr>
      </w:pPr>
    </w:p>
    <w:p>
      <w:pPr>
        <w:jc w:val="both"/>
        <w:ind w:firstLine="706"/>
        <w:spacing w:after="0" w:line="243" w:lineRule="auto"/>
        <w:rPr>
          <w:sz w:val="20"/>
          <w:szCs w:val="20"/>
          <w:color w:val="auto"/>
        </w:rPr>
      </w:pPr>
      <w:r>
        <w:rPr>
          <w:rFonts w:ascii="Times New Roman" w:cs="Times New Roman" w:eastAsia="Times New Roman" w:hAnsi="Times New Roman"/>
          <w:sz w:val="20"/>
          <w:szCs w:val="20"/>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w:t>
      </w:r>
    </w:p>
    <w:p>
      <w:pPr>
        <w:spacing w:after="0" w:line="188" w:lineRule="exact"/>
        <w:rPr>
          <w:sz w:val="20"/>
          <w:szCs w:val="20"/>
          <w:color w:val="auto"/>
        </w:rPr>
      </w:pPr>
    </w:p>
    <w:p>
      <w:pPr>
        <w:jc w:val="both"/>
        <w:ind w:firstLine="706"/>
        <w:spacing w:after="0" w:line="268" w:lineRule="auto"/>
        <w:rPr>
          <w:sz w:val="20"/>
          <w:szCs w:val="20"/>
          <w:color w:val="auto"/>
        </w:rPr>
      </w:pPr>
      <w:r>
        <w:rPr>
          <w:rFonts w:ascii="Times New Roman" w:cs="Times New Roman" w:eastAsia="Times New Roman" w:hAnsi="Times New Roman"/>
          <w:sz w:val="20"/>
          <w:szCs w:val="20"/>
          <w:color w:val="auto"/>
        </w:rPr>
        <w:t>In the past, many companies that have experienced volatility in the market price of their stock have been subject to securities class action litigation. We have been and may become the target of this type of litigation in the future.</w:t>
      </w:r>
    </w:p>
    <w:p>
      <w:pPr>
        <w:sectPr>
          <w:pgSz w:w="11880" w:h="15480" w:orient="portrait"/>
          <w:cols w:equalWidth="0" w:num="1">
            <w:col w:w="10600"/>
          </w:cols>
          <w:pgMar w:left="640" w:top="410" w:right="640" w:bottom="0" w:gutter="0" w:footer="0" w:header="0"/>
        </w:sect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1880" w:h="15480" w:orient="portrait"/>
          <w:cols w:equalWidth="0" w:num="1">
            <w:col w:w="10600"/>
          </w:cols>
          <w:pgMar w:left="640" w:top="410" w:right="640" w:bottom="0" w:gutter="0" w:footer="0" w:header="0"/>
          <w:type w:val="continuous"/>
        </w:sectPr>
      </w:pPr>
    </w:p>
    <w:bookmarkStart w:id="31" w:name="page32"/>
    <w:bookmarkEnd w:id="31"/>
    <w:p>
      <w:pPr>
        <w:jc w:val="both"/>
        <w:spacing w:after="0" w:line="266" w:lineRule="auto"/>
        <w:rPr>
          <w:sz w:val="20"/>
          <w:szCs w:val="20"/>
          <w:color w:val="auto"/>
        </w:rPr>
      </w:pPr>
      <w:r>
        <w:rPr>
          <w:rFonts w:ascii="Times New Roman" w:cs="Times New Roman" w:eastAsia="Times New Roman" w:hAnsi="Times New Roman"/>
          <w:sz w:val="20"/>
          <w:szCs w:val="20"/>
          <w:b w:val="1"/>
          <w:bCs w:val="1"/>
          <w:i w:val="1"/>
          <w:iCs w:val="1"/>
          <w:color w:val="auto"/>
        </w:rPr>
        <w:t>Our charter documents, stock incentive plans and Delaware law could prevent a takeover that stockholders consider favorable and could also reduce the market price of our stock.</w:t>
      </w:r>
    </w:p>
    <w:p>
      <w:pPr>
        <w:spacing w:after="0" w:line="164" w:lineRule="exact"/>
        <w:rPr>
          <w:sz w:val="20"/>
          <w:szCs w:val="20"/>
          <w:color w:val="auto"/>
        </w:rPr>
      </w:pPr>
    </w:p>
    <w:p>
      <w:pPr>
        <w:jc w:val="both"/>
        <w:ind w:firstLine="706"/>
        <w:spacing w:after="0" w:line="251" w:lineRule="auto"/>
        <w:rPr>
          <w:sz w:val="20"/>
          <w:szCs w:val="20"/>
          <w:color w:val="auto"/>
        </w:rPr>
      </w:pPr>
      <w:r>
        <w:rPr>
          <w:rFonts w:ascii="Times New Roman" w:cs="Times New Roman" w:eastAsia="Times New Roman" w:hAnsi="Times New Roman"/>
          <w:sz w:val="20"/>
          <w:szCs w:val="20"/>
          <w:color w:val="auto"/>
        </w:rPr>
        <w:t>Our Restated Certificate of Incorporation and our Amended and Restated Bylaws and our stock incentive plans contain provisions that could delay or prevent a change in control of our company. These provisions could also make it more difficult for stockholders to elect directors and take other corporate actions. These provisions include:</w:t>
      </w:r>
    </w:p>
    <w:p>
      <w:pPr>
        <w:spacing w:after="0" w:line="164" w:lineRule="exact"/>
        <w:rPr>
          <w:sz w:val="20"/>
          <w:szCs w:val="20"/>
          <w:color w:val="auto"/>
        </w:rPr>
      </w:pPr>
    </w:p>
    <w:p>
      <w:pPr>
        <w:ind w:left="1080" w:hanging="357"/>
        <w:spacing w:after="0"/>
        <w:tabs>
          <w:tab w:leader="none" w:pos="1080" w:val="left"/>
        </w:tabs>
        <w:numPr>
          <w:ilvl w:val="0"/>
          <w:numId w:val="3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providing for a classified board of directors with staggered, three-year terms;</w:t>
      </w:r>
    </w:p>
    <w:p>
      <w:pPr>
        <w:spacing w:after="0" w:line="207" w:lineRule="exact"/>
        <w:rPr>
          <w:rFonts w:ascii="Times New Roman" w:cs="Times New Roman" w:eastAsia="Times New Roman" w:hAnsi="Times New Roman"/>
          <w:sz w:val="20"/>
          <w:szCs w:val="20"/>
          <w:b w:val="1"/>
          <w:bCs w:val="1"/>
          <w:color w:val="auto"/>
        </w:rPr>
      </w:pPr>
    </w:p>
    <w:p>
      <w:pPr>
        <w:ind w:left="1080" w:hanging="357"/>
        <w:spacing w:after="0"/>
        <w:tabs>
          <w:tab w:leader="none" w:pos="1080" w:val="left"/>
        </w:tabs>
        <w:numPr>
          <w:ilvl w:val="0"/>
          <w:numId w:val="3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not providing for cumulative voting in the election of directors;</w:t>
      </w:r>
    </w:p>
    <w:p>
      <w:pPr>
        <w:spacing w:after="0" w:line="209" w:lineRule="exact"/>
        <w:rPr>
          <w:rFonts w:ascii="Times New Roman" w:cs="Times New Roman" w:eastAsia="Times New Roman" w:hAnsi="Times New Roman"/>
          <w:sz w:val="20"/>
          <w:szCs w:val="20"/>
          <w:b w:val="1"/>
          <w:bCs w:val="1"/>
          <w:color w:val="auto"/>
        </w:rPr>
      </w:pPr>
    </w:p>
    <w:p>
      <w:pPr>
        <w:ind w:left="1080" w:hanging="357"/>
        <w:spacing w:after="0" w:line="264" w:lineRule="auto"/>
        <w:tabs>
          <w:tab w:leader="none" w:pos="108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authorizing our board of directors to issue, without stockholder approval, preferred stock rights senior to those of common stock;</w:t>
      </w:r>
    </w:p>
    <w:p>
      <w:pPr>
        <w:spacing w:after="0" w:line="157" w:lineRule="exact"/>
        <w:rPr>
          <w:rFonts w:ascii="Times New Roman" w:cs="Times New Roman" w:eastAsia="Times New Roman" w:hAnsi="Times New Roman"/>
          <w:sz w:val="20"/>
          <w:szCs w:val="20"/>
          <w:color w:val="auto"/>
        </w:rPr>
      </w:pPr>
    </w:p>
    <w:p>
      <w:pPr>
        <w:ind w:left="1080" w:hanging="357"/>
        <w:spacing w:after="0"/>
        <w:tabs>
          <w:tab w:leader="none" w:pos="108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prohibiting stockholder action by written consent;</w:t>
      </w:r>
    </w:p>
    <w:p>
      <w:pPr>
        <w:spacing w:after="0" w:line="207" w:lineRule="exact"/>
        <w:rPr>
          <w:rFonts w:ascii="Times New Roman" w:cs="Times New Roman" w:eastAsia="Times New Roman" w:hAnsi="Times New Roman"/>
          <w:sz w:val="20"/>
          <w:szCs w:val="20"/>
          <w:color w:val="auto"/>
        </w:rPr>
      </w:pPr>
    </w:p>
    <w:p>
      <w:pPr>
        <w:ind w:left="1080" w:hanging="357"/>
        <w:spacing w:after="0"/>
        <w:tabs>
          <w:tab w:leader="none" w:pos="108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limiting the persons who may call special meetings of stockholders;</w:t>
      </w:r>
    </w:p>
    <w:p>
      <w:pPr>
        <w:spacing w:after="0" w:line="207" w:lineRule="exact"/>
        <w:rPr>
          <w:rFonts w:ascii="Times New Roman" w:cs="Times New Roman" w:eastAsia="Times New Roman" w:hAnsi="Times New Roman"/>
          <w:sz w:val="20"/>
          <w:szCs w:val="20"/>
          <w:color w:val="auto"/>
        </w:rPr>
      </w:pPr>
    </w:p>
    <w:p>
      <w:pPr>
        <w:ind w:left="1080" w:hanging="357"/>
        <w:spacing w:after="0"/>
        <w:tabs>
          <w:tab w:leader="none" w:pos="108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requiring advance notification of stockholder nominations and proposals; and</w:t>
      </w:r>
    </w:p>
    <w:p>
      <w:pPr>
        <w:spacing w:after="0" w:line="207" w:lineRule="exact"/>
        <w:rPr>
          <w:rFonts w:ascii="Times New Roman" w:cs="Times New Roman" w:eastAsia="Times New Roman" w:hAnsi="Times New Roman"/>
          <w:sz w:val="20"/>
          <w:szCs w:val="20"/>
          <w:color w:val="auto"/>
        </w:rPr>
      </w:pPr>
    </w:p>
    <w:p>
      <w:pPr>
        <w:ind w:left="1080" w:hanging="357"/>
        <w:spacing w:after="0" w:line="266" w:lineRule="auto"/>
        <w:tabs>
          <w:tab w:leader="none" w:pos="108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 of control provisions in our stock incentive plans, and the individual stock option agreements, which provide that a change of control may accelerate the vesting of the stock options and equity awards issued under such plans.</w:t>
      </w:r>
    </w:p>
    <w:p>
      <w:pPr>
        <w:spacing w:after="0" w:line="147" w:lineRule="exact"/>
        <w:rPr>
          <w:sz w:val="20"/>
          <w:szCs w:val="20"/>
          <w:color w:val="auto"/>
        </w:rPr>
      </w:pPr>
    </w:p>
    <w:p>
      <w:pPr>
        <w:jc w:val="both"/>
        <w:ind w:firstLine="706"/>
        <w:spacing w:after="0" w:line="251" w:lineRule="auto"/>
        <w:rPr>
          <w:sz w:val="20"/>
          <w:szCs w:val="20"/>
          <w:color w:val="auto"/>
        </w:rPr>
      </w:pPr>
      <w:r>
        <w:rPr>
          <w:rFonts w:ascii="Times New Roman" w:cs="Times New Roman" w:eastAsia="Times New Roman" w:hAnsi="Times New Roman"/>
          <w:sz w:val="20"/>
          <w:szCs w:val="20"/>
          <w:color w:val="auto"/>
        </w:rPr>
        <w:t>In addition, we are governed by the provisions of Section 203 of the Delaware General Corporate Law. These provisions may prohibit large stockholders, in particular those owning 15% or more of our outstanding common stock, from engaging in certain business combinations without the approval of substantially all of our stockholders for a certain period of time.</w:t>
      </w:r>
    </w:p>
    <w:p>
      <w:pPr>
        <w:spacing w:after="0" w:line="182" w:lineRule="exact"/>
        <w:rPr>
          <w:sz w:val="20"/>
          <w:szCs w:val="20"/>
          <w:color w:val="auto"/>
        </w:rPr>
      </w:pPr>
    </w:p>
    <w:p>
      <w:pPr>
        <w:jc w:val="both"/>
        <w:ind w:firstLine="706"/>
        <w:spacing w:after="0" w:line="250" w:lineRule="auto"/>
        <w:rPr>
          <w:sz w:val="20"/>
          <w:szCs w:val="20"/>
          <w:color w:val="auto"/>
        </w:rPr>
      </w:pPr>
      <w:r>
        <w:rPr>
          <w:rFonts w:ascii="Times New Roman" w:cs="Times New Roman" w:eastAsia="Times New Roman" w:hAnsi="Times New Roman"/>
          <w:sz w:val="20"/>
          <w:szCs w:val="20"/>
          <w:color w:val="auto"/>
        </w:rPr>
        <w:t>These and other provisions in our Restated Certificate of Incorporation, our amended and restated bylaws and under Delaware law could discourage potential takeover attempts, reduce the price that investors might be willing to pay for shares of our common stock in the future and result in the market price being lower than it would be without these provisions.</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b w:val="1"/>
          <w:bCs w:val="1"/>
          <w:i w:val="1"/>
          <w:iCs w:val="1"/>
          <w:color w:val="auto"/>
        </w:rPr>
        <w:t>Our Restated Certificate of Incorporation includes a forum selection clause, which could limit our stockholders' ability to obtain a favorable judicial forum for disputes with us.</w:t>
      </w:r>
    </w:p>
    <w:p>
      <w:pPr>
        <w:spacing w:after="0" w:line="164" w:lineRule="exact"/>
        <w:rPr>
          <w:sz w:val="20"/>
          <w:szCs w:val="20"/>
          <w:color w:val="auto"/>
        </w:rPr>
      </w:pPr>
    </w:p>
    <w:p>
      <w:pPr>
        <w:jc w:val="both"/>
        <w:ind w:firstLine="706"/>
        <w:spacing w:after="0" w:line="237" w:lineRule="auto"/>
        <w:rPr>
          <w:sz w:val="20"/>
          <w:szCs w:val="20"/>
          <w:color w:val="auto"/>
        </w:rPr>
      </w:pPr>
      <w:r>
        <w:rPr>
          <w:rFonts w:ascii="Times New Roman" w:cs="Times New Roman" w:eastAsia="Times New Roman" w:hAnsi="Times New Roman"/>
          <w:sz w:val="20"/>
          <w:szCs w:val="20"/>
          <w:color w:val="auto"/>
        </w:rPr>
        <w:t>Our Restated Certificate of Incorporation provides that, unless the Company consents in writing to the selection of an alternative forum, the Court of Chancery of the State of Delaware shall be the sole and exclusive forum for (i) any derivative action or proceeding brought on behalf of the Company, (ii) any action asserting a claim of breach of a fiduciary duty owed by any director, officer or other employee of the Company to the Company or the Company's stockholders, (iii) any action asserting a claim arising pursuant to any provision of the Delaware General Corporation Law or the Company's Restated Certificate of Incorporation or By-laws, or (iv) any action asserting a claim against the Company governed by the internal affairs doctrine. This exclusive forum provision will not apply to claims under the Securities Exchange Act of 1934 but will apply to other state and federal law claims including actions arising under the Securities Act of 1933 (although our stockholders will not be deemed to have waived our compliance with the federal securities laws and the rules and regulations thereunder). Section 22 of the Securities Act of 1933, however, creates concurrent jurisdiction for federal and state courts over all suits brought to enforce any duty or liability created by the Securities Act of 1933 or the rules and regulations thereunder. Accordingly, there is uncertainty as to whether a court would enforce such a forum selection provision as written in connection with claims arising under the Securities Act of 1933. This forum selection provision in our Restated Certificate of Incorporation may limit our stockholders' ability to obtain a favorable judicial forum for disputes with us. It is also possible that a court could rule that such a provision is inapplicable or unenforceable.</w:t>
      </w:r>
    </w:p>
    <w:p>
      <w:pPr>
        <w:spacing w:after="0" w:line="205" w:lineRule="exact"/>
        <w:rPr>
          <w:sz w:val="20"/>
          <w:szCs w:val="20"/>
          <w:color w:val="auto"/>
        </w:rPr>
      </w:pPr>
    </w:p>
    <w:p>
      <w:pPr>
        <w:ind w:left="20"/>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1B.</w:t>
      </w:r>
      <w:r>
        <w:rPr>
          <w:sz w:val="20"/>
          <w:szCs w:val="20"/>
          <w:color w:val="auto"/>
        </w:rPr>
        <w:tab/>
      </w:r>
      <w:r>
        <w:rPr>
          <w:rFonts w:ascii="Times New Roman" w:cs="Times New Roman" w:eastAsia="Times New Roman" w:hAnsi="Times New Roman"/>
          <w:sz w:val="18"/>
          <w:szCs w:val="18"/>
          <w:b w:val="1"/>
          <w:bCs w:val="1"/>
          <w:color w:val="auto"/>
        </w:rPr>
        <w:t>Unresolved Staff Comments</w:t>
      </w:r>
    </w:p>
    <w:p>
      <w:pPr>
        <w:spacing w:after="0" w:line="2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None.</w:t>
      </w:r>
    </w:p>
    <w:p>
      <w:pPr>
        <w:spacing w:after="0" w:line="2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228" w:lineRule="exact"/>
        <w:rPr>
          <w:sz w:val="20"/>
          <w:szCs w:val="20"/>
          <w:color w:val="auto"/>
        </w:rPr>
      </w:pPr>
    </w:p>
    <w:p>
      <w:pPr>
        <w:jc w:val="both"/>
        <w:ind w:firstLine="706"/>
        <w:spacing w:after="0" w:line="269" w:lineRule="auto"/>
        <w:rPr>
          <w:sz w:val="20"/>
          <w:szCs w:val="20"/>
          <w:color w:val="auto"/>
        </w:rPr>
      </w:pPr>
      <w:r>
        <w:rPr>
          <w:rFonts w:ascii="Times New Roman" w:cs="Times New Roman" w:eastAsia="Times New Roman" w:hAnsi="Times New Roman"/>
          <w:sz w:val="18"/>
          <w:szCs w:val="18"/>
          <w:color w:val="auto"/>
        </w:rPr>
        <w:t>Cyber criminals are becoming more sophisticated and effective every day. All companies utilizing technology are subject to threats of breaches of their cybersecurity programs. To mitigate the threat to our business, we take a comprehensive approach to cybersecurity risk management and make securing the data customers and other stakeholders entrust to us a top priority. Our board of directors (the "Board") and our management are actively involved in the oversight of risk management program, of which cybersecurity represents an important component. As described in more detail below, we have established policies, standards, processes and practices for assessing, identifying, and managing material risks from cybersecurity threats. We have devoted financial and personnel resources to implement and maintain security measures to meet regulatory requirements and customer expectations, and we intend to continue to make investments to maintain the security of our data and cybersecurity infrastructure. There can be no guarantee that our policies and procedures will be properly followed in every instance or that those policies and procedures will be effective. Our Risk Factors include</w:t>
      </w:r>
    </w:p>
    <w:p>
      <w:pPr>
        <w:sectPr>
          <w:pgSz w:w="11880" w:h="15480" w:orient="portrait"/>
          <w:cols w:equalWidth="0" w:num="1">
            <w:col w:w="10600"/>
          </w:cols>
          <w:pgMar w:left="640" w:top="412" w:right="640" w:bottom="0" w:gutter="0" w:footer="0" w:header="0"/>
        </w:sectPr>
      </w:pP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1880" w:h="15480" w:orient="portrait"/>
          <w:cols w:equalWidth="0" w:num="1">
            <w:col w:w="10600"/>
          </w:cols>
          <w:pgMar w:left="640" w:top="412" w:right="640" w:bottom="0" w:gutter="0" w:footer="0" w:header="0"/>
          <w:type w:val="continuous"/>
        </w:sectPr>
      </w:pPr>
    </w:p>
    <w:bookmarkStart w:id="32" w:name="page33"/>
    <w:bookmarkEnd w:id="32"/>
    <w:p>
      <w:pPr>
        <w:jc w:val="both"/>
        <w:spacing w:after="0" w:line="250" w:lineRule="auto"/>
        <w:rPr>
          <w:sz w:val="20"/>
          <w:szCs w:val="20"/>
          <w:color w:val="auto"/>
        </w:rPr>
      </w:pPr>
      <w:r>
        <w:rPr>
          <w:rFonts w:ascii="Times New Roman" w:cs="Times New Roman" w:eastAsia="Times New Roman" w:hAnsi="Times New Roman"/>
          <w:sz w:val="20"/>
          <w:szCs w:val="20"/>
          <w:color w:val="auto"/>
        </w:rPr>
        <w:t>further detail about the material cybersecurity risks we face and have faced in the past. We can provide no assurance that there will not be incidents in the future or that they will not materially affect us, including our business strategy, results of operations, or financial condition.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 Management and Strategy</w:t>
      </w:r>
    </w:p>
    <w:p>
      <w:pPr>
        <w:spacing w:after="0" w:line="225" w:lineRule="exact"/>
        <w:rPr>
          <w:sz w:val="20"/>
          <w:szCs w:val="20"/>
          <w:color w:val="auto"/>
        </w:rPr>
      </w:pPr>
    </w:p>
    <w:p>
      <w:pPr>
        <w:jc w:val="both"/>
        <w:ind w:firstLine="706"/>
        <w:spacing w:after="0" w:line="268" w:lineRule="auto"/>
        <w:rPr>
          <w:sz w:val="20"/>
          <w:szCs w:val="20"/>
          <w:color w:val="auto"/>
        </w:rPr>
      </w:pPr>
      <w:r>
        <w:rPr>
          <w:rFonts w:ascii="Times New Roman" w:cs="Times New Roman" w:eastAsia="Times New Roman" w:hAnsi="Times New Roman"/>
          <w:sz w:val="20"/>
          <w:szCs w:val="20"/>
          <w:color w:val="auto"/>
        </w:rPr>
        <w:t>Our policies, standards, processes and practices for assessing, identifying, and managing material risks from cybersecurity threats are integrated into our overall risk management. Our cybersecurity program in particular focuses on the following key areas:</w:t>
      </w:r>
    </w:p>
    <w:p>
      <w:pPr>
        <w:spacing w:after="0" w:line="1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Collaboration</w:t>
      </w:r>
    </w:p>
    <w:p>
      <w:pPr>
        <w:spacing w:after="0" w:line="220" w:lineRule="exact"/>
        <w:rPr>
          <w:sz w:val="20"/>
          <w:szCs w:val="20"/>
          <w:color w:val="auto"/>
        </w:rPr>
      </w:pPr>
    </w:p>
    <w:p>
      <w:pPr>
        <w:jc w:val="both"/>
        <w:ind w:firstLine="706"/>
        <w:spacing w:after="0" w:line="276" w:lineRule="auto"/>
        <w:rPr>
          <w:sz w:val="20"/>
          <w:szCs w:val="20"/>
          <w:color w:val="auto"/>
        </w:rPr>
      </w:pPr>
      <w:r>
        <w:rPr>
          <w:rFonts w:ascii="Times New Roman" w:cs="Times New Roman" w:eastAsia="Times New Roman" w:hAnsi="Times New Roman"/>
          <w:sz w:val="18"/>
          <w:szCs w:val="18"/>
          <w:color w:val="auto"/>
        </w:rPr>
        <w:t>Our cybersecurity risks are identified and addressed through a cross- functional approach. Key security, risk, and compliance stakeholders meet to develop strategies for preserving the confidentiality, integrity and availability of Company and customer information, identifying, preventing and mitigating cybersecurity threats, and effectively responding to cybersecurity incidents. We maintain controls and procedures that are designed to ensure prompt escalation of certain cybersecurity incidents so that decisions regarding public disclosure and reporting of such incidents can be made by management and the Board in a timely manner.</w:t>
      </w:r>
    </w:p>
    <w:p>
      <w:pPr>
        <w:spacing w:after="0" w:line="16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Risk Assessment</w:t>
      </w:r>
    </w:p>
    <w:p>
      <w:pPr>
        <w:spacing w:after="0" w:line="220" w:lineRule="exact"/>
        <w:rPr>
          <w:sz w:val="20"/>
          <w:szCs w:val="20"/>
          <w:color w:val="auto"/>
        </w:rPr>
      </w:pPr>
    </w:p>
    <w:p>
      <w:pPr>
        <w:jc w:val="both"/>
        <w:ind w:firstLine="706"/>
        <w:spacing w:after="0" w:line="243" w:lineRule="auto"/>
        <w:rPr>
          <w:sz w:val="20"/>
          <w:szCs w:val="20"/>
          <w:color w:val="auto"/>
        </w:rPr>
      </w:pPr>
      <w:r>
        <w:rPr>
          <w:rFonts w:ascii="Times New Roman" w:cs="Times New Roman" w:eastAsia="Times New Roman" w:hAnsi="Times New Roman"/>
          <w:sz w:val="20"/>
          <w:szCs w:val="20"/>
          <w:color w:val="auto"/>
        </w:rPr>
        <w:t>At least annually, we conduct a cybersecurity risk assessment that takes into account information from internal stakeholders, known information security vulnerabilities, and information from external sources (e.g., reported security incidents that have impacted other companies, industry trends, and evaluations by third parties and consultants). The results of the assessment are used to drive alignment on, and prioritization of, initiatives to enhance our security controls, make recommendations to improve processes, and inform a broader enterprise-level risk assessment that is presented to our Board and members of management.</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Technical Safeguards</w:t>
      </w:r>
    </w:p>
    <w:p>
      <w:pPr>
        <w:spacing w:after="0" w:line="220" w:lineRule="exact"/>
        <w:rPr>
          <w:sz w:val="20"/>
          <w:szCs w:val="20"/>
          <w:color w:val="auto"/>
        </w:rPr>
      </w:pPr>
    </w:p>
    <w:p>
      <w:pPr>
        <w:jc w:val="both"/>
        <w:ind w:firstLine="706"/>
        <w:spacing w:after="0" w:line="251" w:lineRule="auto"/>
        <w:rPr>
          <w:sz w:val="20"/>
          <w:szCs w:val="20"/>
          <w:color w:val="auto"/>
        </w:rPr>
      </w:pPr>
      <w:r>
        <w:rPr>
          <w:rFonts w:ascii="Times New Roman" w:cs="Times New Roman" w:eastAsia="Times New Roman" w:hAnsi="Times New Roman"/>
          <w:sz w:val="20"/>
          <w:szCs w:val="20"/>
          <w:color w:val="auto"/>
        </w:rPr>
        <w:t>We regularly assess and deploy technical safeguards designed to protect our information systems from cybersecurity threats. Such safeguards are regularly evaluated and improved based on vulnerability assessments, cybersecurity threat intelligence and incident response experience.</w:t>
      </w:r>
    </w:p>
    <w:p>
      <w:pPr>
        <w:spacing w:after="0" w:line="18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Incident Response and Recovery Planning</w:t>
      </w:r>
    </w:p>
    <w:p>
      <w:pPr>
        <w:spacing w:after="0" w:line="220" w:lineRule="exact"/>
        <w:rPr>
          <w:sz w:val="20"/>
          <w:szCs w:val="20"/>
          <w:color w:val="auto"/>
        </w:rPr>
      </w:pPr>
    </w:p>
    <w:p>
      <w:pPr>
        <w:jc w:val="both"/>
        <w:ind w:firstLine="706"/>
        <w:spacing w:after="0" w:line="251" w:lineRule="auto"/>
        <w:rPr>
          <w:sz w:val="20"/>
          <w:szCs w:val="20"/>
          <w:color w:val="auto"/>
        </w:rPr>
      </w:pPr>
      <w:r>
        <w:rPr>
          <w:rFonts w:ascii="Times New Roman" w:cs="Times New Roman" w:eastAsia="Times New Roman" w:hAnsi="Times New Roman"/>
          <w:sz w:val="20"/>
          <w:szCs w:val="20"/>
          <w:color w:val="auto"/>
        </w:rPr>
        <w:t>We have established comprehensive incident response and recovery plans and continue to evaluate the effectiveness of those plans. Our incident response and recovery plans address — and guide our employees, management and the Board on — our response to a cybersecurity incident.</w:t>
      </w:r>
    </w:p>
    <w:p>
      <w:pPr>
        <w:spacing w:after="0" w:line="18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Education and Awareness</w:t>
      </w:r>
    </w:p>
    <w:p>
      <w:pPr>
        <w:spacing w:after="0" w:line="220" w:lineRule="exact"/>
        <w:rPr>
          <w:sz w:val="20"/>
          <w:szCs w:val="20"/>
          <w:color w:val="auto"/>
        </w:rPr>
      </w:pPr>
    </w:p>
    <w:p>
      <w:pPr>
        <w:jc w:val="both"/>
        <w:ind w:firstLine="706"/>
        <w:spacing w:after="0" w:line="251" w:lineRule="auto"/>
        <w:rPr>
          <w:sz w:val="20"/>
          <w:szCs w:val="20"/>
          <w:color w:val="auto"/>
        </w:rPr>
      </w:pPr>
      <w:r>
        <w:rPr>
          <w:rFonts w:ascii="Times New Roman" w:cs="Times New Roman" w:eastAsia="Times New Roman" w:hAnsi="Times New Roman"/>
          <w:sz w:val="20"/>
          <w:szCs w:val="20"/>
          <w:color w:val="auto"/>
        </w:rPr>
        <w:t>Our policies require our employees to contribute to our data security efforts. We provide awareness training to our employees to help identify, avoid and mitigate cybersecurity threats. Our employees participate annually in required training, including spear phishing and other awareness training.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Governance</w:t>
      </w:r>
    </w:p>
    <w:p>
      <w:pPr>
        <w:spacing w:after="0" w:line="2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Board and Management Oversight</w:t>
      </w:r>
    </w:p>
    <w:p>
      <w:pPr>
        <w:spacing w:after="0" w:line="220" w:lineRule="exact"/>
        <w:rPr>
          <w:sz w:val="20"/>
          <w:szCs w:val="20"/>
          <w:color w:val="auto"/>
        </w:rPr>
      </w:pPr>
    </w:p>
    <w:p>
      <w:pPr>
        <w:jc w:val="both"/>
        <w:ind w:firstLine="706"/>
        <w:spacing w:after="0" w:line="250" w:lineRule="auto"/>
        <w:rPr>
          <w:sz w:val="20"/>
          <w:szCs w:val="20"/>
          <w:color w:val="auto"/>
        </w:rPr>
      </w:pPr>
      <w:r>
        <w:rPr>
          <w:rFonts w:ascii="Times New Roman" w:cs="Times New Roman" w:eastAsia="Times New Roman" w:hAnsi="Times New Roman"/>
          <w:sz w:val="20"/>
          <w:szCs w:val="20"/>
          <w:color w:val="auto"/>
        </w:rPr>
        <w:t>Our Board oversees our management of cybersecurity risk. They receive regular reports from management about the prevention, detection, mitigation, and remediation of cybersecurity incidents, including material security risks and information security vulnerabilities.</w:t>
      </w:r>
    </w:p>
    <w:p>
      <w:pPr>
        <w:spacing w:after="0" w:line="183" w:lineRule="exact"/>
        <w:rPr>
          <w:sz w:val="20"/>
          <w:szCs w:val="20"/>
          <w:color w:val="auto"/>
        </w:rPr>
      </w:pPr>
    </w:p>
    <w:p>
      <w:pPr>
        <w:jc w:val="both"/>
        <w:ind w:firstLine="706"/>
        <w:spacing w:after="0" w:line="245" w:lineRule="auto"/>
        <w:rPr>
          <w:sz w:val="20"/>
          <w:szCs w:val="20"/>
          <w:color w:val="auto"/>
        </w:rPr>
      </w:pPr>
      <w:r>
        <w:rPr>
          <w:rFonts w:ascii="Times New Roman" w:cs="Times New Roman" w:eastAsia="Times New Roman" w:hAnsi="Times New Roman"/>
          <w:sz w:val="20"/>
          <w:szCs w:val="20"/>
          <w:color w:val="auto"/>
        </w:rPr>
        <w:t>Our general manager and MIS director have primary responsibility for assessing and managing material cybersecurity risks. They meet to review security performance metrics, identify security risks, and assess the status of approved security enhancements. They also consider and make recommendations on security policies and procedures, security service requirements, and risk mitigation strategies.</w:t>
      </w:r>
    </w:p>
    <w:p>
      <w:pPr>
        <w:spacing w:after="0" w:line="188" w:lineRule="exact"/>
        <w:rPr>
          <w:sz w:val="20"/>
          <w:szCs w:val="20"/>
          <w:color w:val="auto"/>
        </w:rPr>
      </w:pPr>
    </w:p>
    <w:p>
      <w:pPr>
        <w:jc w:val="both"/>
        <w:ind w:firstLine="706"/>
        <w:spacing w:after="0" w:line="268" w:lineRule="auto"/>
        <w:rPr>
          <w:sz w:val="20"/>
          <w:szCs w:val="20"/>
          <w:color w:val="auto"/>
        </w:rPr>
      </w:pPr>
      <w:r>
        <w:rPr>
          <w:rFonts w:ascii="Times New Roman" w:cs="Times New Roman" w:eastAsia="Times New Roman" w:hAnsi="Times New Roman"/>
          <w:sz w:val="20"/>
          <w:szCs w:val="20"/>
          <w:color w:val="auto"/>
        </w:rPr>
        <w:t>Our MIS director has served in various roles in information technology and information security for over 20 years. Our general manager has over 20 years of experience managing risks, including risks arising from cybersecurity threats.</w:t>
      </w:r>
    </w:p>
    <w:p>
      <w:pPr>
        <w:sectPr>
          <w:pgSz w:w="11880" w:h="15480" w:orient="portrait"/>
          <w:cols w:equalWidth="0" w:num="1">
            <w:col w:w="10600"/>
          </w:cols>
          <w:pgMar w:left="640" w:top="410"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1880" w:h="15480" w:orient="portrait"/>
          <w:cols w:equalWidth="0" w:num="1">
            <w:col w:w="10600"/>
          </w:cols>
          <w:pgMar w:left="640" w:top="410" w:right="640" w:bottom="0" w:gutter="0" w:footer="0" w:header="0"/>
          <w:type w:val="continuous"/>
        </w:sectPr>
      </w:pPr>
    </w:p>
    <w:bookmarkStart w:id="33" w:name="page34"/>
    <w:bookmarkEnd w:id="33"/>
    <w:p>
      <w:pPr>
        <w:ind w:left="20"/>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Properties</w:t>
      </w:r>
    </w:p>
    <w:p>
      <w:pPr>
        <w:spacing w:after="0" w:line="229" w:lineRule="exact"/>
        <w:rPr>
          <w:sz w:val="20"/>
          <w:szCs w:val="20"/>
          <w:color w:val="auto"/>
        </w:rPr>
      </w:pPr>
    </w:p>
    <w:p>
      <w:pPr>
        <w:ind w:firstLine="706"/>
        <w:spacing w:after="0" w:line="321" w:lineRule="auto"/>
        <w:rPr>
          <w:sz w:val="20"/>
          <w:szCs w:val="20"/>
          <w:color w:val="auto"/>
        </w:rPr>
      </w:pPr>
      <w:r>
        <w:rPr>
          <w:rFonts w:ascii="Times New Roman" w:cs="Times New Roman" w:eastAsia="Times New Roman" w:hAnsi="Times New Roman"/>
          <w:sz w:val="18"/>
          <w:szCs w:val="18"/>
          <w:color w:val="auto"/>
        </w:rPr>
        <w:t>We maintain manufacturing, research and development, sales and administrative offices in the U.S., China and Taiwan. Our corporate headquarters is located at our facility in Sugar Land, Texas. The table below provides information regarding our facilities.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right"/>
              <w:ind w:right="102"/>
              <w:spacing w:after="0"/>
              <w:rPr>
                <w:sz w:val="20"/>
                <w:szCs w:val="20"/>
                <w:color w:val="auto"/>
              </w:rPr>
            </w:pPr>
            <w:r>
              <w:rPr>
                <w:rFonts w:ascii="Times New Roman" w:cs="Times New Roman" w:eastAsia="Times New Roman" w:hAnsi="Times New Roman"/>
                <w:sz w:val="20"/>
                <w:szCs w:val="20"/>
                <w:b w:val="1"/>
                <w:bCs w:val="1"/>
                <w:color w:val="auto"/>
              </w:rPr>
              <w:t>Approximate</w:t>
            </w:r>
          </w:p>
        </w:tc>
        <w:tc>
          <w:tcPr>
            <w:tcW w:w="100" w:type="dxa"/>
            <w:vAlign w:val="bottom"/>
          </w:tcPr>
          <w:p>
            <w:pPr>
              <w:spacing w:after="0"/>
              <w:rPr>
                <w:sz w:val="20"/>
                <w:szCs w:val="20"/>
                <w:color w:val="auto"/>
              </w:rPr>
            </w:pPr>
          </w:p>
        </w:tc>
        <w:tc>
          <w:tcPr>
            <w:tcW w:w="5300" w:type="dxa"/>
            <w:vAlign w:val="bottom"/>
          </w:tcPr>
          <w:p>
            <w:pPr>
              <w:spacing w:after="0"/>
              <w:rPr>
                <w:sz w:val="20"/>
                <w:szCs w:val="20"/>
                <w:color w:val="auto"/>
              </w:rPr>
            </w:pPr>
          </w:p>
        </w:tc>
      </w:tr>
      <w:tr>
        <w:trPr>
          <w:trHeight w:val="257"/>
        </w:trPr>
        <w:tc>
          <w:tcPr>
            <w:tcW w:w="1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Location</w:t>
            </w:r>
          </w:p>
        </w:tc>
        <w:tc>
          <w:tcPr>
            <w:tcW w:w="100" w:type="dxa"/>
            <w:vAlign w:val="bottom"/>
            <w:tcBorders>
              <w:bottom w:val="single" w:sz="8" w:color="DBDBDB"/>
            </w:tcBorders>
          </w:tcPr>
          <w:p>
            <w:pPr>
              <w:spacing w:after="0"/>
              <w:rPr>
                <w:sz w:val="22"/>
                <w:szCs w:val="22"/>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Owned or leased</w:t>
            </w:r>
          </w:p>
        </w:tc>
        <w:tc>
          <w:tcPr>
            <w:tcW w:w="120" w:type="dxa"/>
            <w:vAlign w:val="bottom"/>
            <w:tcBorders>
              <w:bottom w:val="single" w:sz="8" w:color="DBDBDB"/>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Square Footage</w:t>
            </w:r>
          </w:p>
        </w:tc>
        <w:tc>
          <w:tcPr>
            <w:tcW w:w="100" w:type="dxa"/>
            <w:vAlign w:val="bottom"/>
            <w:tcBorders>
              <w:bottom w:val="single" w:sz="8" w:color="DBDBDB"/>
            </w:tcBorders>
          </w:tcPr>
          <w:p>
            <w:pPr>
              <w:spacing w:after="0"/>
              <w:rPr>
                <w:sz w:val="22"/>
                <w:szCs w:val="22"/>
                <w:color w:val="auto"/>
              </w:rPr>
            </w:pPr>
          </w:p>
        </w:tc>
        <w:tc>
          <w:tcPr>
            <w:tcW w:w="5300" w:type="dxa"/>
            <w:vAlign w:val="bottom"/>
            <w:tcBorders>
              <w:bottom w:val="single" w:sz="8" w:color="auto"/>
            </w:tcBorders>
          </w:tcPr>
          <w:p>
            <w:pPr>
              <w:ind w:left="2500"/>
              <w:spacing w:after="0"/>
              <w:rPr>
                <w:sz w:val="20"/>
                <w:szCs w:val="20"/>
                <w:color w:val="auto"/>
              </w:rPr>
            </w:pPr>
            <w:r>
              <w:rPr>
                <w:rFonts w:ascii="Times New Roman" w:cs="Times New Roman" w:eastAsia="Times New Roman" w:hAnsi="Times New Roman"/>
                <w:sz w:val="20"/>
                <w:szCs w:val="20"/>
                <w:b w:val="1"/>
                <w:bCs w:val="1"/>
                <w:color w:val="auto"/>
              </w:rPr>
              <w:t>Use</w:t>
            </w:r>
          </w:p>
        </w:tc>
      </w:tr>
      <w:tr>
        <w:trPr>
          <w:trHeight w:val="225"/>
        </w:trPr>
        <w:tc>
          <w:tcPr>
            <w:tcW w:w="1600" w:type="dxa"/>
            <w:vAlign w:val="bottom"/>
            <w:shd w:val="clear" w:color="auto" w:fill="DBDBDB"/>
          </w:tcPr>
          <w:p>
            <w:pPr>
              <w:ind w:left="20"/>
              <w:spacing w:after="0" w:line="225" w:lineRule="exact"/>
              <w:rPr>
                <w:sz w:val="20"/>
                <w:szCs w:val="20"/>
                <w:color w:val="auto"/>
              </w:rPr>
            </w:pPr>
            <w:r>
              <w:rPr>
                <w:rFonts w:ascii="Times New Roman" w:cs="Times New Roman" w:eastAsia="Times New Roman" w:hAnsi="Times New Roman"/>
                <w:sz w:val="20"/>
                <w:szCs w:val="20"/>
                <w:color w:val="auto"/>
                <w:highlight w:val="lightGray"/>
              </w:rPr>
              <w:t>Sugar Land, Texas</w:t>
            </w:r>
          </w:p>
        </w:tc>
        <w:tc>
          <w:tcPr>
            <w:tcW w:w="100" w:type="dxa"/>
            <w:vAlign w:val="bottom"/>
            <w:shd w:val="clear" w:color="auto" w:fill="DBDBDB"/>
          </w:tcPr>
          <w:p>
            <w:pPr>
              <w:spacing w:after="0"/>
              <w:rPr>
                <w:sz w:val="19"/>
                <w:szCs w:val="19"/>
                <w:color w:val="auto"/>
              </w:rPr>
            </w:pPr>
          </w:p>
        </w:tc>
        <w:tc>
          <w:tcPr>
            <w:tcW w:w="1900" w:type="dxa"/>
            <w:vAlign w:val="bottom"/>
            <w:shd w:val="clear" w:color="auto" w:fill="DBDBDB"/>
          </w:tcPr>
          <w:p>
            <w:pPr>
              <w:jc w:val="center"/>
              <w:spacing w:after="0" w:line="225" w:lineRule="exact"/>
              <w:rPr>
                <w:sz w:val="20"/>
                <w:szCs w:val="20"/>
                <w:color w:val="auto"/>
              </w:rPr>
            </w:pPr>
            <w:r>
              <w:rPr>
                <w:rFonts w:ascii="Times New Roman" w:cs="Times New Roman" w:eastAsia="Times New Roman" w:hAnsi="Times New Roman"/>
                <w:sz w:val="20"/>
                <w:szCs w:val="20"/>
                <w:color w:val="auto"/>
                <w:w w:val="96"/>
              </w:rPr>
              <w:t>Owned and leased</w:t>
            </w:r>
          </w:p>
        </w:tc>
        <w:tc>
          <w:tcPr>
            <w:tcW w:w="120" w:type="dxa"/>
            <w:vAlign w:val="bottom"/>
            <w:shd w:val="clear" w:color="auto" w:fill="DBDBDB"/>
          </w:tcPr>
          <w:p>
            <w:pPr>
              <w:spacing w:after="0"/>
              <w:rPr>
                <w:sz w:val="19"/>
                <w:szCs w:val="19"/>
                <w:color w:val="auto"/>
              </w:rPr>
            </w:pPr>
          </w:p>
        </w:tc>
        <w:tc>
          <w:tcPr>
            <w:tcW w:w="1480" w:type="dxa"/>
            <w:vAlign w:val="bottom"/>
            <w:shd w:val="clear" w:color="auto" w:fill="DBDBDB"/>
          </w:tcPr>
          <w:p>
            <w:pPr>
              <w:jc w:val="right"/>
              <w:spacing w:after="0" w:line="225" w:lineRule="exact"/>
              <w:rPr>
                <w:sz w:val="20"/>
                <w:szCs w:val="20"/>
                <w:color w:val="auto"/>
              </w:rPr>
            </w:pPr>
            <w:r>
              <w:rPr>
                <w:rFonts w:ascii="Times New Roman" w:cs="Times New Roman" w:eastAsia="Times New Roman" w:hAnsi="Times New Roman"/>
                <w:sz w:val="20"/>
                <w:szCs w:val="20"/>
                <w:color w:val="auto"/>
              </w:rPr>
              <w:t>139,450</w:t>
            </w:r>
          </w:p>
        </w:tc>
        <w:tc>
          <w:tcPr>
            <w:tcW w:w="100" w:type="dxa"/>
            <w:vAlign w:val="bottom"/>
            <w:shd w:val="clear" w:color="auto" w:fill="DBDBDB"/>
          </w:tcPr>
          <w:p>
            <w:pPr>
              <w:spacing w:after="0"/>
              <w:rPr>
                <w:sz w:val="19"/>
                <w:szCs w:val="19"/>
                <w:color w:val="auto"/>
              </w:rPr>
            </w:pPr>
          </w:p>
        </w:tc>
        <w:tc>
          <w:tcPr>
            <w:tcW w:w="5300" w:type="dxa"/>
            <w:vAlign w:val="bottom"/>
            <w:shd w:val="clear" w:color="auto" w:fill="DBDBDB"/>
          </w:tcPr>
          <w:p>
            <w:pPr>
              <w:spacing w:after="0" w:line="225" w:lineRule="exact"/>
              <w:rPr>
                <w:sz w:val="20"/>
                <w:szCs w:val="20"/>
                <w:color w:val="auto"/>
              </w:rPr>
            </w:pPr>
            <w:r>
              <w:rPr>
                <w:rFonts w:ascii="Times New Roman" w:cs="Times New Roman" w:eastAsia="Times New Roman" w:hAnsi="Times New Roman"/>
                <w:sz w:val="20"/>
                <w:szCs w:val="20"/>
                <w:color w:val="auto"/>
              </w:rPr>
              <w:t>Administration, sales, manufacturing, research and development</w:t>
            </w:r>
          </w:p>
        </w:tc>
      </w:tr>
      <w:tr>
        <w:trPr>
          <w:trHeight w:val="235"/>
        </w:trPr>
        <w:tc>
          <w:tcPr>
            <w:tcW w:w="16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Duluth, Georgia</w:t>
            </w:r>
          </w:p>
        </w:tc>
        <w:tc>
          <w:tcPr>
            <w:tcW w:w="10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Leased</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38,900</w:t>
            </w:r>
          </w:p>
        </w:tc>
        <w:tc>
          <w:tcPr>
            <w:tcW w:w="10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20"/>
                <w:szCs w:val="20"/>
                <w:color w:val="auto"/>
              </w:rPr>
              <w:t>Sales, research and development</w:t>
            </w:r>
          </w:p>
        </w:tc>
      </w:tr>
      <w:tr>
        <w:trPr>
          <w:trHeight w:val="235"/>
        </w:trPr>
        <w:tc>
          <w:tcPr>
            <w:tcW w:w="16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20"/>
                <w:szCs w:val="20"/>
                <w:color w:val="auto"/>
              </w:rPr>
              <w:t>Ningbo, China</w:t>
            </w:r>
          </w:p>
        </w:tc>
        <w:tc>
          <w:tcPr>
            <w:tcW w:w="100" w:type="dxa"/>
            <w:vAlign w:val="bottom"/>
            <w:shd w:val="clear" w:color="auto" w:fill="DBDBDB"/>
          </w:tcPr>
          <w:p>
            <w:pPr>
              <w:spacing w:after="0"/>
              <w:rPr>
                <w:sz w:val="20"/>
                <w:szCs w:val="20"/>
                <w:color w:val="auto"/>
              </w:rPr>
            </w:pPr>
          </w:p>
        </w:tc>
        <w:tc>
          <w:tcPr>
            <w:tcW w:w="19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20"/>
                <w:szCs w:val="20"/>
                <w:color w:val="auto"/>
              </w:rPr>
              <w:t>Owned</w:t>
            </w:r>
          </w:p>
        </w:tc>
        <w:tc>
          <w:tcPr>
            <w:tcW w:w="120" w:type="dxa"/>
            <w:vAlign w:val="bottom"/>
            <w:shd w:val="clear" w:color="auto" w:fill="DBDBDB"/>
          </w:tcPr>
          <w:p>
            <w:pPr>
              <w:spacing w:after="0"/>
              <w:rPr>
                <w:sz w:val="20"/>
                <w:szCs w:val="20"/>
                <w:color w:val="auto"/>
              </w:rPr>
            </w:pPr>
          </w:p>
        </w:tc>
        <w:tc>
          <w:tcPr>
            <w:tcW w:w="14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1,203,740</w:t>
            </w:r>
          </w:p>
        </w:tc>
        <w:tc>
          <w:tcPr>
            <w:tcW w:w="100" w:type="dxa"/>
            <w:vAlign w:val="bottom"/>
            <w:shd w:val="clear" w:color="auto" w:fill="DBDBDB"/>
          </w:tcPr>
          <w:p>
            <w:pPr>
              <w:spacing w:after="0"/>
              <w:rPr>
                <w:sz w:val="20"/>
                <w:szCs w:val="20"/>
                <w:color w:val="auto"/>
              </w:rPr>
            </w:pPr>
          </w:p>
        </w:tc>
        <w:tc>
          <w:tcPr>
            <w:tcW w:w="5300" w:type="dxa"/>
            <w:vAlign w:val="bottom"/>
            <w:shd w:val="clear" w:color="auto" w:fill="DBDBDB"/>
          </w:tcPr>
          <w:p>
            <w:pPr>
              <w:spacing w:after="0"/>
              <w:rPr>
                <w:sz w:val="20"/>
                <w:szCs w:val="20"/>
                <w:color w:val="auto"/>
              </w:rPr>
            </w:pPr>
            <w:r>
              <w:rPr>
                <w:rFonts w:ascii="Times New Roman" w:cs="Times New Roman" w:eastAsia="Times New Roman" w:hAnsi="Times New Roman"/>
                <w:sz w:val="20"/>
                <w:szCs w:val="20"/>
                <w:color w:val="auto"/>
              </w:rPr>
              <w:t>Administration, sales, manufacturing, research and development</w:t>
            </w:r>
          </w:p>
        </w:tc>
      </w:tr>
      <w:tr>
        <w:trPr>
          <w:trHeight w:val="260"/>
        </w:trPr>
        <w:tc>
          <w:tcPr>
            <w:tcW w:w="16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Taipei, Taiwan</w:t>
            </w:r>
          </w:p>
        </w:tc>
        <w:tc>
          <w:tcPr>
            <w:tcW w:w="100" w:type="dxa"/>
            <w:vAlign w:val="bottom"/>
          </w:tcPr>
          <w:p>
            <w:pPr>
              <w:spacing w:after="0"/>
              <w:rPr>
                <w:sz w:val="22"/>
                <w:szCs w:val="22"/>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Leased</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705,760</w:t>
            </w:r>
          </w:p>
        </w:tc>
        <w:tc>
          <w:tcPr>
            <w:tcW w:w="100" w:type="dxa"/>
            <w:vAlign w:val="bottom"/>
          </w:tcPr>
          <w:p>
            <w:pPr>
              <w:spacing w:after="0"/>
              <w:rPr>
                <w:sz w:val="22"/>
                <w:szCs w:val="22"/>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20"/>
                <w:szCs w:val="20"/>
                <w:color w:val="auto"/>
              </w:rPr>
              <w:t>Administration, sales, manufacturing, research and development</w:t>
            </w:r>
          </w:p>
        </w:tc>
      </w:tr>
    </w:tbl>
    <w:p>
      <w:pPr>
        <w:spacing w:after="0" w:line="182" w:lineRule="exact"/>
        <w:rPr>
          <w:sz w:val="20"/>
          <w:szCs w:val="20"/>
          <w:color w:val="auto"/>
        </w:rPr>
      </w:pPr>
    </w:p>
    <w:p>
      <w:pPr>
        <w:ind w:left="20"/>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228" w:lineRule="exact"/>
        <w:rPr>
          <w:sz w:val="20"/>
          <w:szCs w:val="20"/>
          <w:color w:val="auto"/>
        </w:rPr>
      </w:pPr>
    </w:p>
    <w:p>
      <w:pPr>
        <w:jc w:val="both"/>
        <w:ind w:firstLine="706"/>
        <w:spacing w:after="0" w:line="268" w:lineRule="auto"/>
        <w:rPr>
          <w:sz w:val="20"/>
          <w:szCs w:val="20"/>
          <w:color w:val="auto"/>
        </w:rPr>
      </w:pPr>
      <w:r>
        <w:rPr>
          <w:rFonts w:ascii="Times New Roman" w:cs="Times New Roman" w:eastAsia="Times New Roman" w:hAnsi="Times New Roman"/>
          <w:sz w:val="20"/>
          <w:szCs w:val="20"/>
          <w:color w:val="auto"/>
        </w:rPr>
        <w:t>The information set forth under Note T "Contingencies" included in Part II, Item 8 of this Form 10-K, is incorporated herein by reference. For an additional discussion of certain risks associated with legal proceedings, see "Risk Factors" above.</w:t>
      </w:r>
    </w:p>
    <w:p>
      <w:pPr>
        <w:spacing w:after="0" w:line="166" w:lineRule="exact"/>
        <w:rPr>
          <w:sz w:val="20"/>
          <w:szCs w:val="20"/>
          <w:color w:val="auto"/>
        </w:rPr>
      </w:pPr>
    </w:p>
    <w:p>
      <w:pPr>
        <w:ind w:left="20"/>
        <w:spacing w:after="0"/>
        <w:tabs>
          <w:tab w:leader="none" w:pos="1100" w:val="left"/>
        </w:tabs>
        <w:rPr>
          <w:sz w:val="20"/>
          <w:szCs w:val="20"/>
          <w:color w:val="auto"/>
        </w:rPr>
      </w:pPr>
      <w:r>
        <w:rPr>
          <w:rFonts w:ascii="Times New Roman" w:cs="Times New Roman" w:eastAsia="Times New Roman" w:hAnsi="Times New Roman"/>
          <w:sz w:val="20"/>
          <w:szCs w:val="20"/>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Mine Safety Disclosure</w:t>
      </w:r>
    </w:p>
    <w:p>
      <w:pPr>
        <w:spacing w:after="0" w:line="22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Not Applicable.</w:t>
      </w:r>
    </w:p>
    <w:p>
      <w:pPr>
        <w:sectPr>
          <w:pgSz w:w="11880" w:h="15480" w:orient="portrait"/>
          <w:cols w:equalWidth="0" w:num="1">
            <w:col w:w="10600"/>
          </w:cols>
          <w:pgMar w:left="640" w:top="413"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1880" w:h="15480" w:orient="portrait"/>
          <w:cols w:equalWidth="0" w:num="1">
            <w:col w:w="10600"/>
          </w:cols>
          <w:pgMar w:left="640" w:top="413" w:right="640" w:bottom="0" w:gutter="0" w:footer="0" w:header="0"/>
          <w:type w:val="continuous"/>
        </w:sectPr>
      </w:pPr>
    </w:p>
    <w:bookmarkStart w:id="34" w:name="page35"/>
    <w:bookmarkEnd w:id="34"/>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27" w:lineRule="exact"/>
        <w:rPr>
          <w:sz w:val="20"/>
          <w:szCs w:val="20"/>
          <w:color w:val="auto"/>
        </w:rPr>
      </w:pPr>
    </w:p>
    <w:p>
      <w:pPr>
        <w:ind w:left="20"/>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Market for Registrant’s Common Equity, Related Stockholder Matters and Issuer Purchases of Equity Securities</w:t>
      </w:r>
    </w:p>
    <w:p>
      <w:pPr>
        <w:spacing w:after="0" w:line="226" w:lineRule="exact"/>
        <w:rPr>
          <w:sz w:val="20"/>
          <w:szCs w:val="20"/>
          <w:color w:val="auto"/>
        </w:rPr>
      </w:pPr>
    </w:p>
    <w:p>
      <w:pPr>
        <w:jc w:val="both"/>
        <w:ind w:firstLine="706"/>
        <w:spacing w:after="0" w:line="251" w:lineRule="auto"/>
        <w:rPr>
          <w:sz w:val="20"/>
          <w:szCs w:val="20"/>
          <w:color w:val="auto"/>
        </w:rPr>
      </w:pPr>
      <w:r>
        <w:rPr>
          <w:rFonts w:ascii="Times New Roman" w:cs="Times New Roman" w:eastAsia="Times New Roman" w:hAnsi="Times New Roman"/>
          <w:sz w:val="20"/>
          <w:szCs w:val="20"/>
          <w:color w:val="auto"/>
        </w:rPr>
        <w:t>On September 26, 2013, our common stock began to trade on the NASDAQ Global Market under the symbol "AAOI". Prior to that time, there was no public market for our common stock. As of February 24, 2026, there were 58 holders of record of our common stock (not including beneficial holders of our common stock holding in street name).</w:t>
      </w:r>
    </w:p>
    <w:p>
      <w:pPr>
        <w:spacing w:after="0" w:line="182" w:lineRule="exact"/>
        <w:rPr>
          <w:sz w:val="20"/>
          <w:szCs w:val="20"/>
          <w:color w:val="auto"/>
        </w:rPr>
      </w:pPr>
    </w:p>
    <w:p>
      <w:pPr>
        <w:jc w:val="both"/>
        <w:ind w:firstLine="706"/>
        <w:spacing w:after="0" w:line="241" w:lineRule="auto"/>
        <w:rPr>
          <w:sz w:val="20"/>
          <w:szCs w:val="20"/>
          <w:color w:val="auto"/>
        </w:rPr>
      </w:pPr>
      <w:r>
        <w:rPr>
          <w:rFonts w:ascii="Times New Roman" w:cs="Times New Roman" w:eastAsia="Times New Roman" w:hAnsi="Times New Roman"/>
          <w:sz w:val="20"/>
          <w:szCs w:val="20"/>
          <w:color w:val="auto"/>
        </w:rPr>
        <w:t>The graph below shows the cumulative total stockholder return of an investment of $100 (and the reinvestment of any dividends thereafter) on January 1, 2020 (the last five fiscal years) in (i) our common stock, (ii) the NASDAQ Composite Index and (iii) the NASDAQ Telecommunications Index. Our stock price performance shown in the graph below is not indicative of future stock price performance. The following graph and related information is being “furnished” and shall not be deemed “soliciting material” or be deemed to be “filed” with the SEC, nor shall such information be incorporated by reference into any future filing, except to the extent that we specifically state that such graph and related information are incorporated by reference into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823595</wp:posOffset>
            </wp:positionH>
            <wp:positionV relativeFrom="paragraph">
              <wp:posOffset>216535</wp:posOffset>
            </wp:positionV>
            <wp:extent cx="5078730" cy="28975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078730" cy="289750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31"/>
          <w:szCs w:val="31"/>
          <w:b w:val="1"/>
          <w:bCs w:val="1"/>
          <w:color w:val="auto"/>
        </w:rPr>
        <w:t>Percent Change</w:t>
      </w:r>
    </w:p>
    <w:p>
      <w:pPr>
        <w:spacing w:after="0" w:line="139" w:lineRule="exact"/>
        <w:rPr>
          <w:sz w:val="20"/>
          <w:szCs w:val="20"/>
          <w:color w:val="auto"/>
        </w:rPr>
      </w:pPr>
    </w:p>
    <w:p>
      <w:pPr>
        <w:jc w:val="right"/>
        <w:ind w:right="8580"/>
        <w:spacing w:after="0"/>
        <w:rPr>
          <w:sz w:val="20"/>
          <w:szCs w:val="20"/>
          <w:color w:val="auto"/>
        </w:rPr>
      </w:pPr>
      <w:r>
        <w:rPr>
          <w:rFonts w:ascii="Arial" w:cs="Arial" w:eastAsia="Arial" w:hAnsi="Arial"/>
          <w:sz w:val="17"/>
          <w:szCs w:val="17"/>
          <w:color w:val="auto"/>
        </w:rPr>
        <w:t>500.00%</w:t>
      </w:r>
    </w:p>
    <w:p>
      <w:pPr>
        <w:spacing w:after="0" w:line="53" w:lineRule="exact"/>
        <w:rPr>
          <w:sz w:val="20"/>
          <w:szCs w:val="20"/>
          <w:color w:val="auto"/>
        </w:rPr>
      </w:pPr>
    </w:p>
    <w:p>
      <w:pPr>
        <w:jc w:val="right"/>
        <w:ind w:right="8580"/>
        <w:spacing w:after="0"/>
        <w:rPr>
          <w:sz w:val="20"/>
          <w:szCs w:val="20"/>
          <w:color w:val="auto"/>
        </w:rPr>
      </w:pPr>
      <w:r>
        <w:rPr>
          <w:rFonts w:ascii="Arial" w:cs="Arial" w:eastAsia="Arial" w:hAnsi="Arial"/>
          <w:sz w:val="17"/>
          <w:szCs w:val="17"/>
          <w:color w:val="auto"/>
        </w:rPr>
        <w:t>450.00%</w:t>
      </w:r>
    </w:p>
    <w:p>
      <w:pPr>
        <w:spacing w:after="0" w:line="55" w:lineRule="exact"/>
        <w:rPr>
          <w:sz w:val="20"/>
          <w:szCs w:val="20"/>
          <w:color w:val="auto"/>
        </w:rPr>
      </w:pPr>
    </w:p>
    <w:p>
      <w:pPr>
        <w:jc w:val="right"/>
        <w:ind w:right="8580"/>
        <w:spacing w:after="0"/>
        <w:rPr>
          <w:sz w:val="20"/>
          <w:szCs w:val="20"/>
          <w:color w:val="auto"/>
        </w:rPr>
      </w:pPr>
      <w:r>
        <w:rPr>
          <w:rFonts w:ascii="Arial" w:cs="Arial" w:eastAsia="Arial" w:hAnsi="Arial"/>
          <w:sz w:val="17"/>
          <w:szCs w:val="17"/>
          <w:color w:val="auto"/>
        </w:rPr>
        <w:t>400.00%</w:t>
      </w:r>
    </w:p>
    <w:p>
      <w:pPr>
        <w:spacing w:after="0" w:line="55" w:lineRule="exact"/>
        <w:rPr>
          <w:sz w:val="20"/>
          <w:szCs w:val="20"/>
          <w:color w:val="auto"/>
        </w:rPr>
      </w:pPr>
    </w:p>
    <w:p>
      <w:pPr>
        <w:jc w:val="right"/>
        <w:ind w:right="8580"/>
        <w:spacing w:after="0"/>
        <w:rPr>
          <w:sz w:val="20"/>
          <w:szCs w:val="20"/>
          <w:color w:val="auto"/>
        </w:rPr>
      </w:pPr>
      <w:r>
        <w:rPr>
          <w:rFonts w:ascii="Arial" w:cs="Arial" w:eastAsia="Arial" w:hAnsi="Arial"/>
          <w:sz w:val="17"/>
          <w:szCs w:val="17"/>
          <w:color w:val="auto"/>
        </w:rPr>
        <w:t>350.00%</w:t>
      </w:r>
    </w:p>
    <w:p>
      <w:pPr>
        <w:spacing w:after="0" w:line="55" w:lineRule="exact"/>
        <w:rPr>
          <w:sz w:val="20"/>
          <w:szCs w:val="20"/>
          <w:color w:val="auto"/>
        </w:rPr>
      </w:pPr>
    </w:p>
    <w:p>
      <w:pPr>
        <w:jc w:val="right"/>
        <w:ind w:right="8580"/>
        <w:spacing w:after="0"/>
        <w:rPr>
          <w:sz w:val="20"/>
          <w:szCs w:val="20"/>
          <w:color w:val="auto"/>
        </w:rPr>
      </w:pPr>
      <w:r>
        <w:rPr>
          <w:rFonts w:ascii="Arial" w:cs="Arial" w:eastAsia="Arial" w:hAnsi="Arial"/>
          <w:sz w:val="17"/>
          <w:szCs w:val="17"/>
          <w:color w:val="auto"/>
        </w:rPr>
        <w:t>300.00%</w:t>
      </w:r>
    </w:p>
    <w:p>
      <w:pPr>
        <w:spacing w:after="0" w:line="55" w:lineRule="exact"/>
        <w:rPr>
          <w:sz w:val="20"/>
          <w:szCs w:val="20"/>
          <w:color w:val="auto"/>
        </w:rPr>
      </w:pPr>
    </w:p>
    <w:p>
      <w:pPr>
        <w:jc w:val="right"/>
        <w:ind w:right="8580"/>
        <w:spacing w:after="0"/>
        <w:rPr>
          <w:sz w:val="20"/>
          <w:szCs w:val="20"/>
          <w:color w:val="auto"/>
        </w:rPr>
      </w:pPr>
      <w:r>
        <w:rPr>
          <w:rFonts w:ascii="Arial" w:cs="Arial" w:eastAsia="Arial" w:hAnsi="Arial"/>
          <w:sz w:val="17"/>
          <w:szCs w:val="17"/>
          <w:color w:val="auto"/>
        </w:rPr>
        <w:t>250.00%</w:t>
      </w:r>
    </w:p>
    <w:p>
      <w:pPr>
        <w:spacing w:after="0" w:line="53" w:lineRule="exact"/>
        <w:rPr>
          <w:sz w:val="20"/>
          <w:szCs w:val="20"/>
          <w:color w:val="auto"/>
        </w:rPr>
      </w:pPr>
    </w:p>
    <w:p>
      <w:pPr>
        <w:jc w:val="right"/>
        <w:ind w:right="8580"/>
        <w:spacing w:after="0"/>
        <w:rPr>
          <w:sz w:val="20"/>
          <w:szCs w:val="20"/>
          <w:color w:val="auto"/>
        </w:rPr>
      </w:pPr>
      <w:r>
        <w:rPr>
          <w:rFonts w:ascii="Arial" w:cs="Arial" w:eastAsia="Arial" w:hAnsi="Arial"/>
          <w:sz w:val="17"/>
          <w:szCs w:val="17"/>
          <w:color w:val="auto"/>
        </w:rPr>
        <w:t>200.00%</w:t>
      </w:r>
    </w:p>
    <w:p>
      <w:pPr>
        <w:spacing w:after="0" w:line="55" w:lineRule="exact"/>
        <w:rPr>
          <w:sz w:val="20"/>
          <w:szCs w:val="20"/>
          <w:color w:val="auto"/>
        </w:rPr>
      </w:pPr>
    </w:p>
    <w:p>
      <w:pPr>
        <w:jc w:val="right"/>
        <w:ind w:right="8580"/>
        <w:spacing w:after="0"/>
        <w:rPr>
          <w:sz w:val="20"/>
          <w:szCs w:val="20"/>
          <w:color w:val="auto"/>
        </w:rPr>
      </w:pPr>
      <w:r>
        <w:rPr>
          <w:rFonts w:ascii="Arial" w:cs="Arial" w:eastAsia="Arial" w:hAnsi="Arial"/>
          <w:sz w:val="17"/>
          <w:szCs w:val="17"/>
          <w:color w:val="auto"/>
        </w:rPr>
        <w:t>150.00%</w:t>
      </w:r>
    </w:p>
    <w:p>
      <w:pPr>
        <w:spacing w:after="0" w:line="55" w:lineRule="exact"/>
        <w:rPr>
          <w:sz w:val="20"/>
          <w:szCs w:val="20"/>
          <w:color w:val="auto"/>
        </w:rPr>
      </w:pPr>
    </w:p>
    <w:p>
      <w:pPr>
        <w:jc w:val="right"/>
        <w:ind w:right="8580"/>
        <w:spacing w:after="0"/>
        <w:rPr>
          <w:sz w:val="20"/>
          <w:szCs w:val="20"/>
          <w:color w:val="auto"/>
        </w:rPr>
      </w:pPr>
      <w:r>
        <w:rPr>
          <w:rFonts w:ascii="Arial" w:cs="Arial" w:eastAsia="Arial" w:hAnsi="Arial"/>
          <w:sz w:val="17"/>
          <w:szCs w:val="17"/>
          <w:color w:val="auto"/>
        </w:rPr>
        <w:t>100.00%</w:t>
      </w:r>
    </w:p>
    <w:p>
      <w:pPr>
        <w:spacing w:after="0" w:line="55" w:lineRule="exact"/>
        <w:rPr>
          <w:sz w:val="20"/>
          <w:szCs w:val="20"/>
          <w:color w:val="auto"/>
        </w:rPr>
      </w:pPr>
    </w:p>
    <w:p>
      <w:pPr>
        <w:jc w:val="right"/>
        <w:ind w:right="8580"/>
        <w:spacing w:after="0"/>
        <w:rPr>
          <w:sz w:val="20"/>
          <w:szCs w:val="20"/>
          <w:color w:val="auto"/>
        </w:rPr>
      </w:pPr>
      <w:r>
        <w:rPr>
          <w:rFonts w:ascii="Arial" w:cs="Arial" w:eastAsia="Arial" w:hAnsi="Arial"/>
          <w:sz w:val="17"/>
          <w:szCs w:val="17"/>
          <w:color w:val="auto"/>
        </w:rPr>
        <w:t>50.00%</w:t>
      </w:r>
    </w:p>
    <w:p>
      <w:pPr>
        <w:spacing w:after="0" w:line="55" w:lineRule="exact"/>
        <w:rPr>
          <w:sz w:val="20"/>
          <w:szCs w:val="20"/>
          <w:color w:val="auto"/>
        </w:rPr>
      </w:pPr>
    </w:p>
    <w:p>
      <w:pPr>
        <w:jc w:val="right"/>
        <w:ind w:right="8580"/>
        <w:spacing w:after="0"/>
        <w:rPr>
          <w:sz w:val="20"/>
          <w:szCs w:val="20"/>
          <w:color w:val="auto"/>
        </w:rPr>
      </w:pPr>
      <w:r>
        <w:rPr>
          <w:rFonts w:ascii="Arial" w:cs="Arial" w:eastAsia="Arial" w:hAnsi="Arial"/>
          <w:sz w:val="17"/>
          <w:szCs w:val="17"/>
          <w:color w:val="auto"/>
        </w:rPr>
        <w:t>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1070" w:type="dxa"/>
        <w:tblCellMar>
          <w:top w:w="0" w:type="dxa"/>
          <w:left w:w="0" w:type="dxa"/>
          <w:bottom w:w="0" w:type="dxa"/>
          <w:right w:w="0" w:type="dxa"/>
        </w:tblCellMar>
      </w:tblPr>
      <w:tr>
        <w:trPr>
          <w:trHeight w:val="195"/>
        </w:trPr>
        <w:tc>
          <w:tcPr>
            <w:tcW w:w="2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20" w:type="dxa"/>
            <w:vAlign w:val="bottom"/>
            <w:tcBorders>
              <w:bottom w:val="single" w:sz="8" w:color="939393"/>
            </w:tcBorders>
          </w:tcPr>
          <w:p>
            <w:pPr>
              <w:spacing w:after="0"/>
              <w:rPr>
                <w:sz w:val="16"/>
                <w:szCs w:val="16"/>
                <w:color w:val="auto"/>
              </w:rPr>
            </w:pPr>
          </w:p>
        </w:tc>
        <w:tc>
          <w:tcPr>
            <w:tcW w:w="460" w:type="dxa"/>
            <w:vAlign w:val="bottom"/>
          </w:tcPr>
          <w:p>
            <w:pPr>
              <w:ind w:left="40"/>
              <w:spacing w:after="0"/>
              <w:rPr>
                <w:sz w:val="20"/>
                <w:szCs w:val="20"/>
                <w:color w:val="auto"/>
              </w:rPr>
            </w:pPr>
            <w:r>
              <w:rPr>
                <w:rFonts w:ascii="Arial" w:cs="Arial" w:eastAsia="Arial" w:hAnsi="Arial"/>
                <w:sz w:val="17"/>
                <w:szCs w:val="17"/>
                <w:color w:val="auto"/>
                <w:w w:val="98"/>
              </w:rPr>
              <w:t>AAOI</w:t>
            </w:r>
          </w:p>
        </w:tc>
        <w:tc>
          <w:tcPr>
            <w:tcW w:w="200" w:type="dxa"/>
            <w:vAlign w:val="bottom"/>
          </w:tcPr>
          <w:p>
            <w:pPr>
              <w:spacing w:after="0"/>
              <w:rPr>
                <w:sz w:val="16"/>
                <w:szCs w:val="16"/>
                <w:color w:val="auto"/>
              </w:rPr>
            </w:pPr>
          </w:p>
        </w:tc>
        <w:tc>
          <w:tcPr>
            <w:tcW w:w="320" w:type="dxa"/>
            <w:vAlign w:val="bottom"/>
            <w:tcBorders>
              <w:bottom w:val="single" w:sz="8" w:color="A3A3A3"/>
            </w:tcBorders>
          </w:tcPr>
          <w:p>
            <w:pPr>
              <w:spacing w:after="0"/>
              <w:rPr>
                <w:sz w:val="16"/>
                <w:szCs w:val="16"/>
                <w:color w:val="auto"/>
              </w:rPr>
            </w:pPr>
          </w:p>
        </w:tc>
        <w:tc>
          <w:tcPr>
            <w:tcW w:w="1600" w:type="dxa"/>
            <w:vAlign w:val="bottom"/>
            <w:gridSpan w:val="2"/>
          </w:tcPr>
          <w:p>
            <w:pPr>
              <w:ind w:left="40"/>
              <w:spacing w:after="0"/>
              <w:rPr>
                <w:sz w:val="20"/>
                <w:szCs w:val="20"/>
                <w:color w:val="auto"/>
              </w:rPr>
            </w:pPr>
            <w:r>
              <w:rPr>
                <w:rFonts w:ascii="Arial" w:cs="Arial" w:eastAsia="Arial" w:hAnsi="Arial"/>
                <w:sz w:val="17"/>
                <w:szCs w:val="17"/>
                <w:color w:val="auto"/>
              </w:rPr>
              <w:t>NASDAQ Telecom</w:t>
            </w:r>
          </w:p>
        </w:tc>
        <w:tc>
          <w:tcPr>
            <w:tcW w:w="160" w:type="dxa"/>
            <w:vAlign w:val="bottom"/>
            <w:tcBorders>
              <w:bottom w:val="single" w:sz="8" w:color="717171"/>
            </w:tcBorders>
          </w:tcPr>
          <w:p>
            <w:pPr>
              <w:spacing w:after="0"/>
              <w:rPr>
                <w:sz w:val="16"/>
                <w:szCs w:val="16"/>
                <w:color w:val="auto"/>
              </w:rPr>
            </w:pPr>
          </w:p>
        </w:tc>
        <w:tc>
          <w:tcPr>
            <w:tcW w:w="20" w:type="dxa"/>
            <w:vAlign w:val="bottom"/>
            <w:tcBorders>
              <w:bottom w:val="single" w:sz="8" w:color="717171"/>
            </w:tcBorders>
          </w:tcPr>
          <w:p>
            <w:pPr>
              <w:spacing w:after="0"/>
              <w:rPr>
                <w:sz w:val="16"/>
                <w:szCs w:val="16"/>
                <w:color w:val="auto"/>
              </w:rPr>
            </w:pPr>
          </w:p>
        </w:tc>
        <w:tc>
          <w:tcPr>
            <w:tcW w:w="140" w:type="dxa"/>
            <w:vAlign w:val="bottom"/>
            <w:tcBorders>
              <w:bottom w:val="single" w:sz="8" w:color="717171"/>
            </w:tcBorders>
          </w:tcPr>
          <w:p>
            <w:pPr>
              <w:spacing w:after="0"/>
              <w:rPr>
                <w:sz w:val="16"/>
                <w:szCs w:val="16"/>
                <w:color w:val="auto"/>
              </w:rPr>
            </w:pPr>
          </w:p>
        </w:tc>
        <w:tc>
          <w:tcPr>
            <w:tcW w:w="3100" w:type="dxa"/>
            <w:vAlign w:val="bottom"/>
            <w:gridSpan w:val="2"/>
          </w:tcPr>
          <w:p>
            <w:pPr>
              <w:ind w:left="40"/>
              <w:spacing w:after="0"/>
              <w:rPr>
                <w:sz w:val="20"/>
                <w:szCs w:val="20"/>
                <w:color w:val="auto"/>
              </w:rPr>
            </w:pPr>
            <w:r>
              <w:rPr>
                <w:rFonts w:ascii="Arial" w:cs="Arial" w:eastAsia="Arial" w:hAnsi="Arial"/>
                <w:sz w:val="17"/>
                <w:szCs w:val="17"/>
                <w:color w:val="auto"/>
              </w:rPr>
              <w:t>NASDAQ Composite</w:t>
            </w:r>
          </w:p>
        </w:tc>
        <w:tc>
          <w:tcPr>
            <w:tcW w:w="240" w:type="dxa"/>
            <w:vAlign w:val="bottom"/>
          </w:tcPr>
          <w:p>
            <w:pPr>
              <w:spacing w:after="0"/>
              <w:rPr>
                <w:sz w:val="16"/>
                <w:szCs w:val="16"/>
                <w:color w:val="auto"/>
              </w:rPr>
            </w:pPr>
          </w:p>
        </w:tc>
      </w:tr>
      <w:tr>
        <w:trPr>
          <w:trHeight w:val="184"/>
        </w:trPr>
        <w:tc>
          <w:tcPr>
            <w:tcW w:w="240" w:type="dxa"/>
            <w:vAlign w:val="bottom"/>
          </w:tcPr>
          <w:p>
            <w:pPr>
              <w:spacing w:after="0"/>
              <w:rPr>
                <w:sz w:val="16"/>
                <w:szCs w:val="16"/>
                <w:color w:val="auto"/>
              </w:rPr>
            </w:pPr>
          </w:p>
        </w:tc>
        <w:tc>
          <w:tcPr>
            <w:tcW w:w="1680" w:type="dxa"/>
            <w:vAlign w:val="bottom"/>
            <w:tcBorders>
              <w:bottom w:val="single" w:sz="8" w:color="888888"/>
            </w:tcBorders>
          </w:tcPr>
          <w:p>
            <w:pPr>
              <w:spacing w:after="0"/>
              <w:rPr>
                <w:sz w:val="16"/>
                <w:szCs w:val="16"/>
                <w:color w:val="auto"/>
              </w:rPr>
            </w:pPr>
          </w:p>
        </w:tc>
        <w:tc>
          <w:tcPr>
            <w:tcW w:w="780" w:type="dxa"/>
            <w:vAlign w:val="bottom"/>
            <w:tcBorders>
              <w:bottom w:val="single" w:sz="8" w:color="888888"/>
            </w:tcBorders>
            <w:gridSpan w:val="2"/>
          </w:tcPr>
          <w:p>
            <w:pPr>
              <w:spacing w:after="0"/>
              <w:rPr>
                <w:sz w:val="16"/>
                <w:szCs w:val="16"/>
                <w:color w:val="auto"/>
              </w:rPr>
            </w:pPr>
          </w:p>
        </w:tc>
        <w:tc>
          <w:tcPr>
            <w:tcW w:w="1622" w:type="dxa"/>
            <w:vAlign w:val="bottom"/>
            <w:tcBorders>
              <w:bottom w:val="single" w:sz="8" w:color="888888"/>
            </w:tcBorders>
            <w:gridSpan w:val="3"/>
          </w:tcPr>
          <w:p>
            <w:pPr>
              <w:spacing w:after="0"/>
              <w:rPr>
                <w:sz w:val="16"/>
                <w:szCs w:val="16"/>
                <w:color w:val="auto"/>
              </w:rPr>
            </w:pPr>
          </w:p>
        </w:tc>
        <w:tc>
          <w:tcPr>
            <w:tcW w:w="2058" w:type="dxa"/>
            <w:vAlign w:val="bottom"/>
            <w:tcBorders>
              <w:bottom w:val="single" w:sz="8" w:color="888888"/>
            </w:tcBorders>
            <w:gridSpan w:val="5"/>
          </w:tcPr>
          <w:p>
            <w:pPr>
              <w:spacing w:after="0"/>
              <w:rPr>
                <w:sz w:val="16"/>
                <w:szCs w:val="16"/>
                <w:color w:val="auto"/>
              </w:rPr>
            </w:pPr>
          </w:p>
        </w:tc>
        <w:tc>
          <w:tcPr>
            <w:tcW w:w="1860" w:type="dxa"/>
            <w:vAlign w:val="bottom"/>
            <w:tcBorders>
              <w:bottom w:val="single" w:sz="8" w:color="888888"/>
            </w:tcBorders>
          </w:tcPr>
          <w:p>
            <w:pPr>
              <w:spacing w:after="0"/>
              <w:rPr>
                <w:sz w:val="16"/>
                <w:szCs w:val="16"/>
                <w:color w:val="auto"/>
              </w:rPr>
            </w:pPr>
          </w:p>
        </w:tc>
        <w:tc>
          <w:tcPr>
            <w:tcW w:w="240" w:type="dxa"/>
            <w:vAlign w:val="bottom"/>
          </w:tcPr>
          <w:p>
            <w:pPr>
              <w:spacing w:after="0"/>
              <w:rPr>
                <w:sz w:val="16"/>
                <w:szCs w:val="16"/>
                <w:color w:val="auto"/>
              </w:rPr>
            </w:pPr>
          </w:p>
        </w:tc>
      </w:tr>
      <w:tr>
        <w:trPr>
          <w:trHeight w:val="371"/>
        </w:trPr>
        <w:tc>
          <w:tcPr>
            <w:tcW w:w="2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spacing w:after="0"/>
              <w:rPr>
                <w:sz w:val="24"/>
                <w:szCs w:val="24"/>
                <w:color w:val="auto"/>
              </w:rPr>
            </w:pPr>
          </w:p>
        </w:tc>
        <w:tc>
          <w:tcPr>
            <w:tcW w:w="1622" w:type="dxa"/>
            <w:vAlign w:val="bottom"/>
            <w:tcBorders>
              <w:bottom w:val="single" w:sz="8" w:color="auto"/>
            </w:tcBorders>
            <w:gridSpan w:val="3"/>
          </w:tcPr>
          <w:p>
            <w:pPr>
              <w:spacing w:after="0"/>
              <w:rPr>
                <w:sz w:val="24"/>
                <w:szCs w:val="24"/>
                <w:color w:val="auto"/>
              </w:rPr>
            </w:pPr>
          </w:p>
        </w:tc>
        <w:tc>
          <w:tcPr>
            <w:tcW w:w="2058" w:type="dxa"/>
            <w:vAlign w:val="bottom"/>
            <w:tcBorders>
              <w:bottom w:val="single" w:sz="8" w:color="auto"/>
            </w:tcBorders>
            <w:gridSpan w:val="5"/>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r>
      <w:tr>
        <w:trPr>
          <w:trHeight w:val="248"/>
        </w:trPr>
        <w:tc>
          <w:tcPr>
            <w:tcW w:w="240" w:type="dxa"/>
            <w:vAlign w:val="bottom"/>
            <w:tcBorders>
              <w:left w:val="single" w:sz="8" w:color="auto"/>
              <w:bottom w:val="single" w:sz="8" w:color="auto"/>
            </w:tcBorders>
          </w:tcPr>
          <w:p>
            <w:pPr>
              <w:spacing w:after="0"/>
              <w:rPr>
                <w:sz w:val="21"/>
                <w:szCs w:val="21"/>
                <w:color w:val="auto"/>
              </w:rPr>
            </w:pPr>
          </w:p>
        </w:tc>
        <w:tc>
          <w:tcPr>
            <w:tcW w:w="2460" w:type="dxa"/>
            <w:vAlign w:val="bottom"/>
            <w:tcBorders>
              <w:bottom w:val="single" w:sz="8" w:color="auto"/>
            </w:tcBorders>
            <w:gridSpan w:val="3"/>
          </w:tcPr>
          <w:p>
            <w:pPr>
              <w:jc w:val="center"/>
              <w:ind w:right="734"/>
              <w:spacing w:after="0"/>
              <w:rPr>
                <w:sz w:val="20"/>
                <w:szCs w:val="20"/>
                <w:color w:val="auto"/>
              </w:rPr>
            </w:pPr>
            <w:r>
              <w:rPr>
                <w:rFonts w:ascii="Times New Roman" w:cs="Times New Roman" w:eastAsia="Times New Roman" w:hAnsi="Times New Roman"/>
                <w:sz w:val="20"/>
                <w:szCs w:val="20"/>
                <w:b w:val="1"/>
                <w:bCs w:val="1"/>
                <w:color w:val="auto"/>
                <w:w w:val="99"/>
              </w:rPr>
              <w:t>Date</w:t>
            </w:r>
          </w:p>
        </w:tc>
        <w:tc>
          <w:tcPr>
            <w:tcW w:w="1622"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20"/>
                <w:szCs w:val="20"/>
                <w:b w:val="1"/>
                <w:bCs w:val="1"/>
                <w:color w:val="auto"/>
              </w:rPr>
              <w:t>AAOI</w:t>
            </w:r>
          </w:p>
        </w:tc>
        <w:tc>
          <w:tcPr>
            <w:tcW w:w="2058" w:type="dxa"/>
            <w:vAlign w:val="bottom"/>
            <w:tcBorders>
              <w:bottom w:val="single" w:sz="8" w:color="auto"/>
            </w:tcBorders>
            <w:gridSpan w:val="5"/>
          </w:tcPr>
          <w:p>
            <w:pPr>
              <w:ind w:left="118"/>
              <w:spacing w:after="0"/>
              <w:rPr>
                <w:sz w:val="20"/>
                <w:szCs w:val="20"/>
                <w:color w:val="auto"/>
              </w:rPr>
            </w:pPr>
            <w:r>
              <w:rPr>
                <w:rFonts w:ascii="Times New Roman" w:cs="Times New Roman" w:eastAsia="Times New Roman" w:hAnsi="Times New Roman"/>
                <w:sz w:val="20"/>
                <w:szCs w:val="20"/>
                <w:b w:val="1"/>
                <w:bCs w:val="1"/>
                <w:color w:val="auto"/>
              </w:rPr>
              <w:t>NASDAQ Telecom</w:t>
            </w:r>
          </w:p>
        </w:tc>
        <w:tc>
          <w:tcPr>
            <w:tcW w:w="18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w w:val="97"/>
              </w:rPr>
              <w:t>NASDAQ Composite</w:t>
            </w:r>
          </w:p>
        </w:tc>
        <w:tc>
          <w:tcPr>
            <w:tcW w:w="240" w:type="dxa"/>
            <w:vAlign w:val="bottom"/>
            <w:tcBorders>
              <w:bottom w:val="single" w:sz="8" w:color="auto"/>
              <w:right w:val="single" w:sz="8" w:color="auto"/>
            </w:tcBorders>
          </w:tcPr>
          <w:p>
            <w:pPr>
              <w:spacing w:after="0"/>
              <w:rPr>
                <w:sz w:val="21"/>
                <w:szCs w:val="21"/>
                <w:color w:val="auto"/>
              </w:rPr>
            </w:pPr>
          </w:p>
        </w:tc>
      </w:tr>
      <w:tr>
        <w:trPr>
          <w:trHeight w:val="233"/>
        </w:trPr>
        <w:tc>
          <w:tcPr>
            <w:tcW w:w="240" w:type="dxa"/>
            <w:vAlign w:val="bottom"/>
            <w:tcBorders>
              <w:left w:val="single" w:sz="8" w:color="auto"/>
              <w:bottom w:val="single" w:sz="8" w:color="auto"/>
            </w:tcBorders>
            <w:shd w:val="clear" w:color="auto" w:fill="D1D1D1"/>
          </w:tcPr>
          <w:p>
            <w:pPr>
              <w:spacing w:after="0"/>
              <w:rPr>
                <w:sz w:val="20"/>
                <w:szCs w:val="20"/>
                <w:color w:val="auto"/>
              </w:rPr>
            </w:pPr>
          </w:p>
        </w:tc>
        <w:tc>
          <w:tcPr>
            <w:tcW w:w="1680" w:type="dxa"/>
            <w:vAlign w:val="bottom"/>
            <w:tcBorders>
              <w:bottom w:val="single" w:sz="8" w:color="auto"/>
            </w:tcBorders>
            <w:shd w:val="clear" w:color="auto" w:fill="D1D1D1"/>
          </w:tcPr>
          <w:p>
            <w:pPr>
              <w:jc w:val="center"/>
              <w:spacing w:after="0" w:line="229" w:lineRule="exact"/>
              <w:rPr>
                <w:sz w:val="20"/>
                <w:szCs w:val="20"/>
                <w:color w:val="auto"/>
              </w:rPr>
            </w:pPr>
            <w:r>
              <w:rPr>
                <w:rFonts w:ascii="Times New Roman" w:cs="Times New Roman" w:eastAsia="Times New Roman" w:hAnsi="Times New Roman"/>
                <w:sz w:val="20"/>
                <w:szCs w:val="20"/>
                <w:color w:val="auto"/>
                <w:w w:val="98"/>
              </w:rPr>
              <w:t>12/31/2020</w:t>
            </w:r>
          </w:p>
        </w:tc>
        <w:tc>
          <w:tcPr>
            <w:tcW w:w="320" w:type="dxa"/>
            <w:vAlign w:val="bottom"/>
            <w:tcBorders>
              <w:bottom w:val="single" w:sz="8" w:color="auto"/>
            </w:tcBorders>
            <w:shd w:val="clear" w:color="auto" w:fill="D1D1D1"/>
          </w:tcPr>
          <w:p>
            <w:pPr>
              <w:spacing w:after="0"/>
              <w:rPr>
                <w:sz w:val="20"/>
                <w:szCs w:val="20"/>
                <w:color w:val="auto"/>
              </w:rPr>
            </w:pPr>
          </w:p>
        </w:tc>
        <w:tc>
          <w:tcPr>
            <w:tcW w:w="460" w:type="dxa"/>
            <w:vAlign w:val="bottom"/>
            <w:tcBorders>
              <w:bottom w:val="single" w:sz="8" w:color="auto"/>
            </w:tcBorders>
            <w:shd w:val="clear" w:color="auto" w:fill="D1D1D1"/>
          </w:tcPr>
          <w:p>
            <w:pPr>
              <w:spacing w:after="0"/>
              <w:rPr>
                <w:sz w:val="20"/>
                <w:szCs w:val="20"/>
                <w:color w:val="auto"/>
              </w:rPr>
            </w:pPr>
          </w:p>
        </w:tc>
        <w:tc>
          <w:tcPr>
            <w:tcW w:w="1622" w:type="dxa"/>
            <w:vAlign w:val="bottom"/>
            <w:tcBorders>
              <w:bottom w:val="single" w:sz="8" w:color="auto"/>
            </w:tcBorders>
            <w:gridSpan w:val="3"/>
            <w:shd w:val="clear" w:color="auto" w:fill="D1D1D1"/>
          </w:tcPr>
          <w:p>
            <w:pPr>
              <w:jc w:val="center"/>
              <w:ind w:right="676"/>
              <w:spacing w:after="0" w:line="229" w:lineRule="exact"/>
              <w:rPr>
                <w:sz w:val="20"/>
                <w:szCs w:val="20"/>
                <w:color w:val="auto"/>
              </w:rPr>
            </w:pPr>
            <w:r>
              <w:rPr>
                <w:rFonts w:ascii="Times New Roman" w:cs="Times New Roman" w:eastAsia="Times New Roman" w:hAnsi="Times New Roman"/>
                <w:sz w:val="20"/>
                <w:szCs w:val="20"/>
                <w:color w:val="auto"/>
                <w:w w:val="97"/>
              </w:rPr>
              <w:t>100.00%</w:t>
            </w:r>
          </w:p>
        </w:tc>
        <w:tc>
          <w:tcPr>
            <w:tcW w:w="498" w:type="dxa"/>
            <w:vAlign w:val="bottom"/>
            <w:tcBorders>
              <w:bottom w:val="single" w:sz="8" w:color="auto"/>
            </w:tcBorders>
            <w:shd w:val="clear" w:color="auto" w:fill="D1D1D1"/>
          </w:tcPr>
          <w:p>
            <w:pPr>
              <w:spacing w:after="0"/>
              <w:rPr>
                <w:sz w:val="20"/>
                <w:szCs w:val="20"/>
                <w:color w:val="auto"/>
              </w:rPr>
            </w:pPr>
          </w:p>
        </w:tc>
        <w:tc>
          <w:tcPr>
            <w:tcW w:w="1560" w:type="dxa"/>
            <w:vAlign w:val="bottom"/>
            <w:tcBorders>
              <w:bottom w:val="single" w:sz="8" w:color="auto"/>
            </w:tcBorders>
            <w:gridSpan w:val="4"/>
            <w:shd w:val="clear" w:color="auto" w:fill="D1D1D1"/>
          </w:tcPr>
          <w:p>
            <w:pPr>
              <w:jc w:val="center"/>
              <w:ind w:right="614"/>
              <w:spacing w:after="0" w:line="229" w:lineRule="exact"/>
              <w:rPr>
                <w:sz w:val="20"/>
                <w:szCs w:val="20"/>
                <w:color w:val="auto"/>
              </w:rPr>
            </w:pPr>
            <w:r>
              <w:rPr>
                <w:rFonts w:ascii="Times New Roman" w:cs="Times New Roman" w:eastAsia="Times New Roman" w:hAnsi="Times New Roman"/>
                <w:sz w:val="20"/>
                <w:szCs w:val="20"/>
                <w:color w:val="auto"/>
                <w:w w:val="97"/>
              </w:rPr>
              <w:t>100.00%</w:t>
            </w:r>
          </w:p>
        </w:tc>
        <w:tc>
          <w:tcPr>
            <w:tcW w:w="1860" w:type="dxa"/>
            <w:vAlign w:val="bottom"/>
            <w:tcBorders>
              <w:bottom w:val="single" w:sz="8" w:color="auto"/>
            </w:tcBorders>
            <w:shd w:val="clear" w:color="auto" w:fill="D1D1D1"/>
          </w:tcPr>
          <w:p>
            <w:pPr>
              <w:jc w:val="center"/>
              <w:ind w:left="23"/>
              <w:spacing w:after="0" w:line="229" w:lineRule="exact"/>
              <w:rPr>
                <w:sz w:val="20"/>
                <w:szCs w:val="20"/>
                <w:color w:val="auto"/>
              </w:rPr>
            </w:pPr>
            <w:r>
              <w:rPr>
                <w:rFonts w:ascii="Times New Roman" w:cs="Times New Roman" w:eastAsia="Times New Roman" w:hAnsi="Times New Roman"/>
                <w:sz w:val="20"/>
                <w:szCs w:val="20"/>
                <w:color w:val="auto"/>
                <w:w w:val="97"/>
              </w:rPr>
              <w:t>100.00%</w:t>
            </w:r>
          </w:p>
        </w:tc>
        <w:tc>
          <w:tcPr>
            <w:tcW w:w="240" w:type="dxa"/>
            <w:vAlign w:val="bottom"/>
            <w:tcBorders>
              <w:bottom w:val="single" w:sz="8" w:color="auto"/>
              <w:right w:val="single" w:sz="8" w:color="auto"/>
            </w:tcBorders>
            <w:shd w:val="clear" w:color="auto" w:fill="D1D1D1"/>
          </w:tcPr>
          <w:p>
            <w:pPr>
              <w:spacing w:after="0"/>
              <w:rPr>
                <w:sz w:val="20"/>
                <w:szCs w:val="20"/>
                <w:color w:val="auto"/>
              </w:rPr>
            </w:pPr>
          </w:p>
        </w:tc>
      </w:tr>
      <w:tr>
        <w:trPr>
          <w:trHeight w:val="245"/>
        </w:trPr>
        <w:tc>
          <w:tcPr>
            <w:tcW w:w="240" w:type="dxa"/>
            <w:vAlign w:val="bottom"/>
            <w:tcBorders>
              <w:left w:val="single" w:sz="8" w:color="auto"/>
              <w:bottom w:val="single" w:sz="8" w:color="auto"/>
            </w:tcBorders>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12/31/2021</w:t>
            </w:r>
          </w:p>
        </w:tc>
        <w:tc>
          <w:tcPr>
            <w:tcW w:w="3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622" w:type="dxa"/>
            <w:vAlign w:val="bottom"/>
            <w:tcBorders>
              <w:bottom w:val="single" w:sz="8" w:color="auto"/>
            </w:tcBorders>
            <w:gridSpan w:val="3"/>
          </w:tcPr>
          <w:p>
            <w:pPr>
              <w:jc w:val="center"/>
              <w:ind w:right="676"/>
              <w:spacing w:after="0"/>
              <w:rPr>
                <w:sz w:val="20"/>
                <w:szCs w:val="20"/>
                <w:color w:val="auto"/>
              </w:rPr>
            </w:pPr>
            <w:r>
              <w:rPr>
                <w:rFonts w:ascii="Times New Roman" w:cs="Times New Roman" w:eastAsia="Times New Roman" w:hAnsi="Times New Roman"/>
                <w:sz w:val="20"/>
                <w:szCs w:val="20"/>
                <w:color w:val="auto"/>
              </w:rPr>
              <w:t>60.40%</w:t>
            </w:r>
          </w:p>
        </w:tc>
        <w:tc>
          <w:tcPr>
            <w:tcW w:w="498"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4"/>
          </w:tcPr>
          <w:p>
            <w:pPr>
              <w:jc w:val="center"/>
              <w:ind w:right="614"/>
              <w:spacing w:after="0"/>
              <w:rPr>
                <w:sz w:val="20"/>
                <w:szCs w:val="20"/>
                <w:color w:val="auto"/>
              </w:rPr>
            </w:pPr>
            <w:r>
              <w:rPr>
                <w:rFonts w:ascii="Times New Roman" w:cs="Times New Roman" w:eastAsia="Times New Roman" w:hAnsi="Times New Roman"/>
                <w:sz w:val="20"/>
                <w:szCs w:val="20"/>
                <w:color w:val="auto"/>
                <w:w w:val="97"/>
              </w:rPr>
              <w:t>104.78%</w:t>
            </w:r>
          </w:p>
        </w:tc>
        <w:tc>
          <w:tcPr>
            <w:tcW w:w="1860" w:type="dxa"/>
            <w:vAlign w:val="bottom"/>
            <w:tcBorders>
              <w:bottom w:val="single" w:sz="8" w:color="auto"/>
            </w:tcBorders>
          </w:tcPr>
          <w:p>
            <w:pPr>
              <w:jc w:val="center"/>
              <w:ind w:left="23"/>
              <w:spacing w:after="0"/>
              <w:rPr>
                <w:sz w:val="20"/>
                <w:szCs w:val="20"/>
                <w:color w:val="auto"/>
              </w:rPr>
            </w:pPr>
            <w:r>
              <w:rPr>
                <w:rFonts w:ascii="Times New Roman" w:cs="Times New Roman" w:eastAsia="Times New Roman" w:hAnsi="Times New Roman"/>
                <w:sz w:val="20"/>
                <w:szCs w:val="20"/>
                <w:color w:val="auto"/>
                <w:w w:val="97"/>
              </w:rPr>
              <w:t>121.39%</w:t>
            </w:r>
          </w:p>
        </w:tc>
        <w:tc>
          <w:tcPr>
            <w:tcW w:w="240" w:type="dxa"/>
            <w:vAlign w:val="bottom"/>
            <w:tcBorders>
              <w:bottom w:val="single" w:sz="8" w:color="auto"/>
              <w:right w:val="single" w:sz="8" w:color="auto"/>
            </w:tcBorders>
          </w:tcPr>
          <w:p>
            <w:pPr>
              <w:spacing w:after="0"/>
              <w:rPr>
                <w:sz w:val="21"/>
                <w:szCs w:val="21"/>
                <w:color w:val="auto"/>
              </w:rPr>
            </w:pPr>
          </w:p>
        </w:tc>
      </w:tr>
      <w:tr>
        <w:trPr>
          <w:trHeight w:val="235"/>
        </w:trPr>
        <w:tc>
          <w:tcPr>
            <w:tcW w:w="240" w:type="dxa"/>
            <w:vAlign w:val="bottom"/>
            <w:tcBorders>
              <w:left w:val="single" w:sz="8" w:color="auto"/>
              <w:bottom w:val="single" w:sz="8" w:color="auto"/>
            </w:tcBorders>
            <w:shd w:val="clear" w:color="auto" w:fill="D1D1D1"/>
          </w:tcPr>
          <w:p>
            <w:pPr>
              <w:spacing w:after="0"/>
              <w:rPr>
                <w:sz w:val="20"/>
                <w:szCs w:val="20"/>
                <w:color w:val="auto"/>
              </w:rPr>
            </w:pPr>
          </w:p>
        </w:tc>
        <w:tc>
          <w:tcPr>
            <w:tcW w:w="1680" w:type="dxa"/>
            <w:vAlign w:val="bottom"/>
            <w:tcBorders>
              <w:bottom w:val="single" w:sz="8" w:color="auto"/>
            </w:tcBorders>
            <w:shd w:val="clear" w:color="auto" w:fill="D1D1D1"/>
          </w:tcPr>
          <w:p>
            <w:pPr>
              <w:jc w:val="center"/>
              <w:spacing w:after="0"/>
              <w:rPr>
                <w:sz w:val="20"/>
                <w:szCs w:val="20"/>
                <w:color w:val="auto"/>
              </w:rPr>
            </w:pPr>
            <w:r>
              <w:rPr>
                <w:rFonts w:ascii="Times New Roman" w:cs="Times New Roman" w:eastAsia="Times New Roman" w:hAnsi="Times New Roman"/>
                <w:sz w:val="20"/>
                <w:szCs w:val="20"/>
                <w:color w:val="auto"/>
                <w:w w:val="98"/>
              </w:rPr>
              <w:t>12/31/2022</w:t>
            </w:r>
          </w:p>
        </w:tc>
        <w:tc>
          <w:tcPr>
            <w:tcW w:w="320" w:type="dxa"/>
            <w:vAlign w:val="bottom"/>
            <w:tcBorders>
              <w:bottom w:val="single" w:sz="8" w:color="auto"/>
            </w:tcBorders>
            <w:shd w:val="clear" w:color="auto" w:fill="D1D1D1"/>
          </w:tcPr>
          <w:p>
            <w:pPr>
              <w:spacing w:after="0"/>
              <w:rPr>
                <w:sz w:val="20"/>
                <w:szCs w:val="20"/>
                <w:color w:val="auto"/>
              </w:rPr>
            </w:pPr>
          </w:p>
        </w:tc>
        <w:tc>
          <w:tcPr>
            <w:tcW w:w="460" w:type="dxa"/>
            <w:vAlign w:val="bottom"/>
            <w:tcBorders>
              <w:bottom w:val="single" w:sz="8" w:color="auto"/>
            </w:tcBorders>
            <w:shd w:val="clear" w:color="auto" w:fill="D1D1D1"/>
          </w:tcPr>
          <w:p>
            <w:pPr>
              <w:spacing w:after="0"/>
              <w:rPr>
                <w:sz w:val="20"/>
                <w:szCs w:val="20"/>
                <w:color w:val="auto"/>
              </w:rPr>
            </w:pPr>
          </w:p>
        </w:tc>
        <w:tc>
          <w:tcPr>
            <w:tcW w:w="1622" w:type="dxa"/>
            <w:vAlign w:val="bottom"/>
            <w:tcBorders>
              <w:bottom w:val="single" w:sz="8" w:color="auto"/>
            </w:tcBorders>
            <w:gridSpan w:val="3"/>
            <w:shd w:val="clear" w:color="auto" w:fill="D1D1D1"/>
          </w:tcPr>
          <w:p>
            <w:pPr>
              <w:jc w:val="center"/>
              <w:ind w:right="676"/>
              <w:spacing w:after="0"/>
              <w:rPr>
                <w:sz w:val="20"/>
                <w:szCs w:val="20"/>
                <w:color w:val="auto"/>
              </w:rPr>
            </w:pPr>
            <w:r>
              <w:rPr>
                <w:rFonts w:ascii="Times New Roman" w:cs="Times New Roman" w:eastAsia="Times New Roman" w:hAnsi="Times New Roman"/>
                <w:sz w:val="20"/>
                <w:szCs w:val="20"/>
                <w:color w:val="auto"/>
              </w:rPr>
              <w:t>22.21%</w:t>
            </w:r>
          </w:p>
        </w:tc>
        <w:tc>
          <w:tcPr>
            <w:tcW w:w="498" w:type="dxa"/>
            <w:vAlign w:val="bottom"/>
            <w:tcBorders>
              <w:bottom w:val="single" w:sz="8" w:color="auto"/>
            </w:tcBorders>
            <w:shd w:val="clear" w:color="auto" w:fill="D1D1D1"/>
          </w:tcPr>
          <w:p>
            <w:pPr>
              <w:spacing w:after="0"/>
              <w:rPr>
                <w:sz w:val="20"/>
                <w:szCs w:val="20"/>
                <w:color w:val="auto"/>
              </w:rPr>
            </w:pPr>
          </w:p>
        </w:tc>
        <w:tc>
          <w:tcPr>
            <w:tcW w:w="1560" w:type="dxa"/>
            <w:vAlign w:val="bottom"/>
            <w:tcBorders>
              <w:bottom w:val="single" w:sz="8" w:color="auto"/>
            </w:tcBorders>
            <w:gridSpan w:val="4"/>
            <w:shd w:val="clear" w:color="auto" w:fill="D1D1D1"/>
          </w:tcPr>
          <w:p>
            <w:pPr>
              <w:jc w:val="center"/>
              <w:ind w:right="614"/>
              <w:spacing w:after="0"/>
              <w:rPr>
                <w:sz w:val="20"/>
                <w:szCs w:val="20"/>
                <w:color w:val="auto"/>
              </w:rPr>
            </w:pPr>
            <w:r>
              <w:rPr>
                <w:rFonts w:ascii="Times New Roman" w:cs="Times New Roman" w:eastAsia="Times New Roman" w:hAnsi="Times New Roman"/>
                <w:sz w:val="20"/>
                <w:szCs w:val="20"/>
                <w:color w:val="auto"/>
              </w:rPr>
              <w:t>78.34%</w:t>
            </w:r>
          </w:p>
        </w:tc>
        <w:tc>
          <w:tcPr>
            <w:tcW w:w="1860" w:type="dxa"/>
            <w:vAlign w:val="bottom"/>
            <w:tcBorders>
              <w:bottom w:val="single" w:sz="8" w:color="auto"/>
            </w:tcBorders>
            <w:shd w:val="clear" w:color="auto" w:fill="D1D1D1"/>
          </w:tcPr>
          <w:p>
            <w:pPr>
              <w:jc w:val="center"/>
              <w:ind w:left="43"/>
              <w:spacing w:after="0" w:line="229" w:lineRule="exact"/>
              <w:rPr>
                <w:sz w:val="20"/>
                <w:szCs w:val="20"/>
                <w:color w:val="auto"/>
              </w:rPr>
            </w:pPr>
            <w:r>
              <w:rPr>
                <w:rFonts w:ascii="Times New Roman" w:cs="Times New Roman" w:eastAsia="Times New Roman" w:hAnsi="Times New Roman"/>
                <w:sz w:val="20"/>
                <w:szCs w:val="20"/>
                <w:color w:val="auto"/>
                <w:w w:val="97"/>
              </w:rPr>
              <w:t>81.21%</w:t>
            </w:r>
          </w:p>
        </w:tc>
        <w:tc>
          <w:tcPr>
            <w:tcW w:w="240" w:type="dxa"/>
            <w:vAlign w:val="bottom"/>
            <w:tcBorders>
              <w:bottom w:val="single" w:sz="8" w:color="auto"/>
              <w:right w:val="single" w:sz="8" w:color="auto"/>
            </w:tcBorders>
            <w:shd w:val="clear" w:color="auto" w:fill="D1D1D1"/>
          </w:tcPr>
          <w:p>
            <w:pPr>
              <w:spacing w:after="0"/>
              <w:rPr>
                <w:sz w:val="20"/>
                <w:szCs w:val="20"/>
                <w:color w:val="auto"/>
              </w:rPr>
            </w:pPr>
          </w:p>
        </w:tc>
      </w:tr>
      <w:tr>
        <w:trPr>
          <w:trHeight w:val="245"/>
        </w:trPr>
        <w:tc>
          <w:tcPr>
            <w:tcW w:w="240" w:type="dxa"/>
            <w:vAlign w:val="bottom"/>
            <w:tcBorders>
              <w:left w:val="single" w:sz="8" w:color="auto"/>
              <w:bottom w:val="single" w:sz="8" w:color="auto"/>
            </w:tcBorders>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12/31/2023</w:t>
            </w:r>
          </w:p>
        </w:tc>
        <w:tc>
          <w:tcPr>
            <w:tcW w:w="3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622" w:type="dxa"/>
            <w:vAlign w:val="bottom"/>
            <w:tcBorders>
              <w:bottom w:val="single" w:sz="8" w:color="auto"/>
            </w:tcBorders>
            <w:gridSpan w:val="3"/>
          </w:tcPr>
          <w:p>
            <w:pPr>
              <w:jc w:val="center"/>
              <w:ind w:right="676"/>
              <w:spacing w:after="0"/>
              <w:rPr>
                <w:sz w:val="20"/>
                <w:szCs w:val="20"/>
                <w:color w:val="auto"/>
              </w:rPr>
            </w:pPr>
            <w:r>
              <w:rPr>
                <w:rFonts w:ascii="Times New Roman" w:cs="Times New Roman" w:eastAsia="Times New Roman" w:hAnsi="Times New Roman"/>
                <w:sz w:val="20"/>
                <w:szCs w:val="20"/>
                <w:color w:val="auto"/>
                <w:w w:val="97"/>
              </w:rPr>
              <w:t>227.03%</w:t>
            </w:r>
          </w:p>
        </w:tc>
        <w:tc>
          <w:tcPr>
            <w:tcW w:w="498"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4"/>
          </w:tcPr>
          <w:p>
            <w:pPr>
              <w:jc w:val="center"/>
              <w:ind w:right="614"/>
              <w:spacing w:after="0"/>
              <w:rPr>
                <w:sz w:val="20"/>
                <w:szCs w:val="20"/>
                <w:color w:val="auto"/>
              </w:rPr>
            </w:pPr>
            <w:r>
              <w:rPr>
                <w:rFonts w:ascii="Times New Roman" w:cs="Times New Roman" w:eastAsia="Times New Roman" w:hAnsi="Times New Roman"/>
                <w:sz w:val="20"/>
                <w:szCs w:val="20"/>
                <w:color w:val="auto"/>
              </w:rPr>
              <w:t>87.97%</w:t>
            </w:r>
          </w:p>
        </w:tc>
        <w:tc>
          <w:tcPr>
            <w:tcW w:w="1860" w:type="dxa"/>
            <w:vAlign w:val="bottom"/>
            <w:tcBorders>
              <w:bottom w:val="single" w:sz="8" w:color="auto"/>
            </w:tcBorders>
          </w:tcPr>
          <w:p>
            <w:pPr>
              <w:jc w:val="center"/>
              <w:ind w:left="23"/>
              <w:spacing w:after="0"/>
              <w:rPr>
                <w:sz w:val="20"/>
                <w:szCs w:val="20"/>
                <w:color w:val="auto"/>
              </w:rPr>
            </w:pPr>
            <w:r>
              <w:rPr>
                <w:rFonts w:ascii="Times New Roman" w:cs="Times New Roman" w:eastAsia="Times New Roman" w:hAnsi="Times New Roman"/>
                <w:sz w:val="20"/>
                <w:szCs w:val="20"/>
                <w:color w:val="auto"/>
                <w:w w:val="97"/>
              </w:rPr>
              <w:t>116.47%</w:t>
            </w:r>
          </w:p>
        </w:tc>
        <w:tc>
          <w:tcPr>
            <w:tcW w:w="240" w:type="dxa"/>
            <w:vAlign w:val="bottom"/>
            <w:tcBorders>
              <w:bottom w:val="single" w:sz="8" w:color="auto"/>
              <w:right w:val="single" w:sz="8" w:color="auto"/>
            </w:tcBorders>
          </w:tcPr>
          <w:p>
            <w:pPr>
              <w:spacing w:after="0"/>
              <w:rPr>
                <w:sz w:val="21"/>
                <w:szCs w:val="21"/>
                <w:color w:val="auto"/>
              </w:rPr>
            </w:pPr>
          </w:p>
        </w:tc>
      </w:tr>
      <w:tr>
        <w:trPr>
          <w:trHeight w:val="235"/>
        </w:trPr>
        <w:tc>
          <w:tcPr>
            <w:tcW w:w="240" w:type="dxa"/>
            <w:vAlign w:val="bottom"/>
            <w:tcBorders>
              <w:left w:val="single" w:sz="8" w:color="auto"/>
              <w:bottom w:val="single" w:sz="8" w:color="auto"/>
            </w:tcBorders>
            <w:shd w:val="clear" w:color="auto" w:fill="D1D1D1"/>
          </w:tcPr>
          <w:p>
            <w:pPr>
              <w:spacing w:after="0"/>
              <w:rPr>
                <w:sz w:val="20"/>
                <w:szCs w:val="20"/>
                <w:color w:val="auto"/>
              </w:rPr>
            </w:pPr>
          </w:p>
        </w:tc>
        <w:tc>
          <w:tcPr>
            <w:tcW w:w="1680" w:type="dxa"/>
            <w:vAlign w:val="bottom"/>
            <w:tcBorders>
              <w:bottom w:val="single" w:sz="8" w:color="auto"/>
            </w:tcBorders>
            <w:shd w:val="clear" w:color="auto" w:fill="D1D1D1"/>
          </w:tcPr>
          <w:p>
            <w:pPr>
              <w:jc w:val="center"/>
              <w:spacing w:after="0"/>
              <w:rPr>
                <w:sz w:val="20"/>
                <w:szCs w:val="20"/>
                <w:color w:val="auto"/>
              </w:rPr>
            </w:pPr>
            <w:r>
              <w:rPr>
                <w:rFonts w:ascii="Times New Roman" w:cs="Times New Roman" w:eastAsia="Times New Roman" w:hAnsi="Times New Roman"/>
                <w:sz w:val="20"/>
                <w:szCs w:val="20"/>
                <w:color w:val="auto"/>
                <w:w w:val="98"/>
              </w:rPr>
              <w:t>12/31/2024</w:t>
            </w:r>
          </w:p>
        </w:tc>
        <w:tc>
          <w:tcPr>
            <w:tcW w:w="320" w:type="dxa"/>
            <w:vAlign w:val="bottom"/>
            <w:tcBorders>
              <w:bottom w:val="single" w:sz="8" w:color="auto"/>
            </w:tcBorders>
            <w:shd w:val="clear" w:color="auto" w:fill="D1D1D1"/>
          </w:tcPr>
          <w:p>
            <w:pPr>
              <w:spacing w:after="0"/>
              <w:rPr>
                <w:sz w:val="20"/>
                <w:szCs w:val="20"/>
                <w:color w:val="auto"/>
              </w:rPr>
            </w:pPr>
          </w:p>
        </w:tc>
        <w:tc>
          <w:tcPr>
            <w:tcW w:w="460" w:type="dxa"/>
            <w:vAlign w:val="bottom"/>
            <w:tcBorders>
              <w:bottom w:val="single" w:sz="8" w:color="auto"/>
            </w:tcBorders>
            <w:shd w:val="clear" w:color="auto" w:fill="D1D1D1"/>
          </w:tcPr>
          <w:p>
            <w:pPr>
              <w:spacing w:after="0"/>
              <w:rPr>
                <w:sz w:val="20"/>
                <w:szCs w:val="20"/>
                <w:color w:val="auto"/>
              </w:rPr>
            </w:pPr>
          </w:p>
        </w:tc>
        <w:tc>
          <w:tcPr>
            <w:tcW w:w="1622" w:type="dxa"/>
            <w:vAlign w:val="bottom"/>
            <w:tcBorders>
              <w:bottom w:val="single" w:sz="8" w:color="auto"/>
            </w:tcBorders>
            <w:gridSpan w:val="3"/>
            <w:shd w:val="clear" w:color="auto" w:fill="D1D1D1"/>
          </w:tcPr>
          <w:p>
            <w:pPr>
              <w:jc w:val="center"/>
              <w:ind w:right="676"/>
              <w:spacing w:after="0"/>
              <w:rPr>
                <w:sz w:val="20"/>
                <w:szCs w:val="20"/>
                <w:color w:val="auto"/>
              </w:rPr>
            </w:pPr>
            <w:r>
              <w:rPr>
                <w:rFonts w:ascii="Times New Roman" w:cs="Times New Roman" w:eastAsia="Times New Roman" w:hAnsi="Times New Roman"/>
                <w:sz w:val="20"/>
                <w:szCs w:val="20"/>
                <w:color w:val="auto"/>
                <w:w w:val="97"/>
              </w:rPr>
              <w:t>433.14%</w:t>
            </w:r>
          </w:p>
        </w:tc>
        <w:tc>
          <w:tcPr>
            <w:tcW w:w="498" w:type="dxa"/>
            <w:vAlign w:val="bottom"/>
            <w:tcBorders>
              <w:bottom w:val="single" w:sz="8" w:color="auto"/>
            </w:tcBorders>
            <w:shd w:val="clear" w:color="auto" w:fill="D1D1D1"/>
          </w:tcPr>
          <w:p>
            <w:pPr>
              <w:spacing w:after="0"/>
              <w:rPr>
                <w:sz w:val="20"/>
                <w:szCs w:val="20"/>
                <w:color w:val="auto"/>
              </w:rPr>
            </w:pPr>
          </w:p>
        </w:tc>
        <w:tc>
          <w:tcPr>
            <w:tcW w:w="1560" w:type="dxa"/>
            <w:vAlign w:val="bottom"/>
            <w:tcBorders>
              <w:bottom w:val="single" w:sz="8" w:color="auto"/>
            </w:tcBorders>
            <w:gridSpan w:val="4"/>
            <w:shd w:val="clear" w:color="auto" w:fill="D1D1D1"/>
          </w:tcPr>
          <w:p>
            <w:pPr>
              <w:jc w:val="center"/>
              <w:ind w:right="614"/>
              <w:spacing w:after="0"/>
              <w:rPr>
                <w:sz w:val="20"/>
                <w:szCs w:val="20"/>
                <w:color w:val="auto"/>
              </w:rPr>
            </w:pPr>
            <w:r>
              <w:rPr>
                <w:rFonts w:ascii="Times New Roman" w:cs="Times New Roman" w:eastAsia="Times New Roman" w:hAnsi="Times New Roman"/>
                <w:sz w:val="20"/>
                <w:szCs w:val="20"/>
                <w:color w:val="auto"/>
              </w:rPr>
              <w:t>97.78%</w:t>
            </w:r>
          </w:p>
        </w:tc>
        <w:tc>
          <w:tcPr>
            <w:tcW w:w="1860" w:type="dxa"/>
            <w:vAlign w:val="bottom"/>
            <w:tcBorders>
              <w:bottom w:val="single" w:sz="8" w:color="auto"/>
            </w:tcBorders>
            <w:shd w:val="clear" w:color="auto" w:fill="D1D1D1"/>
          </w:tcPr>
          <w:p>
            <w:pPr>
              <w:jc w:val="center"/>
              <w:ind w:left="23"/>
              <w:spacing w:after="0"/>
              <w:rPr>
                <w:sz w:val="20"/>
                <w:szCs w:val="20"/>
                <w:color w:val="auto"/>
              </w:rPr>
            </w:pPr>
            <w:r>
              <w:rPr>
                <w:rFonts w:ascii="Times New Roman" w:cs="Times New Roman" w:eastAsia="Times New Roman" w:hAnsi="Times New Roman"/>
                <w:sz w:val="20"/>
                <w:szCs w:val="20"/>
                <w:color w:val="auto"/>
                <w:w w:val="97"/>
              </w:rPr>
              <w:t>149.83%</w:t>
            </w:r>
          </w:p>
        </w:tc>
        <w:tc>
          <w:tcPr>
            <w:tcW w:w="240" w:type="dxa"/>
            <w:vAlign w:val="bottom"/>
            <w:tcBorders>
              <w:bottom w:val="single" w:sz="8" w:color="auto"/>
              <w:right w:val="single" w:sz="8" w:color="auto"/>
            </w:tcBorders>
            <w:shd w:val="clear" w:color="auto" w:fill="D1D1D1"/>
          </w:tcPr>
          <w:p>
            <w:pPr>
              <w:spacing w:after="0"/>
              <w:rPr>
                <w:sz w:val="20"/>
                <w:szCs w:val="20"/>
                <w:color w:val="auto"/>
              </w:rPr>
            </w:pPr>
          </w:p>
        </w:tc>
      </w:tr>
      <w:tr>
        <w:trPr>
          <w:trHeight w:val="247"/>
        </w:trPr>
        <w:tc>
          <w:tcPr>
            <w:tcW w:w="240" w:type="dxa"/>
            <w:vAlign w:val="bottom"/>
            <w:tcBorders>
              <w:left w:val="single" w:sz="8" w:color="auto"/>
              <w:bottom w:val="single" w:sz="8" w:color="auto"/>
            </w:tcBorders>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12/31/2025</w:t>
            </w:r>
          </w:p>
        </w:tc>
        <w:tc>
          <w:tcPr>
            <w:tcW w:w="3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622" w:type="dxa"/>
            <w:vAlign w:val="bottom"/>
            <w:tcBorders>
              <w:bottom w:val="single" w:sz="8" w:color="auto"/>
            </w:tcBorders>
            <w:gridSpan w:val="3"/>
          </w:tcPr>
          <w:p>
            <w:pPr>
              <w:jc w:val="center"/>
              <w:ind w:right="676"/>
              <w:spacing w:after="0"/>
              <w:rPr>
                <w:sz w:val="20"/>
                <w:szCs w:val="20"/>
                <w:color w:val="auto"/>
              </w:rPr>
            </w:pPr>
            <w:r>
              <w:rPr>
                <w:rFonts w:ascii="Times New Roman" w:cs="Times New Roman" w:eastAsia="Times New Roman" w:hAnsi="Times New Roman"/>
                <w:sz w:val="20"/>
                <w:szCs w:val="20"/>
                <w:color w:val="auto"/>
                <w:w w:val="97"/>
              </w:rPr>
              <w:t>409.64%</w:t>
            </w:r>
          </w:p>
        </w:tc>
        <w:tc>
          <w:tcPr>
            <w:tcW w:w="498"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4"/>
          </w:tcPr>
          <w:p>
            <w:pPr>
              <w:jc w:val="center"/>
              <w:ind w:right="614"/>
              <w:spacing w:after="0"/>
              <w:rPr>
                <w:sz w:val="20"/>
                <w:szCs w:val="20"/>
                <w:color w:val="auto"/>
              </w:rPr>
            </w:pPr>
            <w:r>
              <w:rPr>
                <w:rFonts w:ascii="Times New Roman" w:cs="Times New Roman" w:eastAsia="Times New Roman" w:hAnsi="Times New Roman"/>
                <w:sz w:val="20"/>
                <w:szCs w:val="20"/>
                <w:color w:val="auto"/>
                <w:w w:val="97"/>
              </w:rPr>
              <w:t>107.40%</w:t>
            </w:r>
          </w:p>
        </w:tc>
        <w:tc>
          <w:tcPr>
            <w:tcW w:w="1860" w:type="dxa"/>
            <w:vAlign w:val="bottom"/>
            <w:tcBorders>
              <w:bottom w:val="single" w:sz="8" w:color="auto"/>
            </w:tcBorders>
          </w:tcPr>
          <w:p>
            <w:pPr>
              <w:jc w:val="center"/>
              <w:ind w:left="23"/>
              <w:spacing w:after="0"/>
              <w:rPr>
                <w:sz w:val="20"/>
                <w:szCs w:val="20"/>
                <w:color w:val="auto"/>
              </w:rPr>
            </w:pPr>
            <w:r>
              <w:rPr>
                <w:rFonts w:ascii="Times New Roman" w:cs="Times New Roman" w:eastAsia="Times New Roman" w:hAnsi="Times New Roman"/>
                <w:sz w:val="20"/>
                <w:szCs w:val="20"/>
                <w:color w:val="auto"/>
                <w:w w:val="97"/>
              </w:rPr>
              <w:t>180.33%</w:t>
            </w:r>
          </w:p>
        </w:tc>
        <w:tc>
          <w:tcPr>
            <w:tcW w:w="240" w:type="dxa"/>
            <w:vAlign w:val="bottom"/>
            <w:tcBorders>
              <w:bottom w:val="single" w:sz="8" w:color="auto"/>
              <w:right w:val="single" w:sz="8" w:color="auto"/>
            </w:tcBorders>
          </w:tcPr>
          <w:p>
            <w:pPr>
              <w:spacing w:after="0"/>
              <w:rPr>
                <w:sz w:val="21"/>
                <w:szCs w:val="21"/>
                <w:color w:val="auto"/>
              </w:rPr>
            </w:pPr>
          </w:p>
        </w:tc>
      </w:tr>
    </w:tbl>
    <w:p>
      <w:pPr>
        <w:spacing w:after="0" w:line="20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For equity compensation plan information refer to Item 12 of this Form 10-K.</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 Policy</w:t>
      </w:r>
    </w:p>
    <w:p>
      <w:pPr>
        <w:spacing w:after="0" w:line="225" w:lineRule="exact"/>
        <w:rPr>
          <w:sz w:val="20"/>
          <w:szCs w:val="20"/>
          <w:color w:val="auto"/>
        </w:rPr>
      </w:pPr>
    </w:p>
    <w:p>
      <w:pPr>
        <w:jc w:val="both"/>
        <w:ind w:firstLine="706"/>
        <w:spacing w:after="0" w:line="241" w:lineRule="auto"/>
        <w:rPr>
          <w:sz w:val="20"/>
          <w:szCs w:val="20"/>
          <w:color w:val="auto"/>
        </w:rPr>
      </w:pPr>
      <w:r>
        <w:rPr>
          <w:rFonts w:ascii="Times New Roman" w:cs="Times New Roman" w:eastAsia="Times New Roman" w:hAnsi="Times New Roman"/>
          <w:sz w:val="20"/>
          <w:szCs w:val="20"/>
          <w:color w:val="auto"/>
        </w:rPr>
        <w:t>We have never declared or paid any cash dividends on our capital stock, and we do not anticipate paying any cash dividends on our common stock for the foreseeable future. We currently intend to retain all available funds and future earnings for use in the operation and expansion of our business. Any future determination to pay cash dividends will be at the discretion of our board of directors and will depend upon our financial condition, results of operations, terms of financing arrangements, applicable Delaware law, capital requirements and such other factors as our board of directors deems relevant. In addition, the terms of our loan agreements governing our long-term debt obligations restricts us from paying dividends.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Unregistered Sales of Equity Securities</w:t>
      </w:r>
    </w:p>
    <w:p>
      <w:pPr>
        <w:spacing w:after="0" w:line="2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None.</w:t>
      </w:r>
    </w:p>
    <w:p>
      <w:pPr>
        <w:sectPr>
          <w:pgSz w:w="11880" w:h="15480" w:orient="portrait"/>
          <w:cols w:equalWidth="0" w:num="1">
            <w:col w:w="10600"/>
          </w:cols>
          <w:pgMar w:left="640" w:top="407"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1880" w:h="15480" w:orient="portrait"/>
          <w:cols w:equalWidth="0" w:num="1">
            <w:col w:w="10600"/>
          </w:cols>
          <w:pgMar w:left="640" w:top="407" w:right="640" w:bottom="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20"/>
          <w:szCs w:val="20"/>
          <w:b w:val="1"/>
          <w:bCs w:val="1"/>
          <w:color w:val="auto"/>
        </w:rPr>
        <w:t>Purchases of Equity Securities by Issuer and Affiliated Purchasers</w:t>
      </w:r>
    </w:p>
    <w:p>
      <w:pPr>
        <w:spacing w:after="0" w:line="22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None.</w:t>
      </w:r>
    </w:p>
    <w:p>
      <w:pPr>
        <w:spacing w:after="0" w:line="224" w:lineRule="exact"/>
        <w:rPr>
          <w:sz w:val="20"/>
          <w:szCs w:val="20"/>
          <w:color w:val="auto"/>
        </w:rPr>
      </w:pPr>
    </w:p>
    <w:p>
      <w:pPr>
        <w:ind w:left="20"/>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[Reserved]</w:t>
      </w:r>
    </w:p>
    <w:p>
      <w:pPr>
        <w:spacing w:after="0" w:line="200" w:lineRule="exact"/>
        <w:rPr>
          <w:sz w:val="20"/>
          <w:szCs w:val="20"/>
          <w:color w:val="auto"/>
        </w:rPr>
      </w:pPr>
    </w:p>
    <w:p>
      <w:pPr>
        <w:spacing w:after="0" w:line="257" w:lineRule="exact"/>
        <w:rPr>
          <w:sz w:val="20"/>
          <w:szCs w:val="20"/>
          <w:color w:val="auto"/>
        </w:rPr>
      </w:pPr>
    </w:p>
    <w:p>
      <w:pPr>
        <w:ind w:left="20"/>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32" w:lineRule="exact"/>
        <w:rPr>
          <w:sz w:val="20"/>
          <w:szCs w:val="20"/>
          <w:color w:val="auto"/>
        </w:rPr>
      </w:pPr>
    </w:p>
    <w:p>
      <w:pPr>
        <w:jc w:val="both"/>
        <w:ind w:firstLine="706"/>
        <w:spacing w:after="0" w:line="238" w:lineRule="auto"/>
        <w:rPr>
          <w:sz w:val="20"/>
          <w:szCs w:val="20"/>
          <w:color w:val="auto"/>
        </w:rPr>
      </w:pPr>
      <w:r>
        <w:rPr>
          <w:rFonts w:ascii="Times New Roman" w:cs="Times New Roman" w:eastAsia="Times New Roman" w:hAnsi="Times New Roman"/>
          <w:sz w:val="20"/>
          <w:szCs w:val="20"/>
          <w:i w:val="1"/>
          <w:iCs w:val="1"/>
          <w:color w:val="auto"/>
        </w:rPr>
        <w:t>You should read the following discussion and analysis of our financial condition and results of operations in conjunction with our consolidated financial statements and the accompanying notes appearing elsewhere in this Form 10- K. This discussion and other parts of this Form 10-K contain forward-looking statements that involve risks and uncertainties, such as statements of our plans, objectives, expectations and intentions. Our actual results could differ materially from those discussed in the forward-looking statements. Factors that could cause or contribute to such differences include, but are not limited to, those discussed in “Risk Factors.” This section generally discusses the results of our operations for the year ended December 31, 2025, compared to the year ended December 31, 2024. For a discussion of the year ended December 31, 2024 compared to the year ended December 31, 2023, please refer to Part II, Item 7, "Management's Discussion and Analysis of Financial Condition and Results of Operations" in our Annual Report on Form 10-K for the year ended December 31, 2024.</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22" w:lineRule="exact"/>
        <w:rPr>
          <w:sz w:val="20"/>
          <w:szCs w:val="20"/>
          <w:color w:val="auto"/>
        </w:rPr>
      </w:pPr>
    </w:p>
    <w:p>
      <w:pPr>
        <w:jc w:val="both"/>
        <w:ind w:firstLine="706"/>
        <w:spacing w:after="0" w:line="239" w:lineRule="auto"/>
        <w:rPr>
          <w:sz w:val="20"/>
          <w:szCs w:val="20"/>
          <w:color w:val="auto"/>
        </w:rPr>
      </w:pPr>
      <w:r>
        <w:rPr>
          <w:rFonts w:ascii="Times New Roman" w:cs="Times New Roman" w:eastAsia="Times New Roman" w:hAnsi="Times New Roman"/>
          <w:sz w:val="20"/>
          <w:szCs w:val="20"/>
          <w:color w:val="auto"/>
        </w:rPr>
        <w:t>We are a leading, vertically integrated provider of fiber-optic networking products. We target four networking end-markets: internet data centers, CATV, telecom and FTTH. We design and manufacture a range of optical communications products at varying levels of integration, from components, subassemblies and modules to complete turn-key equipment. In designing products for our customers, we typically begin with the fundamental building blocks of lasers and laser components. From these foundational products, we design and manufacture a wide range of products to meet our customers’ needs and specifications, and such products differ from each other by their end market, intended use and level of integration. We are primarily focused on the higher-performance segments within the internet data center, CATV, telecom and FTTH markets which increasingly demand faster connectivity and innovation. Our vertically integrated manufacturing model provides us several advantages, including rapid product development, fast response times to customer requests and control over product quality and manufacturing costs.</w:t>
      </w:r>
    </w:p>
    <w:p>
      <w:pPr>
        <w:spacing w:after="0" w:line="195" w:lineRule="exact"/>
        <w:rPr>
          <w:sz w:val="20"/>
          <w:szCs w:val="20"/>
          <w:color w:val="auto"/>
        </w:rPr>
      </w:pPr>
    </w:p>
    <w:p>
      <w:pPr>
        <w:jc w:val="both"/>
        <w:ind w:firstLine="706"/>
        <w:spacing w:after="0" w:line="239" w:lineRule="auto"/>
        <w:rPr>
          <w:sz w:val="20"/>
          <w:szCs w:val="20"/>
          <w:color w:val="auto"/>
        </w:rPr>
      </w:pPr>
      <w:r>
        <w:rPr>
          <w:rFonts w:ascii="Times New Roman" w:cs="Times New Roman" w:eastAsia="Times New Roman" w:hAnsi="Times New Roman"/>
          <w:sz w:val="20"/>
          <w:szCs w:val="20"/>
          <w:color w:val="auto"/>
        </w:rPr>
        <w:t>The four end markets we target are all driven by significant bandwidth demand fueled by the growth of network-connected devices, video traffic, cloud computing and online social networking. Within the internet data center market, we benefit from the increasing use of higher-capacity optical networking technology as a replacement for older, lower-speed optical interconnects, particularly as speeds reach 800Gbps and above, as well as the movement to open internet data center architectures and the increasing use of in-house equipment design among leading internet companies. Within the CATV market, we benefit from a number of ongoing trends including the move to higher bandwidth networks among CATV service providers, especially the desire by MSOs to increase the return-path bandwidth available to offer to their customers. In the FTTH market, we benefit from continuing PON deployments and system upgrades among telecom service providers. In the telecom market, we benefit from deployment of new high-speed fiber-optic networks by telecom network operators, including 5G networks.</w:t>
      </w:r>
    </w:p>
    <w:p>
      <w:pPr>
        <w:spacing w:after="0" w:line="192" w:lineRule="exact"/>
        <w:rPr>
          <w:sz w:val="20"/>
          <w:szCs w:val="20"/>
          <w:color w:val="auto"/>
        </w:rPr>
      </w:pPr>
    </w:p>
    <w:p>
      <w:pPr>
        <w:jc w:val="both"/>
        <w:ind w:firstLine="706"/>
        <w:spacing w:after="0" w:line="241" w:lineRule="auto"/>
        <w:rPr>
          <w:sz w:val="20"/>
          <w:szCs w:val="20"/>
          <w:color w:val="auto"/>
        </w:rPr>
      </w:pPr>
      <w:r>
        <w:rPr>
          <w:rFonts w:ascii="Times New Roman" w:cs="Times New Roman" w:eastAsia="Times New Roman" w:hAnsi="Times New Roman"/>
          <w:sz w:val="20"/>
          <w:szCs w:val="20"/>
          <w:color w:val="auto"/>
        </w:rPr>
        <w:t>In 2025, 2024 and 2023, our revenue was $455.7 million, $249.4 million and $217.6 million, and our gross margin was 30.1%, 24.8% and 27.1%, respectively. We have grown our annual revenue at a compound annual growth rate, or CAGR, of 5.7% between 2016 and 2025. In the years ended December 31, 2025, 2024 and 2023, we had net loss of $38.2 million, $186.7 million and $56.0 million, respectively. At December 31, 2025 and 2024, our accumulated deficit was $491.0 million and $451.9 million, respectively. In 2025, we earned 53.8% of our total revenue from the CATV market and 42.9% of our total revenue from the internet data center market.</w:t>
      </w:r>
    </w:p>
    <w:p>
      <w:pPr>
        <w:spacing w:after="0" w:line="193" w:lineRule="exact"/>
        <w:rPr>
          <w:sz w:val="20"/>
          <w:szCs w:val="20"/>
          <w:color w:val="auto"/>
        </w:rPr>
      </w:pPr>
    </w:p>
    <w:p>
      <w:pPr>
        <w:jc w:val="both"/>
        <w:ind w:firstLine="706"/>
        <w:spacing w:after="0"/>
        <w:rPr>
          <w:sz w:val="20"/>
          <w:szCs w:val="20"/>
          <w:color w:val="auto"/>
        </w:rPr>
      </w:pPr>
      <w:r>
        <w:rPr>
          <w:rFonts w:ascii="Times New Roman" w:cs="Times New Roman" w:eastAsia="Times New Roman" w:hAnsi="Times New Roman"/>
          <w:sz w:val="20"/>
          <w:szCs w:val="20"/>
          <w:color w:val="auto"/>
        </w:rPr>
        <w:t>We sell our products to leading OEMs in the CATV, telecom, and FTTH markets as well as internet data center operators and CATV MSOs. In 2025, revenue from CATV market, the internet data center market, telecom market, FTTH and other markets provided 53.8%, 42.9%, 3.0% and 0.3% of our revenue, respectively, compared to 35.2%, 59.5%, 4.4% and 0.9%, respectively, in 2024. In 2025, our key customer in the CATV market was Digicomm. In 2025, 2024, and 2023, Digicomm accounted for 53.1%, 34.1% and 11.3% of our revenue, respectively, and in 2023, ATX Networks accounted for 15.6% of our revenue. In 2025, our key customer in the internet data center market was Microsoft. In 2025, 2024 and 2023, Microsoft accounted for 28.8%, 46.6% and 18.4% of our revenue, respectively, and in 2024, Oracle accounted for 12.4% of our revenue.</w:t>
      </w:r>
    </w:p>
    <w:p>
      <w:pPr>
        <w:spacing w:after="0" w:line="192" w:lineRule="exact"/>
        <w:rPr>
          <w:sz w:val="20"/>
          <w:szCs w:val="20"/>
          <w:color w:val="auto"/>
        </w:rPr>
      </w:pPr>
    </w:p>
    <w:p>
      <w:pPr>
        <w:jc w:val="both"/>
        <w:ind w:firstLine="706"/>
        <w:spacing w:after="0" w:line="243" w:lineRule="auto"/>
        <w:rPr>
          <w:sz w:val="20"/>
          <w:szCs w:val="20"/>
          <w:color w:val="auto"/>
        </w:rPr>
      </w:pPr>
      <w:r>
        <w:rPr>
          <w:rFonts w:ascii="Times New Roman" w:cs="Times New Roman" w:eastAsia="Times New Roman" w:hAnsi="Times New Roman"/>
          <w:sz w:val="20"/>
          <w:szCs w:val="20"/>
          <w:color w:val="auto"/>
        </w:rPr>
        <w:t>In 2025, our increase of revenue of 82.8% over the prior-year was driven primarily by increased demands both for our CATV products and internet data center products, which we believe is arising from demand for products necessary for new data center construction along with data center upgrades to enable new technologies like AI. Based on customer forecasts and order backlog we believe that this elevated data center demand will likely continue into 2026. We also believe that sales in our CATV market will increase in 2026.</w:t>
      </w:r>
    </w:p>
    <w:p>
      <w:pPr>
        <w:sectPr>
          <w:pgSz w:w="11880" w:h="15480" w:orient="portrait"/>
          <w:cols w:equalWidth="0" w:num="1">
            <w:col w:w="10600"/>
          </w:cols>
          <w:pgMar w:left="640" w:top="407"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1880" w:h="15480" w:orient="portrait"/>
          <w:cols w:equalWidth="0" w:num="1">
            <w:col w:w="10600"/>
          </w:cols>
          <w:pgMar w:left="640" w:top="407" w:right="640" w:bottom="0" w:gutter="0" w:footer="0" w:header="0"/>
          <w:type w:val="continuous"/>
        </w:sectPr>
      </w:pPr>
    </w:p>
    <w:bookmarkStart w:id="36" w:name="page37"/>
    <w:bookmarkEnd w:id="36"/>
    <w:p>
      <w:pPr>
        <w:jc w:val="both"/>
        <w:ind w:firstLine="706"/>
        <w:spacing w:after="0" w:line="243" w:lineRule="auto"/>
        <w:rPr>
          <w:sz w:val="20"/>
          <w:szCs w:val="20"/>
          <w:color w:val="auto"/>
        </w:rPr>
      </w:pPr>
      <w:r>
        <w:rPr>
          <w:rFonts w:ascii="Times New Roman" w:cs="Times New Roman" w:eastAsia="Times New Roman" w:hAnsi="Times New Roman"/>
          <w:sz w:val="20"/>
          <w:szCs w:val="20"/>
          <w:color w:val="auto"/>
        </w:rPr>
        <w:t>We expect continued sales of our 40 Gbps, 100 Gbps, and 400 Gbps products in 2026, and we expect that sales of 800 Gbps products will likely exceed sales of 400 Gbps products later in 2026. However, quarter-to-quarter results may show considerable variability as is usual in a period of technology transition. Similar to revenue, our gross margins can fluctuate materially depending on a variety of factors including average selling price changes, product mix, global supply chain situation, raw material cost reduction or increase, manufacturing utilization rate and changes in manufacturing efficiency.</w:t>
      </w:r>
    </w:p>
    <w:p>
      <w:pPr>
        <w:spacing w:after="0" w:line="188" w:lineRule="exact"/>
        <w:rPr>
          <w:sz w:val="20"/>
          <w:szCs w:val="20"/>
          <w:color w:val="auto"/>
        </w:rPr>
      </w:pPr>
    </w:p>
    <w:p>
      <w:pPr>
        <w:jc w:val="both"/>
        <w:ind w:firstLine="706"/>
        <w:spacing w:after="0" w:line="273" w:lineRule="auto"/>
        <w:rPr>
          <w:sz w:val="20"/>
          <w:szCs w:val="20"/>
          <w:color w:val="auto"/>
        </w:rPr>
      </w:pPr>
      <w:r>
        <w:rPr>
          <w:rFonts w:ascii="Times New Roman" w:cs="Times New Roman" w:eastAsia="Times New Roman" w:hAnsi="Times New Roman"/>
          <w:sz w:val="18"/>
          <w:szCs w:val="18"/>
          <w:color w:val="auto"/>
        </w:rPr>
        <w:t>Our sales model focuses on direct engagement and close coordination with our customers to determine product design, qualifications, performance and price. Our strategy is to use our direct sales force to sell to key accounts and to expand our use of distributors for increased coverage in certain international markets and certain domestic market segments. We have direct sales personnel that cover the U.S., Taiwan and China focusing primarily on major OEM customers and internet data center operators along with CATV MSOs. Throughout our sales cycle, we work closely with our customers to qualify our products into their product lines. As a result, we strive to build strategic and long-lasting customer relationships and deliver products that are customized to our customers’ requirements.</w:t>
      </w:r>
    </w:p>
    <w:p>
      <w:pPr>
        <w:spacing w:after="0" w:line="166" w:lineRule="exact"/>
        <w:rPr>
          <w:sz w:val="20"/>
          <w:szCs w:val="20"/>
          <w:color w:val="auto"/>
        </w:rPr>
      </w:pPr>
    </w:p>
    <w:p>
      <w:pPr>
        <w:jc w:val="both"/>
        <w:ind w:firstLine="706"/>
        <w:spacing w:after="0" w:line="239" w:lineRule="auto"/>
        <w:rPr>
          <w:sz w:val="20"/>
          <w:szCs w:val="20"/>
          <w:color w:val="auto"/>
        </w:rPr>
      </w:pPr>
      <w:r>
        <w:rPr>
          <w:rFonts w:ascii="Times New Roman" w:cs="Times New Roman" w:eastAsia="Times New Roman" w:hAnsi="Times New Roman"/>
          <w:sz w:val="20"/>
          <w:szCs w:val="20"/>
          <w:color w:val="auto"/>
        </w:rPr>
        <w:t>Our business depends on winning competitive bid selection processes to develop components, systems and equipment for use in our customers’ products. These selection processes are typically lengthy, and as a result our sales cycles will vary based on the level of customization required, market served, whether the design win is with an existing or new customer and whether our solution being designed in our customers’ product is our first generation or subsequent generation product. We do not have any long-term purchase commitments (in excess of one year) with any of our customers, most of whom purchase our products on a purchase order basis, however, once one of our solutions is incorporated into a customer’s design, we believe that our solution is likely to continue to be purchased for that design throughout that product’s life cycle because of the time and expense associated with redesigning the product or substituting an alternative solution.</w:t>
      </w:r>
    </w:p>
    <w:p>
      <w:pPr>
        <w:spacing w:after="0" w:line="196" w:lineRule="exact"/>
        <w:rPr>
          <w:sz w:val="20"/>
          <w:szCs w:val="20"/>
          <w:color w:val="auto"/>
        </w:rPr>
      </w:pPr>
    </w:p>
    <w:p>
      <w:pPr>
        <w:jc w:val="both"/>
        <w:ind w:firstLine="706"/>
        <w:spacing w:after="0" w:line="238" w:lineRule="auto"/>
        <w:rPr>
          <w:sz w:val="20"/>
          <w:szCs w:val="20"/>
          <w:color w:val="auto"/>
        </w:rPr>
      </w:pPr>
      <w:r>
        <w:rPr>
          <w:rFonts w:ascii="Times New Roman" w:cs="Times New Roman" w:eastAsia="Times New Roman" w:hAnsi="Times New Roman"/>
          <w:sz w:val="20"/>
          <w:szCs w:val="20"/>
          <w:color w:val="auto"/>
        </w:rPr>
        <w:t>In 2025, 2024 and 2023, we had 9, 8 and 6 design wins, respectively. We define a design win as the successful completion of the evaluation stage, where our customer has tested our product, verified that our product meets substantially all of their requirements and has informed us that they intend to purchase the product from us. Although we believe that our ability to obtain design wins is a key strength and can provide meaningful and recurring revenue, an increase or decrease in the mere number of design wins does not necessarily correlate to a likely increase or decrease in revenue, particularly in the short term. As such, the number of design wins we achieve on a quarterly or annual basis and any increase or decrease in design wins will not necessarily result in a corresponding increase or decrease in revenue in the same or immediately succeeding quarter or year. For example, if our total number of design wins in an annual or quarterly period increases or decreases compared to the total number of design wins in a prior period, this does not necessarily mean that our revenue in such period will be higher or lower than our revenue in the prior period. In fact, our experience is that some design wins result in significant revenue and some do not, and the timing of such revenue is difficult to predict as it depends on the success of the end customer’s product that uses our components. Thus, some design wins result in orders and significant revenue shortly after the design win is awarded and other design wins do not result in significant orders and revenue for several months or longer after the initial design win (if at all). We do believe that over a period of years the collective impact of design wins correlates to our overall revenue growth.</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Factors Affecting Our Performance</w:t>
      </w:r>
    </w:p>
    <w:p>
      <w:pPr>
        <w:spacing w:after="0" w:line="225" w:lineRule="exact"/>
        <w:rPr>
          <w:sz w:val="20"/>
          <w:szCs w:val="20"/>
          <w:color w:val="auto"/>
        </w:rPr>
      </w:pPr>
    </w:p>
    <w:p>
      <w:pPr>
        <w:jc w:val="both"/>
        <w:ind w:firstLine="706"/>
        <w:spacing w:after="0" w:line="241" w:lineRule="auto"/>
        <w:rPr>
          <w:sz w:val="20"/>
          <w:szCs w:val="20"/>
          <w:color w:val="auto"/>
        </w:rPr>
      </w:pPr>
      <w:r>
        <w:rPr>
          <w:rFonts w:ascii="Times New Roman" w:cs="Times New Roman" w:eastAsia="Times New Roman" w:hAnsi="Times New Roman"/>
          <w:sz w:val="20"/>
          <w:szCs w:val="20"/>
          <w:i w:val="1"/>
          <w:iCs w:val="1"/>
          <w:color w:val="auto"/>
        </w:rPr>
        <w:t xml:space="preserve">Increasing Demand for Data Center Connectivity, Especially for AI applications. </w:t>
      </w:r>
      <w:r>
        <w:rPr>
          <w:rFonts w:ascii="Times New Roman" w:cs="Times New Roman" w:eastAsia="Times New Roman" w:hAnsi="Times New Roman"/>
          <w:sz w:val="20"/>
          <w:szCs w:val="20"/>
          <w:color w:val="auto"/>
        </w:rPr>
        <w:t>Our large hyperscale customers 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increasingly deploying massive data centers to support AI compute (e.g. training AI models, and drawing inferences from those models). As the demand for AI compute increases, so does the demand for interconnection between compute elements. Our products are used to interconnect network elements within data centers generally, and our 800G products in particular are used to interconnect AI compute infrastructure. Increasing use of AI and building more sophisticated and compute-intensive AI models directly drives the need for our products in interconnects within these AI-focused data centers.</w:t>
      </w:r>
    </w:p>
    <w:p>
      <w:pPr>
        <w:spacing w:after="0" w:line="193" w:lineRule="exact"/>
        <w:rPr>
          <w:sz w:val="20"/>
          <w:szCs w:val="20"/>
          <w:color w:val="auto"/>
        </w:rPr>
      </w:pPr>
    </w:p>
    <w:p>
      <w:pPr>
        <w:jc w:val="both"/>
        <w:ind w:firstLine="706"/>
        <w:spacing w:after="0" w:line="245" w:lineRule="auto"/>
        <w:rPr>
          <w:sz w:val="20"/>
          <w:szCs w:val="20"/>
          <w:color w:val="auto"/>
        </w:rPr>
      </w:pPr>
      <w:r>
        <w:rPr>
          <w:rFonts w:ascii="Times New Roman" w:cs="Times New Roman" w:eastAsia="Times New Roman" w:hAnsi="Times New Roman"/>
          <w:sz w:val="20"/>
          <w:szCs w:val="20"/>
          <w:i w:val="1"/>
          <w:iCs w:val="1"/>
          <w:color w:val="auto"/>
        </w:rPr>
        <w:t xml:space="preserve">Increasing Consumer Demand for Bandwidth. </w:t>
      </w:r>
      <w:r>
        <w:rPr>
          <w:rFonts w:ascii="Times New Roman" w:cs="Times New Roman" w:eastAsia="Times New Roman" w:hAnsi="Times New Roman"/>
          <w:sz w:val="20"/>
          <w:szCs w:val="20"/>
          <w:color w:val="auto"/>
        </w:rPr>
        <w:t>Bandwidth demand in all of our target markets is driving service provider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investment in new equipment and in turn generating demand for our products. Increasingly, optical networking technologies are being incorporated into networking equipment, replacing legacy copper-based networking technologies. This shift to optical networking solutions benefits us as a provider of those solutions.</w:t>
      </w:r>
    </w:p>
    <w:p>
      <w:pPr>
        <w:spacing w:after="0" w:line="188" w:lineRule="exact"/>
        <w:rPr>
          <w:sz w:val="20"/>
          <w:szCs w:val="20"/>
          <w:color w:val="auto"/>
        </w:rPr>
      </w:pPr>
    </w:p>
    <w:p>
      <w:pPr>
        <w:jc w:val="both"/>
        <w:ind w:firstLine="706"/>
        <w:spacing w:after="0" w:line="245" w:lineRule="auto"/>
        <w:rPr>
          <w:sz w:val="20"/>
          <w:szCs w:val="20"/>
          <w:color w:val="auto"/>
        </w:rPr>
      </w:pPr>
      <w:r>
        <w:rPr>
          <w:rFonts w:ascii="Times New Roman" w:cs="Times New Roman" w:eastAsia="Times New Roman" w:hAnsi="Times New Roman"/>
          <w:sz w:val="20"/>
          <w:szCs w:val="20"/>
          <w:i w:val="1"/>
          <w:iCs w:val="1"/>
          <w:color w:val="auto"/>
        </w:rPr>
        <w:t xml:space="preserve">Pricing, Product Cost and Margins. </w:t>
      </w:r>
      <w:r>
        <w:rPr>
          <w:rFonts w:ascii="Times New Roman" w:cs="Times New Roman" w:eastAsia="Times New Roman" w:hAnsi="Times New Roman"/>
          <w:sz w:val="20"/>
          <w:szCs w:val="20"/>
          <w:color w:val="auto"/>
        </w:rPr>
        <w:t>Our products are sold in a highly competitive marketplace, and in many cases our products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are only minimally differentiated from those of our competitors. In addition, our sales are heavily concentrated with a small number of end customers. As a result, there is strong pricing pressure across many of our product lines. We have addressed this strong pressure in several ways:</w:t>
      </w:r>
    </w:p>
    <w:p>
      <w:pPr>
        <w:spacing w:after="0" w:line="194" w:lineRule="exact"/>
        <w:rPr>
          <w:sz w:val="20"/>
          <w:szCs w:val="20"/>
          <w:color w:val="auto"/>
        </w:rPr>
      </w:pPr>
    </w:p>
    <w:p>
      <w:pPr>
        <w:jc w:val="both"/>
        <w:ind w:left="1420" w:hanging="345"/>
        <w:spacing w:after="0" w:line="251" w:lineRule="auto"/>
        <w:tabs>
          <w:tab w:leader="none" w:pos="14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Lowering our material costs. In some cases, we are able to negotiate more favorable pricing from our raw material suppliers. </w:t>
      </w:r>
      <w:r>
        <w:rPr>
          <w:rFonts w:ascii="Times New Roman" w:cs="Times New Roman" w:eastAsia="Times New Roman" w:hAnsi="Times New Roman"/>
          <w:sz w:val="19"/>
          <w:szCs w:val="19"/>
          <w:color w:val="auto"/>
        </w:rPr>
        <w:t>Also, where feasible, we are often able to develop internal production for certai</w:t>
      </w:r>
      <w:r>
        <w:rPr>
          <w:rFonts w:ascii="Times New Roman" w:cs="Times New Roman" w:eastAsia="Times New Roman" w:hAnsi="Times New Roman"/>
          <w:sz w:val="20"/>
          <w:szCs w:val="20"/>
          <w:color w:val="auto"/>
        </w:rPr>
        <w:t>n materials that were previously purchased from other companies. This generally has resulted in lower material costs for us.</w:t>
      </w:r>
    </w:p>
    <w:p>
      <w:pPr>
        <w:spacing w:after="0" w:line="191" w:lineRule="exact"/>
        <w:rPr>
          <w:rFonts w:ascii="Times New Roman" w:cs="Times New Roman" w:eastAsia="Times New Roman" w:hAnsi="Times New Roman"/>
          <w:sz w:val="20"/>
          <w:szCs w:val="20"/>
          <w:color w:val="auto"/>
        </w:rPr>
      </w:pPr>
    </w:p>
    <w:p>
      <w:pPr>
        <w:jc w:val="both"/>
        <w:ind w:left="1420" w:hanging="345"/>
        <w:spacing w:after="0" w:line="263" w:lineRule="auto"/>
        <w:tabs>
          <w:tab w:leader="none" w:pos="14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Enhancing the efficiency of our production process. We have been able to automate many of our production processes, which often results in lower labor costs and reduced scrap or rework rates, both of which lower our</w:t>
      </w:r>
    </w:p>
    <w:p>
      <w:pPr>
        <w:sectPr>
          <w:pgSz w:w="11880" w:h="15480" w:orient="portrait"/>
          <w:cols w:equalWidth="0" w:num="1">
            <w:col w:w="10600"/>
          </w:cols>
          <w:pgMar w:left="640" w:top="410" w:right="640" w:bottom="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1880" w:h="15480" w:orient="portrait"/>
          <w:cols w:equalWidth="0" w:num="1">
            <w:col w:w="10600"/>
          </w:cols>
          <w:pgMar w:left="640" w:top="410" w:right="640" w:bottom="0" w:gutter="0" w:footer="0" w:header="0"/>
          <w:type w:val="continuous"/>
        </w:sectPr>
      </w:pPr>
    </w:p>
    <w:bookmarkStart w:id="37" w:name="page38"/>
    <w:bookmarkEnd w:id="37"/>
    <w:p>
      <w:pPr>
        <w:ind w:left="1420"/>
        <w:spacing w:after="0" w:line="266" w:lineRule="auto"/>
        <w:rPr>
          <w:sz w:val="20"/>
          <w:szCs w:val="20"/>
          <w:color w:val="auto"/>
        </w:rPr>
      </w:pPr>
      <w:r>
        <w:rPr>
          <w:rFonts w:ascii="Times New Roman" w:cs="Times New Roman" w:eastAsia="Times New Roman" w:hAnsi="Times New Roman"/>
          <w:sz w:val="20"/>
          <w:szCs w:val="20"/>
          <w:color w:val="auto"/>
        </w:rPr>
        <w:t>production cost. In some cases, we have been able to redesign our products to make them less complex to manufacture, and when possible during these redesigns we also incorporate lower cost raw materials.</w:t>
      </w:r>
    </w:p>
    <w:p>
      <w:pPr>
        <w:spacing w:after="0" w:line="177" w:lineRule="exact"/>
        <w:rPr>
          <w:sz w:val="20"/>
          <w:szCs w:val="20"/>
          <w:color w:val="auto"/>
        </w:rPr>
      </w:pPr>
    </w:p>
    <w:p>
      <w:pPr>
        <w:jc w:val="both"/>
        <w:ind w:left="1420" w:hanging="345"/>
        <w:spacing w:after="0" w:line="242" w:lineRule="auto"/>
        <w:tabs>
          <w:tab w:leader="none" w:pos="14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Introducing new products. In many cases, newly released products have more features and often higher prices compared with older products. By regularly introducing new products, we attempt to minimize the average price reduction we experience. However, we often initially experience lower gross margins on new products, as our pricing i</w:t>
      </w:r>
      <w:r>
        <w:rPr>
          <w:rFonts w:ascii="Times New Roman" w:cs="Times New Roman" w:eastAsia="Times New Roman" w:hAnsi="Times New Roman"/>
          <w:sz w:val="19"/>
          <w:szCs w:val="19"/>
          <w:color w:val="auto"/>
        </w:rPr>
        <w:t>s based upon anticipated volume-</w:t>
      </w:r>
      <w:r>
        <w:rPr>
          <w:rFonts w:ascii="Times New Roman" w:cs="Times New Roman" w:eastAsia="Times New Roman" w:hAnsi="Times New Roman"/>
          <w:sz w:val="20"/>
          <w:szCs w:val="20"/>
          <w:color w:val="auto"/>
        </w:rPr>
        <w:t>driven cost reductions over the life of the design win. Thus, if we are unable to realize our expected cost reductions, we may experience declining gross margins on such products.</w:t>
      </w:r>
    </w:p>
    <w:p>
      <w:pPr>
        <w:spacing w:after="0" w:line="196" w:lineRule="exact"/>
        <w:rPr>
          <w:sz w:val="20"/>
          <w:szCs w:val="20"/>
          <w:color w:val="auto"/>
        </w:rPr>
      </w:pPr>
    </w:p>
    <w:p>
      <w:pPr>
        <w:jc w:val="both"/>
        <w:ind w:firstLine="706"/>
        <w:spacing w:after="0" w:line="243" w:lineRule="auto"/>
        <w:rPr>
          <w:sz w:val="20"/>
          <w:szCs w:val="20"/>
          <w:color w:val="auto"/>
        </w:rPr>
      </w:pPr>
      <w:r>
        <w:rPr>
          <w:rFonts w:ascii="Times New Roman" w:cs="Times New Roman" w:eastAsia="Times New Roman" w:hAnsi="Times New Roman"/>
          <w:sz w:val="20"/>
          <w:szCs w:val="20"/>
          <w:color w:val="auto"/>
        </w:rPr>
        <w:t>Our product pricing is established when the product is initially introduced to the market, and thereafter through periodic negotiations with customers. Furthermore, due to the dynamics in the CATV market and the value of our outsourced design services to our customers, we believe we face less downward price pressure than many of our competitors in this market. We sell a wide variety of products among our four target markets and our gross margin is heavily dependent in any quarter on the product mix achieved during that period as well as any price changes that we have agreed upon with our customers.</w:t>
      </w:r>
    </w:p>
    <w:p>
      <w:pPr>
        <w:spacing w:after="0" w:line="188" w:lineRule="exact"/>
        <w:rPr>
          <w:sz w:val="20"/>
          <w:szCs w:val="20"/>
          <w:color w:val="auto"/>
        </w:rPr>
      </w:pPr>
    </w:p>
    <w:p>
      <w:pPr>
        <w:jc w:val="both"/>
        <w:ind w:firstLine="706"/>
        <w:spacing w:after="0" w:line="239" w:lineRule="auto"/>
        <w:rPr>
          <w:sz w:val="20"/>
          <w:szCs w:val="20"/>
          <w:color w:val="auto"/>
        </w:rPr>
      </w:pPr>
      <w:r>
        <w:rPr>
          <w:rFonts w:ascii="Times New Roman" w:cs="Times New Roman" w:eastAsia="Times New Roman" w:hAnsi="Times New Roman"/>
          <w:sz w:val="20"/>
          <w:szCs w:val="20"/>
          <w:i w:val="1"/>
          <w:iCs w:val="1"/>
          <w:color w:val="auto"/>
        </w:rPr>
        <w:t xml:space="preserve">Customer Concentration within End Markets. </w:t>
      </w:r>
      <w:r>
        <w:rPr>
          <w:rFonts w:ascii="Times New Roman" w:cs="Times New Roman" w:eastAsia="Times New Roman" w:hAnsi="Times New Roman"/>
          <w:sz w:val="20"/>
          <w:szCs w:val="20"/>
          <w:color w:val="auto"/>
        </w:rPr>
        <w:t>Our revenue tends to be split primarily between CATV market and data center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market. Moreover, within these markets, revenue tends to be concentrated among a small number of customers. We have taken several actions to increase the diversity of our customer base. These actions include hiring additional sales staff to improve our ability to serve new customers and introduction of new products that we believe will appeal to new customers. Furthermore, we have developed additional original design manufacturer, or ODM, relationships with customers in each of our target markets which should enable us to diversify our revenue base. We had two customers that accounted for more than 10% of our revenue in 2025 and three customers that accounted for more than 10% of our revenue in 2024. Given the size of our data center customers, however, we continue to expect high concentration of our revenue with the largest of these customers.</w:t>
      </w:r>
    </w:p>
    <w:p>
      <w:pPr>
        <w:spacing w:after="0" w:line="195" w:lineRule="exact"/>
        <w:rPr>
          <w:sz w:val="20"/>
          <w:szCs w:val="20"/>
          <w:color w:val="auto"/>
        </w:rPr>
      </w:pPr>
    </w:p>
    <w:p>
      <w:pPr>
        <w:jc w:val="both"/>
        <w:ind w:firstLine="706"/>
        <w:spacing w:after="0" w:line="245" w:lineRule="auto"/>
        <w:rPr>
          <w:sz w:val="20"/>
          <w:szCs w:val="20"/>
          <w:color w:val="auto"/>
        </w:rPr>
      </w:pPr>
      <w:r>
        <w:rPr>
          <w:rFonts w:ascii="Times New Roman" w:cs="Times New Roman" w:eastAsia="Times New Roman" w:hAnsi="Times New Roman"/>
          <w:sz w:val="20"/>
          <w:szCs w:val="20"/>
          <w:i w:val="1"/>
          <w:iCs w:val="1"/>
          <w:color w:val="auto"/>
        </w:rPr>
        <w:t xml:space="preserve">Product Development. </w:t>
      </w:r>
      <w:r>
        <w:rPr>
          <w:rFonts w:ascii="Times New Roman" w:cs="Times New Roman" w:eastAsia="Times New Roman" w:hAnsi="Times New Roman"/>
          <w:sz w:val="20"/>
          <w:szCs w:val="20"/>
          <w:color w:val="auto"/>
        </w:rPr>
        <w:t>We invest heavily to develop new and innovative products. The majority of our research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development expense is allocated to product development, usually with a specific customer and customer platform in mind. We believe our close coordination with our customers regarding their future product requirements enhances the efficiency of our research and development expenditures.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Discussion of Financial Performance</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Revenue</w:t>
      </w:r>
    </w:p>
    <w:p>
      <w:pPr>
        <w:spacing w:after="0" w:line="216" w:lineRule="exact"/>
        <w:rPr>
          <w:sz w:val="20"/>
          <w:szCs w:val="20"/>
          <w:color w:val="auto"/>
        </w:rPr>
      </w:pPr>
    </w:p>
    <w:p>
      <w:pPr>
        <w:jc w:val="both"/>
        <w:ind w:firstLine="706"/>
        <w:spacing w:after="0" w:line="243" w:lineRule="auto"/>
        <w:rPr>
          <w:sz w:val="20"/>
          <w:szCs w:val="20"/>
          <w:color w:val="auto"/>
        </w:rPr>
      </w:pPr>
      <w:r>
        <w:rPr>
          <w:rFonts w:ascii="Times New Roman" w:cs="Times New Roman" w:eastAsia="Times New Roman" w:hAnsi="Times New Roman"/>
          <w:sz w:val="20"/>
          <w:szCs w:val="20"/>
          <w:color w:val="auto"/>
        </w:rPr>
        <w:t>We generate revenue through the sale of our products to equipment providers for the internet data center, CATV, telecom, FTTH and other markets. We derive a significant portion of our revenue from our top ten customers, and we anticipate that we will continue to do so for the foreseeable future. The following chart provides the revenue contribution from each of the markets we serve for the years 2025, 2024 and 2023, as well as the corresponding percentage of our total revenue for each period (in thousands, except percentages):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000" w:type="dxa"/>
            <w:vAlign w:val="bottom"/>
            <w:gridSpan w:val="2"/>
            <w:vMerge w:val="restart"/>
          </w:tcPr>
          <w:p>
            <w:pPr>
              <w:ind w:left="20"/>
              <w:spacing w:after="0"/>
              <w:rPr>
                <w:sz w:val="20"/>
                <w:szCs w:val="20"/>
                <w:color w:val="auto"/>
              </w:rPr>
            </w:pPr>
            <w:r>
              <w:rPr>
                <w:rFonts w:ascii="Times New Roman" w:cs="Times New Roman" w:eastAsia="Times New Roman" w:hAnsi="Times New Roman"/>
                <w:sz w:val="20"/>
                <w:szCs w:val="20"/>
                <w:b w:val="1"/>
                <w:bCs w:val="1"/>
                <w:color w:val="auto"/>
              </w:rPr>
              <w:t>Market</w:t>
            </w:r>
          </w:p>
        </w:tc>
        <w:tc>
          <w:tcPr>
            <w:tcW w:w="100" w:type="dxa"/>
            <w:vAlign w:val="bottom"/>
            <w:tcBorders>
              <w:bottom w:val="single" w:sz="8" w:color="auto"/>
            </w:tcBorders>
          </w:tcPr>
          <w:p>
            <w:pPr>
              <w:spacing w:after="0"/>
              <w:rPr>
                <w:sz w:val="22"/>
                <w:szCs w:val="22"/>
                <w:color w:val="auto"/>
              </w:rPr>
            </w:pPr>
          </w:p>
        </w:tc>
        <w:tc>
          <w:tcPr>
            <w:tcW w:w="3460" w:type="dxa"/>
            <w:vAlign w:val="bottom"/>
            <w:tcBorders>
              <w:bottom w:val="single" w:sz="8" w:color="auto"/>
            </w:tcBorders>
            <w:gridSpan w:val="6"/>
          </w:tcPr>
          <w:p>
            <w:pPr>
              <w:jc w:val="right"/>
              <w:ind w:right="62"/>
              <w:spacing w:after="0"/>
              <w:rPr>
                <w:sz w:val="20"/>
                <w:szCs w:val="20"/>
                <w:color w:val="auto"/>
              </w:rPr>
            </w:pPr>
            <w:r>
              <w:rPr>
                <w:rFonts w:ascii="Times New Roman" w:cs="Times New Roman" w:eastAsia="Times New Roman" w:hAnsi="Times New Roman"/>
                <w:sz w:val="20"/>
                <w:szCs w:val="20"/>
                <w:b w:val="1"/>
                <w:bCs w:val="1"/>
                <w:color w:val="auto"/>
              </w:rPr>
              <w:t>Years ended December 31,</w:t>
            </w:r>
          </w:p>
        </w:tc>
        <w:tc>
          <w:tcPr>
            <w:tcW w:w="1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6000" w:type="dxa"/>
            <w:vAlign w:val="bottom"/>
            <w:tcBorders>
              <w:bottom w:val="single" w:sz="8" w:color="DBDBDB"/>
            </w:tcBorders>
            <w:gridSpan w:val="2"/>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02"/>
              <w:spacing w:after="0" w:line="227" w:lineRule="exact"/>
              <w:rPr>
                <w:sz w:val="20"/>
                <w:szCs w:val="20"/>
                <w:color w:val="auto"/>
              </w:rPr>
            </w:pPr>
            <w:r>
              <w:rPr>
                <w:rFonts w:ascii="Times New Roman" w:cs="Times New Roman" w:eastAsia="Times New Roman" w:hAnsi="Times New Roman"/>
                <w:sz w:val="20"/>
                <w:szCs w:val="20"/>
                <w:b w:val="1"/>
                <w:bCs w:val="1"/>
                <w:color w:val="auto"/>
              </w:rPr>
              <w:t>2025</w:t>
            </w:r>
          </w:p>
        </w:tc>
        <w:tc>
          <w:tcPr>
            <w:tcW w:w="220" w:type="dxa"/>
            <w:vAlign w:val="bottom"/>
            <w:tcBorders>
              <w:bottom w:val="single" w:sz="8" w:color="DBDBDB"/>
            </w:tcBorders>
          </w:tcPr>
          <w:p>
            <w:pPr>
              <w:spacing w:after="0"/>
              <w:rPr>
                <w:sz w:val="19"/>
                <w:szCs w:val="19"/>
                <w:color w:val="auto"/>
              </w:rPr>
            </w:pPr>
          </w:p>
        </w:tc>
        <w:tc>
          <w:tcPr>
            <w:tcW w:w="110" w:type="dxa"/>
            <w:vAlign w:val="bottom"/>
            <w:tcBorders>
              <w:bottom w:val="single" w:sz="8" w:color="auto"/>
            </w:tcBorders>
          </w:tcPr>
          <w:p>
            <w:pPr>
              <w:spacing w:after="0"/>
              <w:rPr>
                <w:sz w:val="19"/>
                <w:szCs w:val="19"/>
                <w:color w:val="auto"/>
              </w:rPr>
            </w:pPr>
          </w:p>
        </w:tc>
        <w:tc>
          <w:tcPr>
            <w:tcW w:w="1270" w:type="dxa"/>
            <w:vAlign w:val="bottom"/>
            <w:tcBorders>
              <w:bottom w:val="single" w:sz="8" w:color="auto"/>
            </w:tcBorders>
          </w:tcPr>
          <w:p>
            <w:pPr>
              <w:jc w:val="right"/>
              <w:ind w:right="382"/>
              <w:spacing w:after="0" w:line="227" w:lineRule="exact"/>
              <w:rPr>
                <w:sz w:val="20"/>
                <w:szCs w:val="20"/>
                <w:color w:val="auto"/>
              </w:rPr>
            </w:pPr>
            <w:r>
              <w:rPr>
                <w:rFonts w:ascii="Times New Roman" w:cs="Times New Roman" w:eastAsia="Times New Roman" w:hAnsi="Times New Roman"/>
                <w:sz w:val="20"/>
                <w:szCs w:val="20"/>
                <w:b w:val="1"/>
                <w:bCs w:val="1"/>
                <w:color w:val="auto"/>
              </w:rPr>
              <w:t>2024</w:t>
            </w:r>
          </w:p>
        </w:tc>
        <w:tc>
          <w:tcPr>
            <w:tcW w:w="22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02"/>
              <w:spacing w:after="0" w:line="227" w:lineRule="exact"/>
              <w:rPr>
                <w:sz w:val="20"/>
                <w:szCs w:val="20"/>
                <w:color w:val="auto"/>
              </w:rPr>
            </w:pPr>
            <w:r>
              <w:rPr>
                <w:rFonts w:ascii="Times New Roman" w:cs="Times New Roman" w:eastAsia="Times New Roman" w:hAnsi="Times New Roman"/>
                <w:sz w:val="20"/>
                <w:szCs w:val="20"/>
                <w:b w:val="1"/>
                <w:bCs w:val="1"/>
                <w:color w:val="auto"/>
              </w:rPr>
              <w:t>2023</w:t>
            </w:r>
          </w:p>
        </w:tc>
        <w:tc>
          <w:tcPr>
            <w:tcW w:w="0" w:type="dxa"/>
            <w:vAlign w:val="bottom"/>
          </w:tcPr>
          <w:p>
            <w:pPr>
              <w:spacing w:after="0"/>
              <w:rPr>
                <w:sz w:val="1"/>
                <w:szCs w:val="1"/>
                <w:color w:val="auto"/>
              </w:rPr>
            </w:pPr>
          </w:p>
        </w:tc>
      </w:tr>
      <w:tr>
        <w:trPr>
          <w:trHeight w:val="225"/>
        </w:trPr>
        <w:tc>
          <w:tcPr>
            <w:tcW w:w="5890" w:type="dxa"/>
            <w:vAlign w:val="bottom"/>
            <w:shd w:val="clear" w:color="auto" w:fill="DBDBDB"/>
          </w:tcPr>
          <w:p>
            <w:pPr>
              <w:ind w:left="20"/>
              <w:spacing w:after="0" w:line="220" w:lineRule="exact"/>
              <w:rPr>
                <w:sz w:val="20"/>
                <w:szCs w:val="20"/>
                <w:color w:val="auto"/>
              </w:rPr>
            </w:pPr>
            <w:r>
              <w:rPr>
                <w:rFonts w:ascii="Times New Roman" w:cs="Times New Roman" w:eastAsia="Times New Roman" w:hAnsi="Times New Roman"/>
                <w:sz w:val="20"/>
                <w:szCs w:val="20"/>
                <w:color w:val="auto"/>
              </w:rPr>
              <w:t>CATV</w:t>
            </w:r>
          </w:p>
        </w:tc>
        <w:tc>
          <w:tcPr>
            <w:tcW w:w="110" w:type="dxa"/>
            <w:vAlign w:val="bottom"/>
            <w:tcBorders>
              <w:right w:val="single" w:sz="8" w:color="DBDBDB"/>
            </w:tcBorders>
            <w:shd w:val="clear" w:color="auto" w:fill="DBDBDB"/>
          </w:tcPr>
          <w:p>
            <w:pPr>
              <w:spacing w:after="0"/>
              <w:rPr>
                <w:sz w:val="19"/>
                <w:szCs w:val="19"/>
                <w:color w:val="auto"/>
              </w:rPr>
            </w:pPr>
          </w:p>
        </w:tc>
        <w:tc>
          <w:tcPr>
            <w:tcW w:w="100" w:type="dxa"/>
            <w:vAlign w:val="bottom"/>
            <w:shd w:val="clear" w:color="auto" w:fill="DBDBDB"/>
          </w:tcPr>
          <w:p>
            <w:pPr>
              <w:jc w:val="right"/>
              <w:spacing w:after="0" w:line="225"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280" w:type="dxa"/>
            <w:vAlign w:val="bottom"/>
            <w:shd w:val="clear" w:color="auto" w:fill="DBDBDB"/>
          </w:tcPr>
          <w:p>
            <w:pPr>
              <w:jc w:val="right"/>
              <w:spacing w:after="0" w:line="225" w:lineRule="exact"/>
              <w:rPr>
                <w:sz w:val="20"/>
                <w:szCs w:val="20"/>
                <w:color w:val="auto"/>
              </w:rPr>
            </w:pPr>
            <w:r>
              <w:rPr>
                <w:rFonts w:ascii="Times New Roman" w:cs="Times New Roman" w:eastAsia="Times New Roman" w:hAnsi="Times New Roman"/>
                <w:sz w:val="20"/>
                <w:szCs w:val="20"/>
                <w:color w:val="auto"/>
              </w:rPr>
              <w:t>245,124</w:t>
            </w:r>
          </w:p>
        </w:tc>
        <w:tc>
          <w:tcPr>
            <w:tcW w:w="220" w:type="dxa"/>
            <w:vAlign w:val="bottom"/>
            <w:tcBorders>
              <w:right w:val="single" w:sz="8" w:color="DBDBDB"/>
            </w:tcBorders>
            <w:shd w:val="clear" w:color="auto" w:fill="DBDBDB"/>
          </w:tcPr>
          <w:p>
            <w:pPr>
              <w:spacing w:after="0"/>
              <w:rPr>
                <w:sz w:val="19"/>
                <w:szCs w:val="19"/>
                <w:color w:val="auto"/>
              </w:rPr>
            </w:pPr>
          </w:p>
        </w:tc>
        <w:tc>
          <w:tcPr>
            <w:tcW w:w="110" w:type="dxa"/>
            <w:vAlign w:val="bottom"/>
            <w:shd w:val="clear" w:color="auto" w:fill="DBDBDB"/>
          </w:tcPr>
          <w:p>
            <w:pPr>
              <w:jc w:val="right"/>
              <w:spacing w:after="0" w:line="225"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270" w:type="dxa"/>
            <w:vAlign w:val="bottom"/>
            <w:shd w:val="clear" w:color="auto" w:fill="DBDBDB"/>
          </w:tcPr>
          <w:p>
            <w:pPr>
              <w:jc w:val="right"/>
              <w:spacing w:after="0" w:line="225" w:lineRule="exact"/>
              <w:rPr>
                <w:sz w:val="20"/>
                <w:szCs w:val="20"/>
                <w:color w:val="auto"/>
              </w:rPr>
            </w:pPr>
            <w:r>
              <w:rPr>
                <w:rFonts w:ascii="Times New Roman" w:cs="Times New Roman" w:eastAsia="Times New Roman" w:hAnsi="Times New Roman"/>
                <w:sz w:val="20"/>
                <w:szCs w:val="20"/>
                <w:color w:val="auto"/>
              </w:rPr>
              <w:t>87,713</w:t>
            </w:r>
          </w:p>
        </w:tc>
        <w:tc>
          <w:tcPr>
            <w:tcW w:w="220" w:type="dxa"/>
            <w:vAlign w:val="bottom"/>
            <w:tcBorders>
              <w:right w:val="single" w:sz="8" w:color="DBDBDB"/>
            </w:tcBorders>
            <w:shd w:val="clear" w:color="auto" w:fill="DBDBDB"/>
          </w:tcPr>
          <w:p>
            <w:pPr>
              <w:spacing w:after="0"/>
              <w:rPr>
                <w:sz w:val="19"/>
                <w:szCs w:val="19"/>
                <w:color w:val="auto"/>
              </w:rPr>
            </w:pPr>
          </w:p>
        </w:tc>
        <w:tc>
          <w:tcPr>
            <w:tcW w:w="360" w:type="dxa"/>
            <w:vAlign w:val="bottom"/>
            <w:shd w:val="clear" w:color="auto" w:fill="DBDBDB"/>
          </w:tcPr>
          <w:p>
            <w:pPr>
              <w:jc w:val="right"/>
              <w:ind w:right="162"/>
              <w:spacing w:after="0" w:line="225"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040" w:type="dxa"/>
            <w:vAlign w:val="bottom"/>
            <w:shd w:val="clear" w:color="auto" w:fill="DBDBDB"/>
          </w:tcPr>
          <w:p>
            <w:pPr>
              <w:jc w:val="right"/>
              <w:spacing w:after="0" w:line="225" w:lineRule="exact"/>
              <w:rPr>
                <w:sz w:val="20"/>
                <w:szCs w:val="20"/>
                <w:color w:val="auto"/>
              </w:rPr>
            </w:pPr>
            <w:r>
              <w:rPr>
                <w:rFonts w:ascii="Times New Roman" w:cs="Times New Roman" w:eastAsia="Times New Roman" w:hAnsi="Times New Roman"/>
                <w:sz w:val="20"/>
                <w:szCs w:val="20"/>
                <w:color w:val="auto"/>
              </w:rPr>
              <w:t>59,942</w:t>
            </w:r>
          </w:p>
        </w:tc>
        <w:tc>
          <w:tcPr>
            <w:tcW w:w="0" w:type="dxa"/>
            <w:vAlign w:val="bottom"/>
          </w:tcPr>
          <w:p>
            <w:pPr>
              <w:spacing w:after="0"/>
              <w:rPr>
                <w:sz w:val="1"/>
                <w:szCs w:val="1"/>
                <w:color w:val="auto"/>
              </w:rPr>
            </w:pPr>
          </w:p>
        </w:tc>
      </w:tr>
      <w:tr>
        <w:trPr>
          <w:trHeight w:val="235"/>
        </w:trPr>
        <w:tc>
          <w:tcPr>
            <w:tcW w:w="60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Data Center</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195,651</w:t>
            </w:r>
          </w:p>
        </w:tc>
        <w:tc>
          <w:tcPr>
            <w:tcW w:w="220" w:type="dxa"/>
            <w:vAlign w:val="bottom"/>
          </w:tcPr>
          <w:p>
            <w:pPr>
              <w:spacing w:after="0"/>
              <w:rPr>
                <w:sz w:val="20"/>
                <w:szCs w:val="20"/>
                <w:color w:val="auto"/>
              </w:rPr>
            </w:pPr>
          </w:p>
        </w:tc>
        <w:tc>
          <w:tcPr>
            <w:tcW w:w="110" w:type="dxa"/>
            <w:vAlign w:val="bottom"/>
          </w:tcPr>
          <w:p>
            <w:pPr>
              <w:spacing w:after="0"/>
              <w:rPr>
                <w:sz w:val="20"/>
                <w:szCs w:val="20"/>
                <w:color w:val="auto"/>
              </w:rPr>
            </w:pPr>
          </w:p>
        </w:tc>
        <w:tc>
          <w:tcPr>
            <w:tcW w:w="127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148,525</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141,213</w:t>
            </w:r>
          </w:p>
        </w:tc>
        <w:tc>
          <w:tcPr>
            <w:tcW w:w="0" w:type="dxa"/>
            <w:vAlign w:val="bottom"/>
          </w:tcPr>
          <w:p>
            <w:pPr>
              <w:spacing w:after="0"/>
              <w:rPr>
                <w:sz w:val="1"/>
                <w:szCs w:val="1"/>
                <w:color w:val="auto"/>
              </w:rPr>
            </w:pPr>
          </w:p>
        </w:tc>
      </w:tr>
      <w:tr>
        <w:trPr>
          <w:trHeight w:val="235"/>
        </w:trPr>
        <w:tc>
          <w:tcPr>
            <w:tcW w:w="5890" w:type="dxa"/>
            <w:vAlign w:val="bottom"/>
            <w:shd w:val="clear" w:color="auto" w:fill="DBDBDB"/>
          </w:tcPr>
          <w:p>
            <w:pPr>
              <w:ind w:left="20"/>
              <w:spacing w:after="0"/>
              <w:rPr>
                <w:sz w:val="20"/>
                <w:szCs w:val="20"/>
                <w:color w:val="auto"/>
              </w:rPr>
            </w:pPr>
            <w:r>
              <w:rPr>
                <w:rFonts w:ascii="Times New Roman" w:cs="Times New Roman" w:eastAsia="Times New Roman" w:hAnsi="Times New Roman"/>
                <w:sz w:val="20"/>
                <w:szCs w:val="20"/>
                <w:color w:val="auto"/>
              </w:rPr>
              <w:t>Telecom</w:t>
            </w:r>
          </w:p>
        </w:tc>
        <w:tc>
          <w:tcPr>
            <w:tcW w:w="110" w:type="dxa"/>
            <w:vAlign w:val="bottom"/>
            <w:tcBorders>
              <w:right w:val="single" w:sz="8" w:color="DBDBDB"/>
            </w:tcBorders>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2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13,729</w:t>
            </w:r>
          </w:p>
        </w:tc>
        <w:tc>
          <w:tcPr>
            <w:tcW w:w="220" w:type="dxa"/>
            <w:vAlign w:val="bottom"/>
            <w:tcBorders>
              <w:right w:val="single" w:sz="8" w:color="DBDBDB"/>
            </w:tcBorders>
            <w:shd w:val="clear" w:color="auto" w:fill="DBDBDB"/>
          </w:tcPr>
          <w:p>
            <w:pPr>
              <w:spacing w:after="0"/>
              <w:rPr>
                <w:sz w:val="20"/>
                <w:szCs w:val="20"/>
                <w:color w:val="auto"/>
              </w:rPr>
            </w:pPr>
          </w:p>
        </w:tc>
        <w:tc>
          <w:tcPr>
            <w:tcW w:w="110" w:type="dxa"/>
            <w:vAlign w:val="bottom"/>
            <w:shd w:val="clear" w:color="auto" w:fill="DBDBDB"/>
          </w:tcPr>
          <w:p>
            <w:pPr>
              <w:spacing w:after="0"/>
              <w:rPr>
                <w:sz w:val="20"/>
                <w:szCs w:val="20"/>
                <w:color w:val="auto"/>
              </w:rPr>
            </w:pPr>
          </w:p>
        </w:tc>
        <w:tc>
          <w:tcPr>
            <w:tcW w:w="127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10,980</w:t>
            </w:r>
          </w:p>
        </w:tc>
        <w:tc>
          <w:tcPr>
            <w:tcW w:w="220" w:type="dxa"/>
            <w:vAlign w:val="bottom"/>
            <w:tcBorders>
              <w:right w:val="single" w:sz="8" w:color="DBDBDB"/>
            </w:tcBorders>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0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13,831</w:t>
            </w:r>
          </w:p>
        </w:tc>
        <w:tc>
          <w:tcPr>
            <w:tcW w:w="0" w:type="dxa"/>
            <w:vAlign w:val="bottom"/>
          </w:tcPr>
          <w:p>
            <w:pPr>
              <w:spacing w:after="0"/>
              <w:rPr>
                <w:sz w:val="1"/>
                <w:szCs w:val="1"/>
                <w:color w:val="auto"/>
              </w:rPr>
            </w:pPr>
          </w:p>
        </w:tc>
      </w:tr>
      <w:tr>
        <w:trPr>
          <w:trHeight w:val="240"/>
        </w:trPr>
        <w:tc>
          <w:tcPr>
            <w:tcW w:w="6000" w:type="dxa"/>
            <w:vAlign w:val="bottom"/>
            <w:tcBorders>
              <w:bottom w:val="single" w:sz="8" w:color="DBDBDB"/>
            </w:tcBorders>
            <w:gridSpan w:val="2"/>
          </w:tcPr>
          <w:p>
            <w:pPr>
              <w:ind w:left="20"/>
              <w:spacing w:after="0"/>
              <w:rPr>
                <w:sz w:val="20"/>
                <w:szCs w:val="20"/>
                <w:color w:val="auto"/>
              </w:rPr>
            </w:pPr>
            <w:r>
              <w:rPr>
                <w:rFonts w:ascii="Times New Roman" w:cs="Times New Roman" w:eastAsia="Times New Roman" w:hAnsi="Times New Roman"/>
                <w:sz w:val="20"/>
                <w:szCs w:val="20"/>
                <w:color w:val="auto"/>
              </w:rPr>
              <w:t>FTTH and other</w:t>
            </w: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1,211</w:t>
            </w:r>
          </w:p>
        </w:tc>
        <w:tc>
          <w:tcPr>
            <w:tcW w:w="220" w:type="dxa"/>
            <w:vAlign w:val="bottom"/>
            <w:tcBorders>
              <w:bottom w:val="single" w:sz="8" w:color="DBDBDB"/>
            </w:tcBorders>
          </w:tcPr>
          <w:p>
            <w:pPr>
              <w:spacing w:after="0"/>
              <w:rPr>
                <w:sz w:val="20"/>
                <w:szCs w:val="20"/>
                <w:color w:val="auto"/>
              </w:rPr>
            </w:pPr>
          </w:p>
        </w:tc>
        <w:tc>
          <w:tcPr>
            <w:tcW w:w="110" w:type="dxa"/>
            <w:vAlign w:val="bottom"/>
            <w:tcBorders>
              <w:bottom w:val="single" w:sz="8" w:color="auto"/>
            </w:tcBorders>
          </w:tcPr>
          <w:p>
            <w:pPr>
              <w:spacing w:after="0"/>
              <w:rPr>
                <w:sz w:val="20"/>
                <w:szCs w:val="20"/>
                <w:color w:val="auto"/>
              </w:rPr>
            </w:pPr>
          </w:p>
        </w:tc>
        <w:tc>
          <w:tcPr>
            <w:tcW w:w="127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2,147</w:t>
            </w:r>
          </w:p>
        </w:tc>
        <w:tc>
          <w:tcPr>
            <w:tcW w:w="220" w:type="dxa"/>
            <w:vAlign w:val="bottom"/>
            <w:tcBorders>
              <w:bottom w:val="single" w:sz="8" w:color="DBDBDB"/>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2,660</w:t>
            </w:r>
          </w:p>
        </w:tc>
        <w:tc>
          <w:tcPr>
            <w:tcW w:w="0" w:type="dxa"/>
            <w:vAlign w:val="bottom"/>
          </w:tcPr>
          <w:p>
            <w:pPr>
              <w:spacing w:after="0"/>
              <w:rPr>
                <w:sz w:val="1"/>
                <w:szCs w:val="1"/>
                <w:color w:val="auto"/>
              </w:rPr>
            </w:pPr>
          </w:p>
        </w:tc>
      </w:tr>
      <w:tr>
        <w:trPr>
          <w:trHeight w:val="267"/>
        </w:trPr>
        <w:tc>
          <w:tcPr>
            <w:tcW w:w="5890" w:type="dxa"/>
            <w:vAlign w:val="bottom"/>
            <w:tcBorders>
              <w:bottom w:val="single" w:sz="8" w:color="DBDBDB"/>
            </w:tcBorders>
            <w:shd w:val="clear" w:color="auto" w:fill="DBDBDB"/>
          </w:tcPr>
          <w:p>
            <w:pPr>
              <w:ind w:left="20"/>
              <w:spacing w:after="0" w:line="220" w:lineRule="exact"/>
              <w:rPr>
                <w:sz w:val="20"/>
                <w:szCs w:val="20"/>
                <w:color w:val="auto"/>
              </w:rPr>
            </w:pPr>
            <w:r>
              <w:rPr>
                <w:rFonts w:ascii="Times New Roman" w:cs="Times New Roman" w:eastAsia="Times New Roman" w:hAnsi="Times New Roman"/>
                <w:sz w:val="20"/>
                <w:szCs w:val="20"/>
                <w:color w:val="auto"/>
              </w:rPr>
              <w:t>Total</w:t>
            </w:r>
          </w:p>
        </w:tc>
        <w:tc>
          <w:tcPr>
            <w:tcW w:w="110" w:type="dxa"/>
            <w:vAlign w:val="bottom"/>
            <w:tcBorders>
              <w:bottom w:val="single" w:sz="8" w:color="DBDBDB"/>
              <w:right w:val="single" w:sz="8" w:color="DBDBDB"/>
            </w:tcBorders>
            <w:shd w:val="clear" w:color="auto" w:fill="DBDBDB"/>
          </w:tcPr>
          <w:p>
            <w:pPr>
              <w:spacing w:after="0"/>
              <w:rPr>
                <w:sz w:val="22"/>
                <w:szCs w:val="22"/>
                <w:color w:val="auto"/>
              </w:rPr>
            </w:pPr>
          </w:p>
        </w:tc>
        <w:tc>
          <w:tcPr>
            <w:tcW w:w="10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28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rPr>
              <w:t>455,715</w:t>
            </w:r>
          </w:p>
        </w:tc>
        <w:tc>
          <w:tcPr>
            <w:tcW w:w="220" w:type="dxa"/>
            <w:vAlign w:val="bottom"/>
            <w:tcBorders>
              <w:bottom w:val="single" w:sz="8" w:color="DBDBDB"/>
              <w:right w:val="single" w:sz="8" w:color="DBDBDB"/>
            </w:tcBorders>
            <w:shd w:val="clear" w:color="auto" w:fill="DBDBDB"/>
          </w:tcPr>
          <w:p>
            <w:pPr>
              <w:spacing w:after="0"/>
              <w:rPr>
                <w:sz w:val="22"/>
                <w:szCs w:val="22"/>
                <w:color w:val="auto"/>
              </w:rPr>
            </w:pPr>
          </w:p>
        </w:tc>
        <w:tc>
          <w:tcPr>
            <w:tcW w:w="11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27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rPr>
              <w:t>249,365</w:t>
            </w:r>
          </w:p>
        </w:tc>
        <w:tc>
          <w:tcPr>
            <w:tcW w:w="220" w:type="dxa"/>
            <w:vAlign w:val="bottom"/>
            <w:tcBorders>
              <w:bottom w:val="single" w:sz="8" w:color="DBDBDB"/>
              <w:right w:val="single" w:sz="8" w:color="DBDBDB"/>
            </w:tcBorders>
            <w:shd w:val="clear" w:color="auto" w:fill="DBDBDB"/>
          </w:tcPr>
          <w:p>
            <w:pPr>
              <w:spacing w:after="0"/>
              <w:rPr>
                <w:sz w:val="22"/>
                <w:szCs w:val="22"/>
                <w:color w:val="auto"/>
              </w:rPr>
            </w:pPr>
          </w:p>
        </w:tc>
        <w:tc>
          <w:tcPr>
            <w:tcW w:w="360" w:type="dxa"/>
            <w:vAlign w:val="bottom"/>
            <w:tcBorders>
              <w:bottom w:val="single" w:sz="8" w:color="DBDBDB"/>
            </w:tcBorders>
            <w:shd w:val="clear" w:color="auto" w:fill="DBDBDB"/>
          </w:tcPr>
          <w:p>
            <w:pPr>
              <w:jc w:val="right"/>
              <w:ind w:right="162"/>
              <w:spacing w:after="0" w:line="220"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04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rPr>
              <w:t>217,646</w:t>
            </w:r>
          </w:p>
        </w:tc>
        <w:tc>
          <w:tcPr>
            <w:tcW w:w="0" w:type="dxa"/>
            <w:vAlign w:val="bottom"/>
          </w:tcPr>
          <w:p>
            <w:pPr>
              <w:spacing w:after="0"/>
              <w:rPr>
                <w:sz w:val="1"/>
                <w:szCs w:val="1"/>
                <w:color w:val="auto"/>
              </w:rPr>
            </w:pPr>
          </w:p>
        </w:tc>
      </w:tr>
      <w:tr>
        <w:trPr>
          <w:trHeight w:val="20"/>
        </w:trPr>
        <w:tc>
          <w:tcPr>
            <w:tcW w:w="5890" w:type="dxa"/>
            <w:vAlign w:val="bottom"/>
            <w:tcBorders>
              <w:top w:val="single" w:sz="8" w:color="DBDBDB"/>
            </w:tcBorders>
          </w:tcPr>
          <w:p>
            <w:pPr>
              <w:spacing w:after="0" w:line="20" w:lineRule="exact"/>
              <w:rPr>
                <w:sz w:val="1"/>
                <w:szCs w:val="1"/>
                <w:color w:val="auto"/>
              </w:rPr>
            </w:pPr>
          </w:p>
        </w:tc>
        <w:tc>
          <w:tcPr>
            <w:tcW w:w="110" w:type="dxa"/>
            <w:vAlign w:val="bottom"/>
            <w:tcBorders>
              <w:top w:val="single" w:sz="8" w:color="DBDBDB"/>
              <w:right w:val="single" w:sz="8" w:color="auto"/>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DBDBDB"/>
              <w:right w:val="single" w:sz="8" w:color="auto"/>
            </w:tcBorders>
          </w:tcPr>
          <w:p>
            <w:pPr>
              <w:spacing w:after="0" w:line="20" w:lineRule="exact"/>
              <w:rPr>
                <w:sz w:val="1"/>
                <w:szCs w:val="1"/>
                <w:color w:val="auto"/>
              </w:rPr>
            </w:pPr>
          </w:p>
        </w:tc>
        <w:tc>
          <w:tcPr>
            <w:tcW w:w="110" w:type="dxa"/>
            <w:vAlign w:val="bottom"/>
            <w:tcBorders>
              <w:top w:val="single" w:sz="8" w:color="auto"/>
            </w:tcBorders>
            <w:shd w:val="clear" w:color="auto" w:fill="000000"/>
          </w:tcPr>
          <w:p>
            <w:pPr>
              <w:spacing w:after="0" w:line="20" w:lineRule="exact"/>
              <w:rPr>
                <w:sz w:val="1"/>
                <w:szCs w:val="1"/>
                <w:color w:val="auto"/>
              </w:rPr>
            </w:pPr>
          </w:p>
        </w:tc>
        <w:tc>
          <w:tcPr>
            <w:tcW w:w="127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DBDBDB"/>
              <w:right w:val="single" w:sz="8" w:color="auto"/>
            </w:tcBorders>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0" w:type="dxa"/>
            <w:vAlign w:val="bottom"/>
            <w:tcBorders>
              <w:bottom w:val="single" w:sz="8" w:color="DBDBDB"/>
            </w:tcBorders>
          </w:tcPr>
          <w:p>
            <w:pPr>
              <w:spacing w:after="0"/>
              <w:rPr>
                <w:sz w:val="22"/>
                <w:szCs w:val="22"/>
                <w:color w:val="auto"/>
              </w:rPr>
            </w:pPr>
          </w:p>
        </w:tc>
        <w:tc>
          <w:tcPr>
            <w:tcW w:w="5780" w:type="dxa"/>
            <w:vAlign w:val="bottom"/>
            <w:tcBorders>
              <w:bottom w:val="single" w:sz="8" w:color="DBDBDB"/>
            </w:tcBorders>
          </w:tcPr>
          <w:p>
            <w:pPr>
              <w:spacing w:after="0"/>
              <w:rPr>
                <w:sz w:val="22"/>
                <w:szCs w:val="22"/>
                <w:color w:val="auto"/>
              </w:rPr>
            </w:pPr>
          </w:p>
        </w:tc>
        <w:tc>
          <w:tcPr>
            <w:tcW w:w="80" w:type="dxa"/>
            <w:vAlign w:val="bottom"/>
            <w:tcBorders>
              <w:bottom w:val="single" w:sz="8" w:color="DBDBDB"/>
            </w:tcBorders>
          </w:tcPr>
          <w:p>
            <w:pPr>
              <w:spacing w:after="0"/>
              <w:rPr>
                <w:sz w:val="22"/>
                <w:szCs w:val="22"/>
                <w:color w:val="auto"/>
              </w:rPr>
            </w:pPr>
          </w:p>
        </w:tc>
        <w:tc>
          <w:tcPr>
            <w:tcW w:w="20" w:type="dxa"/>
            <w:vAlign w:val="bottom"/>
            <w:tcBorders>
              <w:bottom w:val="single" w:sz="8" w:color="DBDBDB"/>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180" w:type="dxa"/>
            <w:vAlign w:val="bottom"/>
            <w:tcBorders>
              <w:bottom w:val="single" w:sz="8" w:color="auto"/>
            </w:tcBorders>
            <w:gridSpan w:val="6"/>
          </w:tcPr>
          <w:p>
            <w:pPr>
              <w:ind w:left="1220"/>
              <w:spacing w:after="0"/>
              <w:rPr>
                <w:sz w:val="20"/>
                <w:szCs w:val="20"/>
                <w:color w:val="auto"/>
              </w:rPr>
            </w:pPr>
            <w:r>
              <w:rPr>
                <w:rFonts w:ascii="Times New Roman" w:cs="Times New Roman" w:eastAsia="Times New Roman" w:hAnsi="Times New Roman"/>
                <w:sz w:val="20"/>
                <w:szCs w:val="20"/>
                <w:b w:val="1"/>
                <w:bCs w:val="1"/>
                <w:color w:val="auto"/>
                <w:w w:val="99"/>
              </w:rPr>
              <w:t>Percentage of Revenue</w:t>
            </w:r>
          </w:p>
        </w:tc>
        <w:tc>
          <w:tcPr>
            <w:tcW w:w="1440" w:type="dxa"/>
            <w:vAlign w:val="bottom"/>
            <w:tcBorders>
              <w:bottom w:val="single" w:sz="8" w:color="auto"/>
            </w:tcBorders>
          </w:tcPr>
          <w:p>
            <w:pPr>
              <w:spacing w:after="0"/>
              <w:rPr>
                <w:sz w:val="22"/>
                <w:szCs w:val="22"/>
                <w:color w:val="auto"/>
              </w:rPr>
            </w:pPr>
          </w:p>
        </w:tc>
      </w:tr>
      <w:tr>
        <w:trPr>
          <w:trHeight w:val="240"/>
        </w:trPr>
        <w:tc>
          <w:tcPr>
            <w:tcW w:w="20" w:type="dxa"/>
            <w:vAlign w:val="bottom"/>
            <w:tcBorders>
              <w:bottom w:val="single" w:sz="8" w:color="DBDBDB"/>
            </w:tcBorders>
          </w:tcPr>
          <w:p>
            <w:pPr>
              <w:spacing w:after="0"/>
              <w:rPr>
                <w:sz w:val="20"/>
                <w:szCs w:val="20"/>
                <w:color w:val="auto"/>
              </w:rPr>
            </w:pPr>
          </w:p>
        </w:tc>
        <w:tc>
          <w:tcPr>
            <w:tcW w:w="5780" w:type="dxa"/>
            <w:vAlign w:val="bottom"/>
            <w:tcBorders>
              <w:bottom w:val="single" w:sz="8" w:color="DBDBDB"/>
            </w:tcBorders>
            <w:shd w:val="clear" w:color="auto" w:fill="DBDBDB"/>
          </w:tcPr>
          <w:p>
            <w:pPr>
              <w:spacing w:after="0" w:line="220" w:lineRule="exact"/>
              <w:rPr>
                <w:sz w:val="20"/>
                <w:szCs w:val="20"/>
                <w:color w:val="auto"/>
              </w:rPr>
            </w:pPr>
            <w:r>
              <w:rPr>
                <w:rFonts w:ascii="Times New Roman" w:cs="Times New Roman" w:eastAsia="Times New Roman" w:hAnsi="Times New Roman"/>
                <w:sz w:val="20"/>
                <w:szCs w:val="20"/>
                <w:color w:val="auto"/>
              </w:rPr>
              <w:t>Data Center</w:t>
            </w:r>
          </w:p>
        </w:tc>
        <w:tc>
          <w:tcPr>
            <w:tcW w:w="80" w:type="dxa"/>
            <w:vAlign w:val="bottom"/>
            <w:tcBorders>
              <w:bottom w:val="single" w:sz="8" w:color="DBDBDB"/>
              <w:right w:val="single" w:sz="8" w:color="DBDBDB"/>
            </w:tcBorders>
          </w:tcPr>
          <w:p>
            <w:pPr>
              <w:spacing w:after="0"/>
              <w:rPr>
                <w:sz w:val="20"/>
                <w:szCs w:val="20"/>
                <w:color w:val="auto"/>
              </w:rPr>
            </w:pPr>
          </w:p>
        </w:tc>
        <w:tc>
          <w:tcPr>
            <w:tcW w:w="20" w:type="dxa"/>
            <w:vAlign w:val="bottom"/>
            <w:tcBorders>
              <w:bottom w:val="single" w:sz="8" w:color="DBDBDB"/>
            </w:tcBorders>
          </w:tcPr>
          <w:p>
            <w:pPr>
              <w:spacing w:after="0"/>
              <w:rPr>
                <w:sz w:val="20"/>
                <w:szCs w:val="20"/>
                <w:color w:val="auto"/>
              </w:rPr>
            </w:pPr>
          </w:p>
        </w:tc>
        <w:tc>
          <w:tcPr>
            <w:tcW w:w="80" w:type="dxa"/>
            <w:vAlign w:val="bottom"/>
            <w:tcBorders>
              <w:bottom w:val="single" w:sz="8" w:color="DBDBDB"/>
            </w:tcBorders>
            <w:shd w:val="clear" w:color="auto" w:fill="DBDBDB"/>
          </w:tcPr>
          <w:p>
            <w:pPr>
              <w:spacing w:after="0"/>
              <w:rPr>
                <w:sz w:val="20"/>
                <w:szCs w:val="20"/>
                <w:color w:val="auto"/>
              </w:rPr>
            </w:pPr>
          </w:p>
        </w:tc>
        <w:tc>
          <w:tcPr>
            <w:tcW w:w="1420" w:type="dxa"/>
            <w:vAlign w:val="bottom"/>
            <w:tcBorders>
              <w:bottom w:val="single" w:sz="8" w:color="DBDBDB"/>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53.8%</w:t>
            </w:r>
          </w:p>
        </w:tc>
        <w:tc>
          <w:tcPr>
            <w:tcW w:w="80" w:type="dxa"/>
            <w:vAlign w:val="bottom"/>
            <w:tcBorders>
              <w:bottom w:val="single" w:sz="8" w:color="DBDBDB"/>
              <w:right w:val="single" w:sz="8" w:color="DBDBDB"/>
            </w:tcBorders>
          </w:tcPr>
          <w:p>
            <w:pPr>
              <w:spacing w:after="0"/>
              <w:rPr>
                <w:sz w:val="20"/>
                <w:szCs w:val="20"/>
                <w:color w:val="auto"/>
              </w:rPr>
            </w:pPr>
          </w:p>
        </w:tc>
        <w:tc>
          <w:tcPr>
            <w:tcW w:w="80" w:type="dxa"/>
            <w:vAlign w:val="bottom"/>
            <w:tcBorders>
              <w:bottom w:val="single" w:sz="8" w:color="DBDBDB"/>
            </w:tcBorders>
            <w:shd w:val="clear" w:color="auto" w:fill="DBDBDB"/>
          </w:tcPr>
          <w:p>
            <w:pPr>
              <w:spacing w:after="0"/>
              <w:rPr>
                <w:sz w:val="20"/>
                <w:szCs w:val="20"/>
                <w:color w:val="auto"/>
              </w:rPr>
            </w:pPr>
          </w:p>
        </w:tc>
        <w:tc>
          <w:tcPr>
            <w:tcW w:w="1440" w:type="dxa"/>
            <w:vAlign w:val="bottom"/>
            <w:tcBorders>
              <w:bottom w:val="single" w:sz="8" w:color="DBDBDB"/>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35.2%</w:t>
            </w:r>
          </w:p>
        </w:tc>
        <w:tc>
          <w:tcPr>
            <w:tcW w:w="80" w:type="dxa"/>
            <w:vAlign w:val="bottom"/>
            <w:tcBorders>
              <w:bottom w:val="single" w:sz="8" w:color="DBDBDB"/>
            </w:tcBorders>
            <w:shd w:val="clear" w:color="auto" w:fill="DBDBDB"/>
          </w:tcPr>
          <w:p>
            <w:pPr>
              <w:spacing w:after="0"/>
              <w:rPr>
                <w:sz w:val="20"/>
                <w:szCs w:val="20"/>
                <w:color w:val="auto"/>
              </w:rPr>
            </w:pPr>
          </w:p>
        </w:tc>
        <w:tc>
          <w:tcPr>
            <w:tcW w:w="80" w:type="dxa"/>
            <w:vAlign w:val="bottom"/>
            <w:tcBorders>
              <w:bottom w:val="single" w:sz="8" w:color="DBDBDB"/>
            </w:tcBorders>
            <w:shd w:val="clear" w:color="auto" w:fill="DBDBDB"/>
          </w:tcPr>
          <w:p>
            <w:pPr>
              <w:spacing w:after="0"/>
              <w:rPr>
                <w:sz w:val="20"/>
                <w:szCs w:val="20"/>
                <w:color w:val="auto"/>
              </w:rPr>
            </w:pPr>
          </w:p>
        </w:tc>
        <w:tc>
          <w:tcPr>
            <w:tcW w:w="144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rPr>
              <w:t>27.5%</w:t>
            </w:r>
          </w:p>
        </w:tc>
      </w:tr>
      <w:tr>
        <w:trPr>
          <w:trHeight w:val="200"/>
        </w:trPr>
        <w:tc>
          <w:tcPr>
            <w:tcW w:w="20" w:type="dxa"/>
            <w:vAlign w:val="bottom"/>
            <w:tcBorders>
              <w:bottom w:val="single" w:sz="8" w:color="DBDBDB"/>
            </w:tcBorders>
          </w:tcPr>
          <w:p>
            <w:pPr>
              <w:spacing w:after="0"/>
              <w:rPr>
                <w:sz w:val="17"/>
                <w:szCs w:val="17"/>
                <w:color w:val="auto"/>
              </w:rPr>
            </w:pPr>
          </w:p>
        </w:tc>
        <w:tc>
          <w:tcPr>
            <w:tcW w:w="5780" w:type="dxa"/>
            <w:vAlign w:val="bottom"/>
            <w:tcBorders>
              <w:bottom w:val="single" w:sz="8" w:color="DBDBDB"/>
            </w:tcBorders>
          </w:tcPr>
          <w:p>
            <w:pPr>
              <w:spacing w:after="0" w:line="200" w:lineRule="exact"/>
              <w:rPr>
                <w:sz w:val="20"/>
                <w:szCs w:val="20"/>
                <w:color w:val="auto"/>
              </w:rPr>
            </w:pPr>
            <w:r>
              <w:rPr>
                <w:rFonts w:ascii="Times New Roman" w:cs="Times New Roman" w:eastAsia="Times New Roman" w:hAnsi="Times New Roman"/>
                <w:sz w:val="20"/>
                <w:szCs w:val="20"/>
                <w:color w:val="auto"/>
              </w:rPr>
              <w:t>CATV</w:t>
            </w:r>
          </w:p>
        </w:tc>
        <w:tc>
          <w:tcPr>
            <w:tcW w:w="1600" w:type="dxa"/>
            <w:vAlign w:val="bottom"/>
            <w:tcBorders>
              <w:bottom w:val="single" w:sz="8" w:color="DBDBDB"/>
            </w:tcBorders>
            <w:gridSpan w:val="4"/>
          </w:tcPr>
          <w:p>
            <w:pPr>
              <w:jc w:val="right"/>
              <w:spacing w:after="0" w:line="200" w:lineRule="exact"/>
              <w:rPr>
                <w:sz w:val="20"/>
                <w:szCs w:val="20"/>
                <w:color w:val="auto"/>
              </w:rPr>
            </w:pPr>
            <w:r>
              <w:rPr>
                <w:rFonts w:ascii="Times New Roman" w:cs="Times New Roman" w:eastAsia="Times New Roman" w:hAnsi="Times New Roman"/>
                <w:sz w:val="20"/>
                <w:szCs w:val="20"/>
                <w:color w:val="auto"/>
              </w:rPr>
              <w:t>42.9%</w:t>
            </w:r>
          </w:p>
        </w:tc>
        <w:tc>
          <w:tcPr>
            <w:tcW w:w="80" w:type="dxa"/>
            <w:vAlign w:val="bottom"/>
            <w:tcBorders>
              <w:bottom w:val="single" w:sz="8" w:color="DBDBDB"/>
            </w:tcBorders>
          </w:tcPr>
          <w:p>
            <w:pPr>
              <w:spacing w:after="0"/>
              <w:rPr>
                <w:sz w:val="17"/>
                <w:szCs w:val="17"/>
                <w:color w:val="auto"/>
              </w:rPr>
            </w:pPr>
          </w:p>
        </w:tc>
        <w:tc>
          <w:tcPr>
            <w:tcW w:w="1520" w:type="dxa"/>
            <w:vAlign w:val="bottom"/>
            <w:tcBorders>
              <w:bottom w:val="single" w:sz="8" w:color="DBDBDB"/>
            </w:tcBorders>
            <w:gridSpan w:val="2"/>
          </w:tcPr>
          <w:p>
            <w:pPr>
              <w:jc w:val="right"/>
              <w:spacing w:after="0" w:line="200" w:lineRule="exact"/>
              <w:rPr>
                <w:sz w:val="20"/>
                <w:szCs w:val="20"/>
                <w:color w:val="auto"/>
              </w:rPr>
            </w:pPr>
            <w:r>
              <w:rPr>
                <w:rFonts w:ascii="Times New Roman" w:cs="Times New Roman" w:eastAsia="Times New Roman" w:hAnsi="Times New Roman"/>
                <w:sz w:val="20"/>
                <w:szCs w:val="20"/>
                <w:color w:val="auto"/>
              </w:rPr>
              <w:t>59.5%</w:t>
            </w:r>
          </w:p>
        </w:tc>
        <w:tc>
          <w:tcPr>
            <w:tcW w:w="80" w:type="dxa"/>
            <w:vAlign w:val="bottom"/>
            <w:tcBorders>
              <w:bottom w:val="single" w:sz="8" w:color="DBDBDB"/>
            </w:tcBorders>
          </w:tcPr>
          <w:p>
            <w:pPr>
              <w:spacing w:after="0"/>
              <w:rPr>
                <w:sz w:val="17"/>
                <w:szCs w:val="17"/>
                <w:color w:val="auto"/>
              </w:rPr>
            </w:pPr>
          </w:p>
        </w:tc>
        <w:tc>
          <w:tcPr>
            <w:tcW w:w="80" w:type="dxa"/>
            <w:vAlign w:val="bottom"/>
            <w:tcBorders>
              <w:bottom w:val="single" w:sz="8" w:color="DBDBDB"/>
            </w:tcBorders>
          </w:tcPr>
          <w:p>
            <w:pPr>
              <w:spacing w:after="0"/>
              <w:rPr>
                <w:sz w:val="17"/>
                <w:szCs w:val="17"/>
                <w:color w:val="auto"/>
              </w:rPr>
            </w:pPr>
          </w:p>
        </w:tc>
        <w:tc>
          <w:tcPr>
            <w:tcW w:w="1440" w:type="dxa"/>
            <w:vAlign w:val="bottom"/>
            <w:tcBorders>
              <w:bottom w:val="single" w:sz="8" w:color="DBDBDB"/>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64.9%</w:t>
            </w:r>
          </w:p>
        </w:tc>
      </w:tr>
      <w:tr>
        <w:trPr>
          <w:trHeight w:val="231"/>
        </w:trPr>
        <w:tc>
          <w:tcPr>
            <w:tcW w:w="20" w:type="dxa"/>
            <w:vAlign w:val="bottom"/>
            <w:tcBorders>
              <w:bottom w:val="single" w:sz="8" w:color="DBDBDB"/>
            </w:tcBorders>
          </w:tcPr>
          <w:p>
            <w:pPr>
              <w:spacing w:after="0"/>
              <w:rPr>
                <w:sz w:val="20"/>
                <w:szCs w:val="20"/>
                <w:color w:val="auto"/>
              </w:rPr>
            </w:pPr>
          </w:p>
        </w:tc>
        <w:tc>
          <w:tcPr>
            <w:tcW w:w="5780" w:type="dxa"/>
            <w:vAlign w:val="bottom"/>
            <w:tcBorders>
              <w:bottom w:val="single" w:sz="8" w:color="DBDBDB"/>
            </w:tcBorders>
            <w:shd w:val="clear" w:color="auto" w:fill="DBDBDB"/>
          </w:tcPr>
          <w:p>
            <w:pPr>
              <w:spacing w:after="0" w:line="210" w:lineRule="exact"/>
              <w:rPr>
                <w:sz w:val="20"/>
                <w:szCs w:val="20"/>
                <w:color w:val="auto"/>
              </w:rPr>
            </w:pPr>
            <w:r>
              <w:rPr>
                <w:rFonts w:ascii="Times New Roman" w:cs="Times New Roman" w:eastAsia="Times New Roman" w:hAnsi="Times New Roman"/>
                <w:sz w:val="20"/>
                <w:szCs w:val="20"/>
                <w:color w:val="auto"/>
              </w:rPr>
              <w:t>Telecom</w:t>
            </w:r>
          </w:p>
        </w:tc>
        <w:tc>
          <w:tcPr>
            <w:tcW w:w="80" w:type="dxa"/>
            <w:vAlign w:val="bottom"/>
            <w:tcBorders>
              <w:bottom w:val="single" w:sz="8" w:color="DBDBDB"/>
              <w:right w:val="single" w:sz="8" w:color="DBDBDB"/>
            </w:tcBorders>
          </w:tcPr>
          <w:p>
            <w:pPr>
              <w:spacing w:after="0"/>
              <w:rPr>
                <w:sz w:val="20"/>
                <w:szCs w:val="20"/>
                <w:color w:val="auto"/>
              </w:rPr>
            </w:pPr>
          </w:p>
        </w:tc>
        <w:tc>
          <w:tcPr>
            <w:tcW w:w="20" w:type="dxa"/>
            <w:vAlign w:val="bottom"/>
            <w:tcBorders>
              <w:bottom w:val="single" w:sz="8" w:color="DBDBDB"/>
            </w:tcBorders>
          </w:tcPr>
          <w:p>
            <w:pPr>
              <w:spacing w:after="0"/>
              <w:rPr>
                <w:sz w:val="20"/>
                <w:szCs w:val="20"/>
                <w:color w:val="auto"/>
              </w:rPr>
            </w:pPr>
          </w:p>
        </w:tc>
        <w:tc>
          <w:tcPr>
            <w:tcW w:w="80" w:type="dxa"/>
            <w:vAlign w:val="bottom"/>
            <w:tcBorders>
              <w:bottom w:val="single" w:sz="8" w:color="DBDBDB"/>
            </w:tcBorders>
            <w:shd w:val="clear" w:color="auto" w:fill="DBDBDB"/>
          </w:tcPr>
          <w:p>
            <w:pPr>
              <w:spacing w:after="0"/>
              <w:rPr>
                <w:sz w:val="20"/>
                <w:szCs w:val="20"/>
                <w:color w:val="auto"/>
              </w:rPr>
            </w:pPr>
          </w:p>
        </w:tc>
        <w:tc>
          <w:tcPr>
            <w:tcW w:w="1420" w:type="dxa"/>
            <w:vAlign w:val="bottom"/>
            <w:tcBorders>
              <w:bottom w:val="single" w:sz="8" w:color="DBDBDB"/>
            </w:tcBorders>
          </w:tcPr>
          <w:p>
            <w:pPr>
              <w:jc w:val="right"/>
              <w:spacing w:after="0" w:line="210" w:lineRule="exact"/>
              <w:rPr>
                <w:sz w:val="20"/>
                <w:szCs w:val="20"/>
                <w:color w:val="auto"/>
              </w:rPr>
            </w:pPr>
            <w:r>
              <w:rPr>
                <w:rFonts w:ascii="Times New Roman" w:cs="Times New Roman" w:eastAsia="Times New Roman" w:hAnsi="Times New Roman"/>
                <w:sz w:val="20"/>
                <w:szCs w:val="20"/>
                <w:color w:val="auto"/>
              </w:rPr>
              <w:t>3.0%</w:t>
            </w:r>
          </w:p>
        </w:tc>
        <w:tc>
          <w:tcPr>
            <w:tcW w:w="80" w:type="dxa"/>
            <w:vAlign w:val="bottom"/>
            <w:tcBorders>
              <w:bottom w:val="single" w:sz="8" w:color="DBDBDB"/>
              <w:right w:val="single" w:sz="8" w:color="DBDBDB"/>
            </w:tcBorders>
          </w:tcPr>
          <w:p>
            <w:pPr>
              <w:spacing w:after="0"/>
              <w:rPr>
                <w:sz w:val="20"/>
                <w:szCs w:val="20"/>
                <w:color w:val="auto"/>
              </w:rPr>
            </w:pPr>
          </w:p>
        </w:tc>
        <w:tc>
          <w:tcPr>
            <w:tcW w:w="80" w:type="dxa"/>
            <w:vAlign w:val="bottom"/>
            <w:tcBorders>
              <w:bottom w:val="single" w:sz="8" w:color="DBDBDB"/>
            </w:tcBorders>
            <w:shd w:val="clear" w:color="auto" w:fill="DBDBDB"/>
          </w:tcPr>
          <w:p>
            <w:pPr>
              <w:spacing w:after="0"/>
              <w:rPr>
                <w:sz w:val="20"/>
                <w:szCs w:val="20"/>
                <w:color w:val="auto"/>
              </w:rPr>
            </w:pPr>
          </w:p>
        </w:tc>
        <w:tc>
          <w:tcPr>
            <w:tcW w:w="1440" w:type="dxa"/>
            <w:vAlign w:val="bottom"/>
            <w:tcBorders>
              <w:bottom w:val="single" w:sz="8" w:color="DBDBDB"/>
            </w:tcBorders>
          </w:tcPr>
          <w:p>
            <w:pPr>
              <w:jc w:val="right"/>
              <w:spacing w:after="0" w:line="210" w:lineRule="exact"/>
              <w:rPr>
                <w:sz w:val="20"/>
                <w:szCs w:val="20"/>
                <w:color w:val="auto"/>
              </w:rPr>
            </w:pPr>
            <w:r>
              <w:rPr>
                <w:rFonts w:ascii="Times New Roman" w:cs="Times New Roman" w:eastAsia="Times New Roman" w:hAnsi="Times New Roman"/>
                <w:sz w:val="20"/>
                <w:szCs w:val="20"/>
                <w:color w:val="auto"/>
              </w:rPr>
              <w:t>4.4%</w:t>
            </w:r>
          </w:p>
        </w:tc>
        <w:tc>
          <w:tcPr>
            <w:tcW w:w="80" w:type="dxa"/>
            <w:vAlign w:val="bottom"/>
            <w:tcBorders>
              <w:bottom w:val="single" w:sz="8" w:color="DBDBDB"/>
            </w:tcBorders>
            <w:shd w:val="clear" w:color="auto" w:fill="DBDBDB"/>
          </w:tcPr>
          <w:p>
            <w:pPr>
              <w:spacing w:after="0"/>
              <w:rPr>
                <w:sz w:val="20"/>
                <w:szCs w:val="20"/>
                <w:color w:val="auto"/>
              </w:rPr>
            </w:pPr>
          </w:p>
        </w:tc>
        <w:tc>
          <w:tcPr>
            <w:tcW w:w="80" w:type="dxa"/>
            <w:vAlign w:val="bottom"/>
            <w:tcBorders>
              <w:bottom w:val="single" w:sz="8" w:color="DBDBDB"/>
            </w:tcBorders>
            <w:shd w:val="clear" w:color="auto" w:fill="DBDBDB"/>
          </w:tcPr>
          <w:p>
            <w:pPr>
              <w:spacing w:after="0"/>
              <w:rPr>
                <w:sz w:val="20"/>
                <w:szCs w:val="20"/>
                <w:color w:val="auto"/>
              </w:rPr>
            </w:pPr>
          </w:p>
        </w:tc>
        <w:tc>
          <w:tcPr>
            <w:tcW w:w="1440" w:type="dxa"/>
            <w:vAlign w:val="bottom"/>
            <w:tcBorders>
              <w:bottom w:val="single" w:sz="8" w:color="DBDBDB"/>
            </w:tcBorders>
            <w:shd w:val="clear" w:color="auto" w:fill="DBDBDB"/>
          </w:tcPr>
          <w:p>
            <w:pPr>
              <w:jc w:val="right"/>
              <w:spacing w:after="0" w:line="210" w:lineRule="exact"/>
              <w:rPr>
                <w:sz w:val="20"/>
                <w:szCs w:val="20"/>
                <w:color w:val="auto"/>
              </w:rPr>
            </w:pPr>
            <w:r>
              <w:rPr>
                <w:rFonts w:ascii="Times New Roman" w:cs="Times New Roman" w:eastAsia="Times New Roman" w:hAnsi="Times New Roman"/>
                <w:sz w:val="20"/>
                <w:szCs w:val="20"/>
                <w:color w:val="auto"/>
              </w:rPr>
              <w:t>6.4%</w:t>
            </w:r>
          </w:p>
        </w:tc>
      </w:tr>
      <w:tr>
        <w:trPr>
          <w:trHeight w:val="209"/>
        </w:trPr>
        <w:tc>
          <w:tcPr>
            <w:tcW w:w="20" w:type="dxa"/>
            <w:vAlign w:val="bottom"/>
          </w:tcPr>
          <w:p>
            <w:pPr>
              <w:spacing w:after="0"/>
              <w:rPr>
                <w:sz w:val="18"/>
                <w:szCs w:val="18"/>
                <w:color w:val="auto"/>
              </w:rPr>
            </w:pPr>
          </w:p>
        </w:tc>
        <w:tc>
          <w:tcPr>
            <w:tcW w:w="5780" w:type="dxa"/>
            <w:vAlign w:val="bottom"/>
          </w:tcPr>
          <w:p>
            <w:pPr>
              <w:spacing w:after="0" w:line="209" w:lineRule="exact"/>
              <w:rPr>
                <w:sz w:val="20"/>
                <w:szCs w:val="20"/>
                <w:color w:val="auto"/>
              </w:rPr>
            </w:pPr>
            <w:r>
              <w:rPr>
                <w:rFonts w:ascii="Times New Roman" w:cs="Times New Roman" w:eastAsia="Times New Roman" w:hAnsi="Times New Roman"/>
                <w:sz w:val="20"/>
                <w:szCs w:val="20"/>
                <w:color w:val="auto"/>
              </w:rPr>
              <w:t>FTTH and other</w:t>
            </w:r>
          </w:p>
        </w:tc>
        <w:tc>
          <w:tcPr>
            <w:tcW w:w="1600" w:type="dxa"/>
            <w:vAlign w:val="bottom"/>
            <w:gridSpan w:val="4"/>
          </w:tcPr>
          <w:p>
            <w:pPr>
              <w:jc w:val="right"/>
              <w:spacing w:after="0" w:line="209" w:lineRule="exact"/>
              <w:rPr>
                <w:sz w:val="20"/>
                <w:szCs w:val="20"/>
                <w:color w:val="auto"/>
              </w:rPr>
            </w:pPr>
            <w:r>
              <w:rPr>
                <w:rFonts w:ascii="Times New Roman" w:cs="Times New Roman" w:eastAsia="Times New Roman" w:hAnsi="Times New Roman"/>
                <w:sz w:val="20"/>
                <w:szCs w:val="20"/>
                <w:color w:val="auto"/>
              </w:rPr>
              <w:t>0.3%</w:t>
            </w:r>
          </w:p>
        </w:tc>
        <w:tc>
          <w:tcPr>
            <w:tcW w:w="80" w:type="dxa"/>
            <w:vAlign w:val="bottom"/>
          </w:tcPr>
          <w:p>
            <w:pPr>
              <w:spacing w:after="0"/>
              <w:rPr>
                <w:sz w:val="18"/>
                <w:szCs w:val="18"/>
                <w:color w:val="auto"/>
              </w:rPr>
            </w:pPr>
          </w:p>
        </w:tc>
        <w:tc>
          <w:tcPr>
            <w:tcW w:w="1520" w:type="dxa"/>
            <w:vAlign w:val="bottom"/>
            <w:gridSpan w:val="2"/>
          </w:tcPr>
          <w:p>
            <w:pPr>
              <w:jc w:val="right"/>
              <w:spacing w:after="0" w:line="209" w:lineRule="exact"/>
              <w:rPr>
                <w:sz w:val="20"/>
                <w:szCs w:val="20"/>
                <w:color w:val="auto"/>
              </w:rPr>
            </w:pPr>
            <w:r>
              <w:rPr>
                <w:rFonts w:ascii="Times New Roman" w:cs="Times New Roman" w:eastAsia="Times New Roman" w:hAnsi="Times New Roman"/>
                <w:sz w:val="20"/>
                <w:szCs w:val="20"/>
                <w:color w:val="auto"/>
              </w:rPr>
              <w:t>0.9%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1.2%</w:t>
            </w:r>
          </w:p>
        </w:tc>
      </w:tr>
      <w:tr>
        <w:trPr>
          <w:trHeight w:val="220"/>
        </w:trPr>
        <w:tc>
          <w:tcPr>
            <w:tcW w:w="20" w:type="dxa"/>
            <w:vAlign w:val="bottom"/>
            <w:tcBorders>
              <w:top w:val="single" w:sz="8" w:color="DBDBDB"/>
              <w:bottom w:val="single" w:sz="8" w:color="DBDBDB"/>
            </w:tcBorders>
          </w:tcPr>
          <w:p>
            <w:pPr>
              <w:spacing w:after="0"/>
              <w:rPr>
                <w:sz w:val="19"/>
                <w:szCs w:val="19"/>
                <w:color w:val="auto"/>
              </w:rPr>
            </w:pPr>
          </w:p>
        </w:tc>
        <w:tc>
          <w:tcPr>
            <w:tcW w:w="5780" w:type="dxa"/>
            <w:vAlign w:val="bottom"/>
            <w:tcBorders>
              <w:top w:val="single" w:sz="8" w:color="DBDBDB"/>
              <w:bottom w:val="single" w:sz="8" w:color="DBDBDB"/>
            </w:tcBorders>
            <w:shd w:val="clear" w:color="auto" w:fill="DBDBDB"/>
          </w:tcPr>
          <w:p>
            <w:pPr>
              <w:ind w:left="160"/>
              <w:spacing w:after="0" w:line="220" w:lineRule="exact"/>
              <w:rPr>
                <w:sz w:val="20"/>
                <w:szCs w:val="20"/>
                <w:color w:val="auto"/>
              </w:rPr>
            </w:pPr>
            <w:r>
              <w:rPr>
                <w:rFonts w:ascii="Times New Roman" w:cs="Times New Roman" w:eastAsia="Times New Roman" w:hAnsi="Times New Roman"/>
                <w:sz w:val="20"/>
                <w:szCs w:val="20"/>
                <w:color w:val="auto"/>
              </w:rPr>
              <w:t>Total Revenue</w:t>
            </w:r>
          </w:p>
        </w:tc>
        <w:tc>
          <w:tcPr>
            <w:tcW w:w="80" w:type="dxa"/>
            <w:vAlign w:val="bottom"/>
            <w:tcBorders>
              <w:top w:val="single" w:sz="8" w:color="DBDBDB"/>
              <w:bottom w:val="single" w:sz="8" w:color="DBDBDB"/>
              <w:right w:val="single" w:sz="8" w:color="DBDBDB"/>
            </w:tcBorders>
          </w:tcPr>
          <w:p>
            <w:pPr>
              <w:spacing w:after="0"/>
              <w:rPr>
                <w:sz w:val="19"/>
                <w:szCs w:val="19"/>
                <w:color w:val="auto"/>
              </w:rPr>
            </w:pPr>
          </w:p>
        </w:tc>
        <w:tc>
          <w:tcPr>
            <w:tcW w:w="20" w:type="dxa"/>
            <w:vAlign w:val="bottom"/>
            <w:tcBorders>
              <w:top w:val="single" w:sz="8" w:color="DBDBDB"/>
              <w:bottom w:val="single" w:sz="8" w:color="DBDBDB"/>
            </w:tcBorders>
          </w:tcPr>
          <w:p>
            <w:pPr>
              <w:spacing w:after="0"/>
              <w:rPr>
                <w:sz w:val="19"/>
                <w:szCs w:val="19"/>
                <w:color w:val="auto"/>
              </w:rPr>
            </w:pPr>
          </w:p>
        </w:tc>
        <w:tc>
          <w:tcPr>
            <w:tcW w:w="80" w:type="dxa"/>
            <w:vAlign w:val="bottom"/>
            <w:tcBorders>
              <w:top w:val="single" w:sz="8" w:color="auto"/>
              <w:bottom w:val="single" w:sz="8" w:color="DBDBDB"/>
            </w:tcBorders>
            <w:shd w:val="clear" w:color="auto" w:fill="DBDBDB"/>
          </w:tcPr>
          <w:p>
            <w:pPr>
              <w:spacing w:after="0"/>
              <w:rPr>
                <w:sz w:val="19"/>
                <w:szCs w:val="19"/>
                <w:color w:val="auto"/>
              </w:rPr>
            </w:pPr>
          </w:p>
        </w:tc>
        <w:tc>
          <w:tcPr>
            <w:tcW w:w="1420" w:type="dxa"/>
            <w:vAlign w:val="bottom"/>
            <w:tcBorders>
              <w:top w:val="single" w:sz="8" w:color="auto"/>
              <w:bottom w:val="single" w:sz="8" w:color="DBDBDB"/>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100%</w:t>
            </w:r>
          </w:p>
        </w:tc>
        <w:tc>
          <w:tcPr>
            <w:tcW w:w="80" w:type="dxa"/>
            <w:vAlign w:val="bottom"/>
            <w:tcBorders>
              <w:top w:val="single" w:sz="8" w:color="auto"/>
              <w:bottom w:val="single" w:sz="8" w:color="DBDBDB"/>
              <w:right w:val="single" w:sz="8" w:color="DBDBDB"/>
            </w:tcBorders>
          </w:tcPr>
          <w:p>
            <w:pPr>
              <w:spacing w:after="0"/>
              <w:rPr>
                <w:sz w:val="19"/>
                <w:szCs w:val="19"/>
                <w:color w:val="auto"/>
              </w:rPr>
            </w:pPr>
          </w:p>
        </w:tc>
        <w:tc>
          <w:tcPr>
            <w:tcW w:w="80" w:type="dxa"/>
            <w:vAlign w:val="bottom"/>
            <w:tcBorders>
              <w:top w:val="single" w:sz="8" w:color="auto"/>
              <w:bottom w:val="single" w:sz="8" w:color="DBDBDB"/>
            </w:tcBorders>
            <w:shd w:val="clear" w:color="auto" w:fill="DBDBDB"/>
          </w:tcPr>
          <w:p>
            <w:pPr>
              <w:spacing w:after="0"/>
              <w:rPr>
                <w:sz w:val="19"/>
                <w:szCs w:val="19"/>
                <w:color w:val="auto"/>
              </w:rPr>
            </w:pPr>
          </w:p>
        </w:tc>
        <w:tc>
          <w:tcPr>
            <w:tcW w:w="1440" w:type="dxa"/>
            <w:vAlign w:val="bottom"/>
            <w:tcBorders>
              <w:top w:val="single" w:sz="8" w:color="auto"/>
              <w:bottom w:val="single" w:sz="8" w:color="DBDBDB"/>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100%</w:t>
            </w:r>
          </w:p>
        </w:tc>
        <w:tc>
          <w:tcPr>
            <w:tcW w:w="80" w:type="dxa"/>
            <w:vAlign w:val="bottom"/>
            <w:tcBorders>
              <w:top w:val="single" w:sz="8" w:color="DBDBDB"/>
              <w:bottom w:val="single" w:sz="8" w:color="DBDBDB"/>
            </w:tcBorders>
            <w:shd w:val="clear" w:color="auto" w:fill="DBDBDB"/>
          </w:tcPr>
          <w:p>
            <w:pPr>
              <w:spacing w:after="0"/>
              <w:rPr>
                <w:sz w:val="19"/>
                <w:szCs w:val="19"/>
                <w:color w:val="auto"/>
              </w:rPr>
            </w:pPr>
          </w:p>
        </w:tc>
        <w:tc>
          <w:tcPr>
            <w:tcW w:w="80" w:type="dxa"/>
            <w:vAlign w:val="bottom"/>
            <w:tcBorders>
              <w:top w:val="single" w:sz="8" w:color="auto"/>
              <w:bottom w:val="single" w:sz="8" w:color="DBDBDB"/>
            </w:tcBorders>
            <w:shd w:val="clear" w:color="auto" w:fill="DBDBDB"/>
          </w:tcPr>
          <w:p>
            <w:pPr>
              <w:spacing w:after="0"/>
              <w:rPr>
                <w:sz w:val="19"/>
                <w:szCs w:val="19"/>
                <w:color w:val="auto"/>
              </w:rPr>
            </w:pPr>
          </w:p>
        </w:tc>
        <w:tc>
          <w:tcPr>
            <w:tcW w:w="1440" w:type="dxa"/>
            <w:vAlign w:val="bottom"/>
            <w:tcBorders>
              <w:top w:val="single" w:sz="8" w:color="auto"/>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rPr>
              <w:t>100%</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-758190</wp:posOffset>
                </wp:positionV>
                <wp:extent cx="5594985" cy="149225"/>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94985" cy="149225"/>
                        </a:xfrm>
                        <a:prstGeom prst="rect">
                          <a:avLst/>
                        </a:prstGeom>
                        <a:solidFill>
                          <a:srgbClr val="DBDBDB"/>
                        </a:solidFill>
                      </wps:spPr>
                      <wps:bodyPr/>
                    </wps:wsp>
                  </a:graphicData>
                </a:graphic>
              </wp:anchor>
            </w:drawing>
          </mc:Choice>
          <mc:Fallback>
            <w:pict>
              <v:rect id="Shape 5" o:spid="_x0000_s1030" style="position:absolute;margin-left:0.35pt;margin-top:-59.6999pt;width:440.55pt;height:11.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BDBDB" stroked="f"/>
            </w:pict>
          </mc:Fallback>
        </mc:AlternateContent>
        <mc:AlternateContent>
          <mc:Choice Requires="wps">
            <w:drawing>
              <wp:anchor simplePos="0" relativeHeight="251657728" behindDoc="1" locked="0" layoutInCell="0" allowOverlap="1">
                <wp:simplePos x="0" y="0"/>
                <wp:positionH relativeFrom="column">
                  <wp:posOffset>3798570</wp:posOffset>
                </wp:positionH>
                <wp:positionV relativeFrom="paragraph">
                  <wp:posOffset>-755650</wp:posOffset>
                </wp:positionV>
                <wp:extent cx="786765" cy="14351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86765" cy="143510"/>
                        </a:xfrm>
                        <a:prstGeom prst="rect">
                          <a:avLst/>
                        </a:prstGeom>
                        <a:solidFill>
                          <a:srgbClr val="DBDBDB"/>
                        </a:solidFill>
                      </wps:spPr>
                      <wps:bodyPr/>
                    </wps:wsp>
                  </a:graphicData>
                </a:graphic>
              </wp:anchor>
            </w:drawing>
          </mc:Choice>
          <mc:Fallback>
            <w:pict>
              <v:rect id="Shape 6" o:spid="_x0000_s1031" style="position:absolute;margin-left:299.1pt;margin-top:-59.4999pt;width:61.95pt;height:11.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BDBDB" stroked="f"/>
            </w:pict>
          </mc:Fallback>
        </mc:AlternateContent>
        <mc:AlternateContent>
          <mc:Choice Requires="wps">
            <w:drawing>
              <wp:anchor simplePos="0" relativeHeight="251657728" behindDoc="1" locked="0" layoutInCell="0" allowOverlap="1">
                <wp:simplePos x="0" y="0"/>
                <wp:positionH relativeFrom="column">
                  <wp:posOffset>4808220</wp:posOffset>
                </wp:positionH>
                <wp:positionV relativeFrom="paragraph">
                  <wp:posOffset>-755650</wp:posOffset>
                </wp:positionV>
                <wp:extent cx="788670" cy="14351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88670" cy="143510"/>
                        </a:xfrm>
                        <a:prstGeom prst="rect">
                          <a:avLst/>
                        </a:prstGeom>
                        <a:solidFill>
                          <a:srgbClr val="DBDBDB"/>
                        </a:solidFill>
                      </wps:spPr>
                      <wps:bodyPr/>
                    </wps:wsp>
                  </a:graphicData>
                </a:graphic>
              </wp:anchor>
            </w:drawing>
          </mc:Choice>
          <mc:Fallback>
            <w:pict>
              <v:rect id="Shape 7" o:spid="_x0000_s1032" style="position:absolute;margin-left:378.6pt;margin-top:-59.4999pt;width:62.1pt;height:11.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BDBDB" stroked="f"/>
            </w:pict>
          </mc:Fallback>
        </mc:AlternateContent>
        <mc:AlternateContent>
          <mc:Choice Requires="wps">
            <w:drawing>
              <wp:anchor simplePos="0" relativeHeight="251657728" behindDoc="1" locked="0" layoutInCell="0" allowOverlap="1">
                <wp:simplePos x="0" y="0"/>
                <wp:positionH relativeFrom="column">
                  <wp:posOffset>5823585</wp:posOffset>
                </wp:positionH>
                <wp:positionV relativeFrom="paragraph">
                  <wp:posOffset>-755650</wp:posOffset>
                </wp:positionV>
                <wp:extent cx="788670" cy="14351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88670" cy="143510"/>
                        </a:xfrm>
                        <a:prstGeom prst="rect">
                          <a:avLst/>
                        </a:prstGeom>
                        <a:solidFill>
                          <a:srgbClr val="DBDBDB"/>
                        </a:solidFill>
                      </wps:spPr>
                      <wps:bodyPr/>
                    </wps:wsp>
                  </a:graphicData>
                </a:graphic>
              </wp:anchor>
            </w:drawing>
          </mc:Choice>
          <mc:Fallback>
            <w:pict>
              <v:rect id="Shape 8" o:spid="_x0000_s1033" style="position:absolute;margin-left:458.55pt;margin-top:-59.4999pt;width:62.1pt;height:11.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BDBDB" stroked="f"/>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-459740</wp:posOffset>
                </wp:positionV>
                <wp:extent cx="5594985" cy="149225"/>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94985" cy="149225"/>
                        </a:xfrm>
                        <a:prstGeom prst="rect">
                          <a:avLst/>
                        </a:prstGeom>
                        <a:solidFill>
                          <a:srgbClr val="DBDBDB"/>
                        </a:solidFill>
                      </wps:spPr>
                      <wps:bodyPr/>
                    </wps:wsp>
                  </a:graphicData>
                </a:graphic>
              </wp:anchor>
            </w:drawing>
          </mc:Choice>
          <mc:Fallback>
            <w:pict>
              <v:rect id="Shape 9" o:spid="_x0000_s1034" style="position:absolute;margin-left:0.35pt;margin-top:-36.1999pt;width:440.55pt;height:11.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BDBDB" stroked="f"/>
            </w:pict>
          </mc:Fallback>
        </mc:AlternateContent>
        <mc:AlternateContent>
          <mc:Choice Requires="wps">
            <w:drawing>
              <wp:anchor simplePos="0" relativeHeight="251657728" behindDoc="1" locked="0" layoutInCell="0" allowOverlap="1">
                <wp:simplePos x="0" y="0"/>
                <wp:positionH relativeFrom="column">
                  <wp:posOffset>3798570</wp:posOffset>
                </wp:positionH>
                <wp:positionV relativeFrom="paragraph">
                  <wp:posOffset>-456565</wp:posOffset>
                </wp:positionV>
                <wp:extent cx="786765" cy="14351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86765" cy="143510"/>
                        </a:xfrm>
                        <a:prstGeom prst="rect">
                          <a:avLst/>
                        </a:prstGeom>
                        <a:solidFill>
                          <a:srgbClr val="DBDBDB"/>
                        </a:solidFill>
                      </wps:spPr>
                      <wps:bodyPr/>
                    </wps:wsp>
                  </a:graphicData>
                </a:graphic>
              </wp:anchor>
            </w:drawing>
          </mc:Choice>
          <mc:Fallback>
            <w:pict>
              <v:rect id="Shape 10" o:spid="_x0000_s1035" style="position:absolute;margin-left:299.1pt;margin-top:-35.9499pt;width:61.95pt;height:11.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BDBDB" stroked="f"/>
            </w:pict>
          </mc:Fallback>
        </mc:AlternateContent>
        <mc:AlternateContent>
          <mc:Choice Requires="wps">
            <w:drawing>
              <wp:anchor simplePos="0" relativeHeight="251657728" behindDoc="1" locked="0" layoutInCell="0" allowOverlap="1">
                <wp:simplePos x="0" y="0"/>
                <wp:positionH relativeFrom="column">
                  <wp:posOffset>4808220</wp:posOffset>
                </wp:positionH>
                <wp:positionV relativeFrom="paragraph">
                  <wp:posOffset>-456565</wp:posOffset>
                </wp:positionV>
                <wp:extent cx="788670" cy="14351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88670" cy="143510"/>
                        </a:xfrm>
                        <a:prstGeom prst="rect">
                          <a:avLst/>
                        </a:prstGeom>
                        <a:solidFill>
                          <a:srgbClr val="DBDBDB"/>
                        </a:solidFill>
                      </wps:spPr>
                      <wps:bodyPr/>
                    </wps:wsp>
                  </a:graphicData>
                </a:graphic>
              </wp:anchor>
            </w:drawing>
          </mc:Choice>
          <mc:Fallback>
            <w:pict>
              <v:rect id="Shape 11" o:spid="_x0000_s1036" style="position:absolute;margin-left:378.6pt;margin-top:-35.9499pt;width:62.1pt;height:11.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BDBDB" stroked="f"/>
            </w:pict>
          </mc:Fallback>
        </mc:AlternateContent>
        <mc:AlternateContent>
          <mc:Choice Requires="wps">
            <w:drawing>
              <wp:anchor simplePos="0" relativeHeight="251657728" behindDoc="1" locked="0" layoutInCell="0" allowOverlap="1">
                <wp:simplePos x="0" y="0"/>
                <wp:positionH relativeFrom="column">
                  <wp:posOffset>5823585</wp:posOffset>
                </wp:positionH>
                <wp:positionV relativeFrom="paragraph">
                  <wp:posOffset>-456565</wp:posOffset>
                </wp:positionV>
                <wp:extent cx="788670" cy="14351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88670" cy="143510"/>
                        </a:xfrm>
                        <a:prstGeom prst="rect">
                          <a:avLst/>
                        </a:prstGeom>
                        <a:solidFill>
                          <a:srgbClr val="DBDBDB"/>
                        </a:solidFill>
                      </wps:spPr>
                      <wps:bodyPr/>
                    </wps:wsp>
                  </a:graphicData>
                </a:graphic>
              </wp:anchor>
            </w:drawing>
          </mc:Choice>
          <mc:Fallback>
            <w:pict>
              <v:rect id="Shape 12" o:spid="_x0000_s1037" style="position:absolute;margin-left:458.55pt;margin-top:-35.9499pt;width:62.1pt;height:11.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BDBDB" stroked="f"/>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-149225</wp:posOffset>
                </wp:positionV>
                <wp:extent cx="5594985" cy="149225"/>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94985" cy="149225"/>
                        </a:xfrm>
                        <a:prstGeom prst="rect">
                          <a:avLst/>
                        </a:prstGeom>
                        <a:solidFill>
                          <a:srgbClr val="DBDBDB"/>
                        </a:solidFill>
                      </wps:spPr>
                      <wps:bodyPr/>
                    </wps:wsp>
                  </a:graphicData>
                </a:graphic>
              </wp:anchor>
            </w:drawing>
          </mc:Choice>
          <mc:Fallback>
            <w:pict>
              <v:rect id="Shape 13" o:spid="_x0000_s1038" style="position:absolute;margin-left:0.35pt;margin-top:-11.7499pt;width:440.55pt;height:11.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BDBDB" stroked="f"/>
            </w:pict>
          </mc:Fallback>
        </mc:AlternateContent>
        <mc:AlternateContent>
          <mc:Choice Requires="wps">
            <w:drawing>
              <wp:anchor simplePos="0" relativeHeight="251657728" behindDoc="1" locked="0" layoutInCell="0" allowOverlap="1">
                <wp:simplePos x="0" y="0"/>
                <wp:positionH relativeFrom="column">
                  <wp:posOffset>3798570</wp:posOffset>
                </wp:positionH>
                <wp:positionV relativeFrom="paragraph">
                  <wp:posOffset>-146050</wp:posOffset>
                </wp:positionV>
                <wp:extent cx="786765" cy="14351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86765" cy="143510"/>
                        </a:xfrm>
                        <a:prstGeom prst="rect">
                          <a:avLst/>
                        </a:prstGeom>
                        <a:solidFill>
                          <a:srgbClr val="DBDBDB"/>
                        </a:solidFill>
                      </wps:spPr>
                      <wps:bodyPr/>
                    </wps:wsp>
                  </a:graphicData>
                </a:graphic>
              </wp:anchor>
            </w:drawing>
          </mc:Choice>
          <mc:Fallback>
            <w:pict>
              <v:rect id="Shape 14" o:spid="_x0000_s1039" style="position:absolute;margin-left:299.1pt;margin-top:-11.4999pt;width:61.95pt;height:11.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BDBDB" stroked="f"/>
            </w:pict>
          </mc:Fallback>
        </mc:AlternateContent>
        <mc:AlternateContent>
          <mc:Choice Requires="wps">
            <w:drawing>
              <wp:anchor simplePos="0" relativeHeight="251657728" behindDoc="1" locked="0" layoutInCell="0" allowOverlap="1">
                <wp:simplePos x="0" y="0"/>
                <wp:positionH relativeFrom="column">
                  <wp:posOffset>4808220</wp:posOffset>
                </wp:positionH>
                <wp:positionV relativeFrom="paragraph">
                  <wp:posOffset>-146050</wp:posOffset>
                </wp:positionV>
                <wp:extent cx="788670" cy="14351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88670" cy="143510"/>
                        </a:xfrm>
                        <a:prstGeom prst="rect">
                          <a:avLst/>
                        </a:prstGeom>
                        <a:solidFill>
                          <a:srgbClr val="DBDBDB"/>
                        </a:solidFill>
                      </wps:spPr>
                      <wps:bodyPr/>
                    </wps:wsp>
                  </a:graphicData>
                </a:graphic>
              </wp:anchor>
            </w:drawing>
          </mc:Choice>
          <mc:Fallback>
            <w:pict>
              <v:rect id="Shape 15" o:spid="_x0000_s1040" style="position:absolute;margin-left:378.6pt;margin-top:-11.4999pt;width:62.1pt;height:11.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BDBDB" stroked="f"/>
            </w:pict>
          </mc:Fallback>
        </mc:AlternateContent>
        <mc:AlternateContent>
          <mc:Choice Requires="wps">
            <w:drawing>
              <wp:anchor simplePos="0" relativeHeight="251657728" behindDoc="1" locked="0" layoutInCell="0" allowOverlap="1">
                <wp:simplePos x="0" y="0"/>
                <wp:positionH relativeFrom="column">
                  <wp:posOffset>5823585</wp:posOffset>
                </wp:positionH>
                <wp:positionV relativeFrom="paragraph">
                  <wp:posOffset>-146050</wp:posOffset>
                </wp:positionV>
                <wp:extent cx="788670" cy="14351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88670" cy="143510"/>
                        </a:xfrm>
                        <a:prstGeom prst="rect">
                          <a:avLst/>
                        </a:prstGeom>
                        <a:solidFill>
                          <a:srgbClr val="DBDBDB"/>
                        </a:solidFill>
                      </wps:spPr>
                      <wps:bodyPr/>
                    </wps:wsp>
                  </a:graphicData>
                </a:graphic>
              </wp:anchor>
            </w:drawing>
          </mc:Choice>
          <mc:Fallback>
            <w:pict>
              <v:rect id="Shape 16" o:spid="_x0000_s1041" style="position:absolute;margin-left:458.55pt;margin-top:-11.4999pt;width:62.1pt;height:11.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BDBDB" stroked="f"/>
            </w:pict>
          </mc:Fallback>
        </mc:AlternateContent>
      </w:r>
    </w:p>
    <w:p>
      <w:pPr>
        <w:spacing w:after="0" w:line="18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2025, 2024 and 2023, our top ten customers represented 96.6%, 95.0% and 92.7% of our revenue, respectively.</w:t>
      </w:r>
    </w:p>
    <w:p>
      <w:pPr>
        <w:spacing w:after="0" w:line="219" w:lineRule="exact"/>
        <w:rPr>
          <w:sz w:val="20"/>
          <w:szCs w:val="20"/>
          <w:color w:val="auto"/>
        </w:rPr>
      </w:pPr>
    </w:p>
    <w:p>
      <w:pPr>
        <w:jc w:val="both"/>
        <w:ind w:firstLine="706"/>
        <w:spacing w:after="0" w:line="273" w:lineRule="auto"/>
        <w:rPr>
          <w:sz w:val="20"/>
          <w:szCs w:val="20"/>
          <w:color w:val="auto"/>
        </w:rPr>
      </w:pPr>
      <w:r>
        <w:rPr>
          <w:rFonts w:ascii="Times New Roman" w:cs="Times New Roman" w:eastAsia="Times New Roman" w:hAnsi="Times New Roman"/>
          <w:sz w:val="18"/>
          <w:szCs w:val="18"/>
          <w:color w:val="auto"/>
        </w:rPr>
        <w:t>Revenue is recognized when obligations under the terms of a contract with our customer are satisfied; generally this occurs with the transfer of control of products or services. Revenue is measured as the amount of consideration we expect to receive in exchange for transferring products or providing services. A majority of our annual sales are denominated in U.S. dollars, but some sales from our Taiwan location and China-based subsidiary are denominated in NT dollars and RMB, respectively. For the year ended December 31, 2025, 57.5% of our total revenue was manufactured at our China-based subsidiary, with $ 3.4 million denominated in RMB and 38.2% of our total revenue was from products manufactured at our Taiwan-based facility, with no revenue denominated in NT dollars. We</w:t>
      </w:r>
    </w:p>
    <w:p>
      <w:pPr>
        <w:sectPr>
          <w:pgSz w:w="11880" w:h="15480" w:orient="portrait"/>
          <w:cols w:equalWidth="0" w:num="1">
            <w:col w:w="10600"/>
          </w:cols>
          <w:pgMar w:left="640" w:top="417" w:right="640" w:bottom="0" w:gutter="0" w:footer="0" w:header="0"/>
        </w:sectPr>
      </w:pP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1880" w:h="15480" w:orient="portrait"/>
          <w:cols w:equalWidth="0" w:num="1">
            <w:col w:w="10600"/>
          </w:cols>
          <w:pgMar w:left="640" w:top="417" w:right="640" w:bottom="0" w:gutter="0" w:footer="0" w:header="0"/>
          <w:type w:val="continuous"/>
        </w:sectPr>
      </w:pPr>
    </w:p>
    <w:bookmarkStart w:id="38" w:name="page39"/>
    <w:bookmarkEnd w:id="38"/>
    <w:p>
      <w:pPr>
        <w:jc w:val="both"/>
        <w:spacing w:after="0" w:line="250" w:lineRule="auto"/>
        <w:rPr>
          <w:sz w:val="20"/>
          <w:szCs w:val="20"/>
          <w:color w:val="auto"/>
        </w:rPr>
      </w:pPr>
      <w:r>
        <w:rPr>
          <w:rFonts w:ascii="Times New Roman" w:cs="Times New Roman" w:eastAsia="Times New Roman" w:hAnsi="Times New Roman"/>
          <w:sz w:val="20"/>
          <w:szCs w:val="20"/>
          <w:color w:val="auto"/>
        </w:rPr>
        <w:t>expect a similar (negligible) portion of our sales to be denominated in foreign currencies in 2026. In 2026, we expect to expand our manufacturing operations in the U.S. and Taiwan, with these two locations contributing more meaningfully to total revenue than in prior years.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Cost of goods sold and gross margin</w:t>
      </w:r>
    </w:p>
    <w:p>
      <w:pPr>
        <w:spacing w:after="0" w:line="218" w:lineRule="exact"/>
        <w:rPr>
          <w:sz w:val="20"/>
          <w:szCs w:val="20"/>
          <w:color w:val="auto"/>
        </w:rPr>
      </w:pPr>
    </w:p>
    <w:p>
      <w:pPr>
        <w:jc w:val="both"/>
        <w:ind w:firstLine="706"/>
        <w:spacing w:after="0"/>
        <w:rPr>
          <w:sz w:val="20"/>
          <w:szCs w:val="20"/>
          <w:color w:val="auto"/>
        </w:rPr>
      </w:pPr>
      <w:r>
        <w:rPr>
          <w:rFonts w:ascii="Times New Roman" w:cs="Times New Roman" w:eastAsia="Times New Roman" w:hAnsi="Times New Roman"/>
          <w:sz w:val="20"/>
          <w:szCs w:val="20"/>
          <w:color w:val="auto"/>
        </w:rPr>
        <w:t>Our cost of goods sold is impacted by variances arising from changes in yields and production volume, as well as increases or decreases in the cost of raw materials used in production. We typically experience lower yields and higher associated costs on new products, especially during the initial phase of the production. For our mature products, we can experience lower yields and higher production costs if customer requirements change or if we experience manufacturing difficulties or quality issues during our production process. Notwithstanding the foregoing, however, in general for our mature products our cost of goods sold for a particular product declines over time as a result of increasing efficiencies in the manufacturing processes, or supply cost declines, as well as yield improvements and testing enhancements.</w:t>
      </w:r>
    </w:p>
    <w:p>
      <w:pPr>
        <w:spacing w:after="0" w:line="192" w:lineRule="exact"/>
        <w:rPr>
          <w:sz w:val="20"/>
          <w:szCs w:val="20"/>
          <w:color w:val="auto"/>
        </w:rPr>
      </w:pPr>
    </w:p>
    <w:p>
      <w:pPr>
        <w:jc w:val="both"/>
        <w:ind w:firstLine="706"/>
        <w:spacing w:after="0" w:line="242" w:lineRule="auto"/>
        <w:rPr>
          <w:sz w:val="20"/>
          <w:szCs w:val="20"/>
          <w:color w:val="auto"/>
        </w:rPr>
      </w:pPr>
      <w:r>
        <w:rPr>
          <w:rFonts w:ascii="Times New Roman" w:cs="Times New Roman" w:eastAsia="Times New Roman" w:hAnsi="Times New Roman"/>
          <w:sz w:val="20"/>
          <w:szCs w:val="20"/>
          <w:color w:val="auto"/>
        </w:rPr>
        <w:t>We manufacture products in our facilities located in the U.S., Taiwan and China. Generally, laser chips and optical components are manufactured in our Sugar Land facility, and optical components, subassemblies and optical equipment are manufactured in our Taiwan and China facility. Because of our vertical integration model, we generally utilize our own optical component products in our semi- finished and finished goods that we sell between and among our respective manufacturing operations. We base those internal sales upon established transfer pricing methodologies. However, we eliminate all of those internal sales, and cost of goods sold transactions, to arrive at total revenue and cost of goods sold on a consolidated basis.</w:t>
      </w:r>
    </w:p>
    <w:p>
      <w:pPr>
        <w:spacing w:after="0" w:line="187" w:lineRule="exact"/>
        <w:rPr>
          <w:sz w:val="20"/>
          <w:szCs w:val="20"/>
          <w:color w:val="auto"/>
        </w:rPr>
      </w:pPr>
    </w:p>
    <w:p>
      <w:pPr>
        <w:jc w:val="both"/>
        <w:ind w:firstLine="706"/>
        <w:spacing w:after="0" w:line="268" w:lineRule="auto"/>
        <w:rPr>
          <w:sz w:val="20"/>
          <w:szCs w:val="20"/>
          <w:color w:val="auto"/>
        </w:rPr>
      </w:pPr>
      <w:r>
        <w:rPr>
          <w:rFonts w:ascii="Times New Roman" w:cs="Times New Roman" w:eastAsia="Times New Roman" w:hAnsi="Times New Roman"/>
          <w:sz w:val="20"/>
          <w:szCs w:val="20"/>
          <w:color w:val="auto"/>
        </w:rPr>
        <w:t>We have a global set of suppliers to help balance considerations related to product availability, quality and cost. Components of our cost of goods sold are denominated in U.S. or NT dollars or RMB, depending upon the manufacturing location.</w:t>
      </w:r>
    </w:p>
    <w:p>
      <w:pPr>
        <w:spacing w:after="0" w:line="164" w:lineRule="exact"/>
        <w:rPr>
          <w:sz w:val="20"/>
          <w:szCs w:val="20"/>
          <w:color w:val="auto"/>
        </w:rPr>
      </w:pPr>
    </w:p>
    <w:p>
      <w:pPr>
        <w:jc w:val="both"/>
        <w:ind w:firstLine="706"/>
        <w:spacing w:after="0" w:line="267" w:lineRule="auto"/>
        <w:rPr>
          <w:sz w:val="20"/>
          <w:szCs w:val="20"/>
          <w:color w:val="auto"/>
        </w:rPr>
      </w:pPr>
      <w:r>
        <w:rPr>
          <w:rFonts w:ascii="Times New Roman" w:cs="Times New Roman" w:eastAsia="Times New Roman" w:hAnsi="Times New Roman"/>
          <w:sz w:val="18"/>
          <w:szCs w:val="18"/>
          <w:color w:val="auto"/>
        </w:rPr>
        <w:t>Gross profit as a percentage of total revenue, or gross margin, has been and is expected to continue to be affected by a variety of factors, including the introduction of new products, production volumes, the mix of products sold, the geographic region in which products are sold, changes in the cost and volumes of materials purchased from our suppliers, changes in labor costs, changes in overhead costs, reserves for excess and obsolete inventories and changes in the average selling prices of our products. Although our overall gross margins over the past three years have been between 24.8% and 30.0%, our gross margins vary more broadly on a product-by-product basis. Our newer and more advanced products typically have higher average selling prices and higher gross margins; however, until the product volumes scale, the gross margin from newer and advanced products may initially be lower. Within our markets, we may sell similar products to different geographic regions at different prices, and therefore realize different gross margins among those similar products. Our strategy is to improve our gross margins through vertical integration such as utilization of our own laser chips and optical sub -components in our solutions. We expect that our gross margins are likely to continue to fluctuate from quarter to quarter because of the variety of products we sell and the relative product mix within a quarter.</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Operating expenses</w:t>
      </w:r>
    </w:p>
    <w:p>
      <w:pPr>
        <w:spacing w:after="0" w:line="216" w:lineRule="exact"/>
        <w:rPr>
          <w:sz w:val="20"/>
          <w:szCs w:val="20"/>
          <w:color w:val="auto"/>
        </w:rPr>
      </w:pPr>
    </w:p>
    <w:p>
      <w:pPr>
        <w:jc w:val="both"/>
        <w:ind w:firstLine="706"/>
        <w:spacing w:after="0" w:line="251" w:lineRule="auto"/>
        <w:rPr>
          <w:sz w:val="20"/>
          <w:szCs w:val="20"/>
          <w:color w:val="auto"/>
        </w:rPr>
      </w:pPr>
      <w:r>
        <w:rPr>
          <w:rFonts w:ascii="Times New Roman" w:cs="Times New Roman" w:eastAsia="Times New Roman" w:hAnsi="Times New Roman"/>
          <w:sz w:val="20"/>
          <w:szCs w:val="20"/>
          <w:color w:val="auto"/>
        </w:rPr>
        <w:t>Our operating expenses consist of research and development, sales and marketing, and general and administrative expenses. Personnel costs are the most significant component of operating expenses and include salaries, benefits, bonuses and share-based compensation. With regard to sales and marketing expense, personnel costs also include sales commissions.</w:t>
      </w:r>
    </w:p>
    <w:p>
      <w:pPr>
        <w:spacing w:after="0" w:line="18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Research and development.</w:t>
      </w:r>
    </w:p>
    <w:p>
      <w:pPr>
        <w:spacing w:after="0" w:line="218" w:lineRule="exact"/>
        <w:rPr>
          <w:sz w:val="20"/>
          <w:szCs w:val="20"/>
          <w:color w:val="auto"/>
        </w:rPr>
      </w:pPr>
    </w:p>
    <w:p>
      <w:pPr>
        <w:jc w:val="both"/>
        <w:ind w:firstLine="706"/>
        <w:spacing w:after="0" w:line="239" w:lineRule="auto"/>
        <w:rPr>
          <w:sz w:val="20"/>
          <w:szCs w:val="20"/>
          <w:color w:val="auto"/>
        </w:rPr>
      </w:pPr>
      <w:r>
        <w:rPr>
          <w:rFonts w:ascii="Times New Roman" w:cs="Times New Roman" w:eastAsia="Times New Roman" w:hAnsi="Times New Roman"/>
          <w:sz w:val="20"/>
          <w:szCs w:val="20"/>
          <w:color w:val="auto"/>
        </w:rPr>
        <w:t>Research and development, or R&amp;D, expense consists primarily of personnel costs, including share-based compensation for R&amp;D personnel, and R&amp;D work orders (that include material, direct labor and allocated overhead), as well as allocated development costs, such as engineering services, software and hardware tools, depreciation of capital equipment and facility costs. We record all research and development expense as incurred. Customers rely upon us to assist them with the development of new products and modification of existing products because of our extensive optical design and manufacturing expertise. We work closely with our customers in the critical design phase of product development and are occasionally reimbursed for some of these development efforts. We expect research and development expense to increase on a dollar basis, but will likely decrease as a percentage of our revenue to the extent that revenue increases over time.</w:t>
      </w:r>
    </w:p>
    <w:p>
      <w:pPr>
        <w:spacing w:after="0" w:line="20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Sales and marketing.</w:t>
      </w:r>
    </w:p>
    <w:p>
      <w:pPr>
        <w:spacing w:after="0" w:line="216" w:lineRule="exact"/>
        <w:rPr>
          <w:sz w:val="20"/>
          <w:szCs w:val="20"/>
          <w:color w:val="auto"/>
        </w:rPr>
      </w:pPr>
    </w:p>
    <w:p>
      <w:pPr>
        <w:jc w:val="both"/>
        <w:ind w:firstLine="706"/>
        <w:spacing w:after="0" w:line="270" w:lineRule="auto"/>
        <w:rPr>
          <w:sz w:val="20"/>
          <w:szCs w:val="20"/>
          <w:color w:val="auto"/>
        </w:rPr>
      </w:pPr>
      <w:r>
        <w:rPr>
          <w:rFonts w:ascii="Times New Roman" w:cs="Times New Roman" w:eastAsia="Times New Roman" w:hAnsi="Times New Roman"/>
          <w:sz w:val="18"/>
          <w:szCs w:val="18"/>
          <w:color w:val="auto"/>
        </w:rPr>
        <w:t>Sales and marketing expense consists primarily of personnel costs, including share-based compensation for our sales and marketing personnel, as well as travel and trade show expenses, shipping and tariff expenses, sales commissions and the allocation of overall corporate services and facility costs. We sell our products to customers who either incorporate our products into their own products, use them in their own infrastructure, or resell our products to end customers. Because we sell to a limited number of well-established customers, we employ a limited number of sales professionals who are able to cover large markets. We compensate our sales staff through base salary and commissions, with base salary being the largest component of overall compensation. Total sales commissions to employees amounted to less than one percent of our revenue in 2025, 2024 and 2023. Additionally, we pay commissions to third parties on certain product lines and identified customers, which also amounted to less than one percent of our revenue in 2025,</w:t>
      </w:r>
    </w:p>
    <w:p>
      <w:pPr>
        <w:sectPr>
          <w:pgSz w:w="11880" w:h="15480" w:orient="portrait"/>
          <w:cols w:equalWidth="0" w:num="1">
            <w:col w:w="10600"/>
          </w:cols>
          <w:pgMar w:left="640" w:top="410" w:right="640" w:bottom="0" w:gutter="0" w:footer="0" w:header="0"/>
        </w:sectPr>
      </w:pP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1880" w:h="15480" w:orient="portrait"/>
          <w:cols w:equalWidth="0" w:num="1">
            <w:col w:w="10600"/>
          </w:cols>
          <w:pgMar w:left="640" w:top="410" w:right="640" w:bottom="0" w:gutter="0" w:footer="0" w:header="0"/>
          <w:type w:val="continuous"/>
        </w:sectPr>
      </w:pPr>
    </w:p>
    <w:bookmarkStart w:id="39" w:name="page40"/>
    <w:bookmarkEnd w:id="39"/>
    <w:p>
      <w:pPr>
        <w:jc w:val="both"/>
        <w:ind w:left="20"/>
        <w:spacing w:after="0" w:line="250" w:lineRule="auto"/>
        <w:rPr>
          <w:sz w:val="20"/>
          <w:szCs w:val="20"/>
          <w:color w:val="auto"/>
        </w:rPr>
      </w:pPr>
      <w:r>
        <w:rPr>
          <w:rFonts w:ascii="Times New Roman" w:cs="Times New Roman" w:eastAsia="Times New Roman" w:hAnsi="Times New Roman"/>
          <w:sz w:val="20"/>
          <w:szCs w:val="20"/>
          <w:color w:val="auto"/>
        </w:rPr>
        <w:t>2024 and 2023. As such, our sales and marketing expense does not directly increase with revenue. In the future, we expect sales and marketing expense to increase on a dollar basis as we incrementally increase our overall sales activities, but expect our sales and marketing expense to decline as a percentage of revenue, to the extent our revenue increases over time.</w:t>
      </w:r>
    </w:p>
    <w:p>
      <w:pPr>
        <w:spacing w:after="0" w:line="18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i w:val="1"/>
          <w:iCs w:val="1"/>
          <w:color w:val="auto"/>
        </w:rPr>
        <w:t>General and administrative.</w:t>
      </w:r>
    </w:p>
    <w:p>
      <w:pPr>
        <w:spacing w:after="0" w:line="218" w:lineRule="exact"/>
        <w:rPr>
          <w:sz w:val="20"/>
          <w:szCs w:val="20"/>
          <w:color w:val="auto"/>
        </w:rPr>
      </w:pPr>
    </w:p>
    <w:p>
      <w:pPr>
        <w:jc w:val="both"/>
        <w:ind w:left="20" w:firstLine="706"/>
        <w:spacing w:after="0" w:line="239" w:lineRule="auto"/>
        <w:rPr>
          <w:sz w:val="20"/>
          <w:szCs w:val="20"/>
          <w:color w:val="auto"/>
        </w:rPr>
      </w:pPr>
      <w:r>
        <w:rPr>
          <w:rFonts w:ascii="Times New Roman" w:cs="Times New Roman" w:eastAsia="Times New Roman" w:hAnsi="Times New Roman"/>
          <w:sz w:val="20"/>
          <w:szCs w:val="20"/>
          <w:color w:val="auto"/>
        </w:rPr>
        <w:t>General and administrative expense consists primarily of personnel costs, including share-based compensation, primarily for our finance, human resources, legal and information technology personnel and certain executive officers, as well as professional services costs related to accounting, tax, banking, legal and information technology services, depreciation of capital equipment and facility costs. We expect general and administrative expense to increase as we continue to grow in both size and complexity as a public company. We expect rising costs including increased audit and legal fees, costs to comply with rules and regulations applicable to companies listed on a national stock exchange, as well as investor relations expense and higher insurance premiums. In the future, we expect general and administrative expense to increase on a dollar basis but to decline as a percentage of revenue, to the extent that our revenue increases over time.</w:t>
      </w:r>
    </w:p>
    <w:p>
      <w:pPr>
        <w:spacing w:after="0" w:line="1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i w:val="1"/>
          <w:iCs w:val="1"/>
          <w:color w:val="auto"/>
        </w:rPr>
        <w:t>Other income (expense)</w:t>
      </w:r>
    </w:p>
    <w:p>
      <w:pPr>
        <w:spacing w:after="0" w:line="218" w:lineRule="exact"/>
        <w:rPr>
          <w:sz w:val="20"/>
          <w:szCs w:val="20"/>
          <w:color w:val="auto"/>
        </w:rPr>
      </w:pPr>
    </w:p>
    <w:p>
      <w:pPr>
        <w:jc w:val="both"/>
        <w:ind w:left="20" w:firstLine="706"/>
        <w:spacing w:after="0" w:line="268" w:lineRule="auto"/>
        <w:rPr>
          <w:sz w:val="20"/>
          <w:szCs w:val="20"/>
          <w:color w:val="auto"/>
        </w:rPr>
      </w:pPr>
      <w:r>
        <w:rPr>
          <w:rFonts w:ascii="Times New Roman" w:cs="Times New Roman" w:eastAsia="Times New Roman" w:hAnsi="Times New Roman"/>
          <w:sz w:val="20"/>
          <w:szCs w:val="20"/>
          <w:color w:val="auto"/>
        </w:rPr>
        <w:t>Interest income consists of income earned on our cash, cash equivalents and short-term investments. Interest expense consists of amounts paid for interest on our short-term and long-term debt borrowings, and convertible senior notes.</w:t>
      </w:r>
    </w:p>
    <w:p>
      <w:pPr>
        <w:spacing w:after="0" w:line="161" w:lineRule="exact"/>
        <w:rPr>
          <w:sz w:val="20"/>
          <w:szCs w:val="20"/>
          <w:color w:val="auto"/>
        </w:rPr>
      </w:pPr>
    </w:p>
    <w:p>
      <w:pPr>
        <w:jc w:val="both"/>
        <w:ind w:left="20" w:firstLine="706"/>
        <w:spacing w:after="0" w:line="243" w:lineRule="auto"/>
        <w:rPr>
          <w:sz w:val="20"/>
          <w:szCs w:val="20"/>
          <w:color w:val="auto"/>
        </w:rPr>
      </w:pPr>
      <w:r>
        <w:rPr>
          <w:rFonts w:ascii="Times New Roman" w:cs="Times New Roman" w:eastAsia="Times New Roman" w:hAnsi="Times New Roman"/>
          <w:sz w:val="20"/>
          <w:szCs w:val="20"/>
          <w:color w:val="auto"/>
        </w:rPr>
        <w:t>Other income (expense), net is primarily made up of government subsidized income, extinguishment of debt and foreign currency transaction gains and losses. The functional currency of our China subsidiary is the RMB and the foreign currency transaction gains and losses of our China subsidiary primarily result from their transactions in U.S. dollars. The functional currency of our Taiwan location is the NT dollar and the foreign currency transaction gains and losses of our Taiwan location primarily result from their transactions in U.S. dollars.</w:t>
      </w:r>
    </w:p>
    <w:p>
      <w:pPr>
        <w:spacing w:after="0" w:line="1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i w:val="1"/>
          <w:iCs w:val="1"/>
          <w:color w:val="auto"/>
        </w:rPr>
        <w:t>Income taxes</w:t>
      </w:r>
    </w:p>
    <w:p>
      <w:pPr>
        <w:spacing w:after="0" w:line="218" w:lineRule="exact"/>
        <w:rPr>
          <w:sz w:val="20"/>
          <w:szCs w:val="20"/>
          <w:color w:val="auto"/>
        </w:rPr>
      </w:pPr>
    </w:p>
    <w:p>
      <w:pPr>
        <w:jc w:val="both"/>
        <w:ind w:firstLine="706"/>
        <w:spacing w:after="0" w:line="245" w:lineRule="auto"/>
        <w:rPr>
          <w:sz w:val="20"/>
          <w:szCs w:val="20"/>
          <w:color w:val="auto"/>
        </w:rPr>
      </w:pPr>
      <w:r>
        <w:rPr>
          <w:rFonts w:ascii="Times New Roman" w:cs="Times New Roman" w:eastAsia="Times New Roman" w:hAnsi="Times New Roman"/>
          <w:sz w:val="20"/>
          <w:szCs w:val="20"/>
          <w:color w:val="auto"/>
        </w:rPr>
        <w:t>We are a U.S. registered company and are subject to income taxes in the U.S. We also operate in a number of countries throughout the world, including Taiwan and China. Consequently, our effective tax rate is impacted by the geographic distribution of our earnings or losses and the tax laws and regulations in each geographical region. We expect that our income taxes will vary in relation to our profitability and the geographic distribution of our profits. In 2025, 2024 and 2023 our effective tax rate was 17.97%.</w:t>
      </w:r>
    </w:p>
    <w:p>
      <w:pPr>
        <w:spacing w:after="0" w:line="188" w:lineRule="exact"/>
        <w:rPr>
          <w:sz w:val="20"/>
          <w:szCs w:val="20"/>
          <w:color w:val="auto"/>
        </w:rPr>
      </w:pPr>
    </w:p>
    <w:p>
      <w:pPr>
        <w:jc w:val="both"/>
        <w:ind w:firstLine="706"/>
        <w:spacing w:after="0" w:line="241" w:lineRule="auto"/>
        <w:rPr>
          <w:sz w:val="20"/>
          <w:szCs w:val="20"/>
          <w:color w:val="auto"/>
        </w:rPr>
      </w:pPr>
      <w:r>
        <w:rPr>
          <w:rFonts w:ascii="Times New Roman" w:cs="Times New Roman" w:eastAsia="Times New Roman" w:hAnsi="Times New Roman"/>
          <w:sz w:val="20"/>
          <w:szCs w:val="20"/>
          <w:color w:val="auto"/>
        </w:rPr>
        <w:t>Our wholly owned subsidiary, Global Technology, Inc., has received preferential tax concessions in China as a national high-tech enterprise. In March 2007, China’s parliament enacted the PRC Enterprise Income Tax Law, or the EIT Law, under which, effective January 1, 2008, China adopted a uniform income tax rate of 25% for all enterprises including foreign invested enterprises. Global was recognized as a national high-tech enterprise in 2008 and was entitled to a 15% tax rate for a three-year period. Global renewed its national high-tech enterprise certificate in 2011, 2014, 2017, 2020, and 2023 extending its three-year tax preferential status through December 2026.</w:t>
      </w:r>
    </w:p>
    <w:p>
      <w:pPr>
        <w:spacing w:after="0" w:line="193" w:lineRule="exact"/>
        <w:rPr>
          <w:sz w:val="20"/>
          <w:szCs w:val="20"/>
          <w:color w:val="auto"/>
        </w:rPr>
      </w:pPr>
    </w:p>
    <w:p>
      <w:pPr>
        <w:jc w:val="both"/>
        <w:ind w:firstLine="706"/>
        <w:spacing w:after="0" w:line="268" w:lineRule="auto"/>
        <w:rPr>
          <w:sz w:val="20"/>
          <w:szCs w:val="20"/>
          <w:color w:val="auto"/>
        </w:rPr>
      </w:pPr>
      <w:r>
        <w:rPr>
          <w:rFonts w:ascii="Times New Roman" w:cs="Times New Roman" w:eastAsia="Times New Roman" w:hAnsi="Times New Roman"/>
          <w:sz w:val="20"/>
          <w:szCs w:val="20"/>
          <w:color w:val="auto"/>
        </w:rPr>
        <w:t>For the years ended December 31, 2025 and 2024, we had $0.2 million each, of unrecognized tax benefits related to U.S. tax benefits recognized for which we do not meet the more likely than not threshold.</w:t>
      </w:r>
    </w:p>
    <w:p>
      <w:pPr>
        <w:spacing w:after="0" w:line="161" w:lineRule="exact"/>
        <w:rPr>
          <w:sz w:val="20"/>
          <w:szCs w:val="20"/>
          <w:color w:val="auto"/>
        </w:rPr>
      </w:pPr>
    </w:p>
    <w:p>
      <w:pPr>
        <w:ind w:left="20" w:right="1480" w:firstLine="687"/>
        <w:spacing w:after="0" w:line="471" w:lineRule="auto"/>
        <w:rPr>
          <w:sz w:val="20"/>
          <w:szCs w:val="20"/>
          <w:color w:val="auto"/>
        </w:rPr>
      </w:pPr>
      <w:r>
        <w:rPr>
          <w:rFonts w:ascii="Times New Roman" w:cs="Times New Roman" w:eastAsia="Times New Roman" w:hAnsi="Times New Roman"/>
          <w:sz w:val="20"/>
          <w:szCs w:val="20"/>
          <w:color w:val="auto"/>
        </w:rPr>
        <w:t xml:space="preserve">See additional information regarding income taxes in Note O, included in Part II, Item 8 of this Form 10-K. </w:t>
      </w:r>
      <w:r>
        <w:rPr>
          <w:rFonts w:ascii="Times New Roman" w:cs="Times New Roman" w:eastAsia="Times New Roman" w:hAnsi="Times New Roman"/>
          <w:sz w:val="20"/>
          <w:szCs w:val="20"/>
          <w:b w:val="1"/>
          <w:bCs w:val="1"/>
          <w:color w:val="auto"/>
        </w:rPr>
        <w:t>Seasonality</w:t>
      </w:r>
    </w:p>
    <w:p>
      <w:pPr>
        <w:spacing w:after="0" w:line="1" w:lineRule="exact"/>
        <w:rPr>
          <w:sz w:val="20"/>
          <w:szCs w:val="20"/>
          <w:color w:val="auto"/>
        </w:rPr>
      </w:pPr>
    </w:p>
    <w:p>
      <w:pPr>
        <w:jc w:val="both"/>
        <w:ind w:left="20" w:firstLine="706"/>
        <w:spacing w:after="0" w:line="238" w:lineRule="auto"/>
        <w:rPr>
          <w:sz w:val="20"/>
          <w:szCs w:val="20"/>
          <w:color w:val="auto"/>
        </w:rPr>
      </w:pPr>
      <w:r>
        <w:rPr>
          <w:rFonts w:ascii="Times New Roman" w:cs="Times New Roman" w:eastAsia="Times New Roman" w:hAnsi="Times New Roman"/>
          <w:sz w:val="20"/>
          <w:szCs w:val="20"/>
          <w:color w:val="auto"/>
        </w:rPr>
        <w:t>We are uncertain whether the demand for our internet data center, CATV, telecom and FTTH products is seasonal, as our sales data does not indicate a significant trend with respect to these products. Our Ningbo, China factory experiences a lengthy shut-down associated with the Lunar New Year holiday which occurs in the first quarter of each year. In addition to the factory shut-down, it is also common for employees in the factory to fail to return to work following resumption of operations. In the years 2025, 2024, and 2023, the percentage of employees in our China factory who resigned or were terminated during the first quarter, relative to the average number of employees during the quarter was 7.9%, 17.2% and 53.8% , respectively. As a result of employee turnover, we must hire and train replacement employees. These replacement employees require a period of training and improvement, and this impacts the quantity of products we can produce in the quarter. The combined effect of the factory shut-down and employee turnover in the quarter may also contribute to negative seasonality in the first quarter. In 2025, we began to produce more of our CATV and internet data center products outside of China which we believe will be instrumental in alleviating some of the typical seasonality that we see in the first quarter.</w:t>
      </w:r>
    </w:p>
    <w:p>
      <w:pPr>
        <w:spacing w:after="0" w:line="196" w:lineRule="exact"/>
        <w:rPr>
          <w:sz w:val="20"/>
          <w:szCs w:val="20"/>
          <w:color w:val="auto"/>
        </w:rPr>
      </w:pPr>
    </w:p>
    <w:p>
      <w:pPr>
        <w:jc w:val="both"/>
        <w:ind w:left="20" w:firstLine="706"/>
        <w:spacing w:after="0" w:line="321" w:lineRule="auto"/>
        <w:rPr>
          <w:sz w:val="20"/>
          <w:szCs w:val="20"/>
          <w:color w:val="auto"/>
        </w:rPr>
      </w:pPr>
      <w:r>
        <w:rPr>
          <w:rFonts w:ascii="Times New Roman" w:cs="Times New Roman" w:eastAsia="Times New Roman" w:hAnsi="Times New Roman"/>
          <w:sz w:val="18"/>
          <w:szCs w:val="18"/>
          <w:color w:val="auto"/>
        </w:rPr>
        <w:t>Our gross margin varies quarter to quarter and varies primarily due to the product mix in a particular quarter, as well as from the level of manufacturing efficiencies, production yields (particularly in the laser chip fabrication process) and overall supply costs.</w:t>
      </w:r>
    </w:p>
    <w:p>
      <w:pPr>
        <w:sectPr>
          <w:pgSz w:w="11880" w:h="15480" w:orient="portrait"/>
          <w:cols w:equalWidth="0" w:num="1">
            <w:col w:w="10620"/>
          </w:cols>
          <w:pgMar w:left="620" w:top="410" w:right="640" w:bottom="0" w:gutter="0" w:footer="0" w:header="0"/>
        </w:sect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38</w:t>
      </w:r>
    </w:p>
    <w:p>
      <w:pPr>
        <w:sectPr>
          <w:pgSz w:w="11880" w:h="15480" w:orient="portrait"/>
          <w:cols w:equalWidth="0" w:num="1">
            <w:col w:w="10620"/>
          </w:cols>
          <w:pgMar w:left="620" w:top="410" w:right="640" w:bottom="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222" w:lineRule="exact"/>
        <w:rPr>
          <w:sz w:val="20"/>
          <w:szCs w:val="20"/>
          <w:color w:val="auto"/>
        </w:rPr>
      </w:pPr>
    </w:p>
    <w:p>
      <w:pPr>
        <w:jc w:val="both"/>
        <w:ind w:firstLine="706"/>
        <w:spacing w:after="0" w:line="251" w:lineRule="auto"/>
        <w:rPr>
          <w:sz w:val="20"/>
          <w:szCs w:val="20"/>
          <w:color w:val="auto"/>
        </w:rPr>
      </w:pPr>
      <w:r>
        <w:rPr>
          <w:rFonts w:ascii="Times New Roman" w:cs="Times New Roman" w:eastAsia="Times New Roman" w:hAnsi="Times New Roman"/>
          <w:sz w:val="20"/>
          <w:szCs w:val="20"/>
          <w:color w:val="auto"/>
        </w:rPr>
        <w:t>The following table sets forth our results of operations for the periods presented as a percentage of our revenue for those periods. The period-to-period comparison of our financial results is not necessarily indicative of our financial results to be achieved in future periods.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580" w:type="dxa"/>
            <w:vAlign w:val="bottom"/>
            <w:tcBorders>
              <w:bottom w:val="single" w:sz="8" w:color="auto"/>
            </w:tcBorders>
            <w:gridSpan w:val="9"/>
          </w:tcPr>
          <w:p>
            <w:pPr>
              <w:ind w:left="1180"/>
              <w:spacing w:after="0"/>
              <w:rPr>
                <w:sz w:val="20"/>
                <w:szCs w:val="20"/>
                <w:color w:val="auto"/>
              </w:rPr>
            </w:pPr>
            <w:r>
              <w:rPr>
                <w:rFonts w:ascii="Times New Roman" w:cs="Times New Roman" w:eastAsia="Times New Roman" w:hAnsi="Times New Roman"/>
                <w:sz w:val="20"/>
                <w:szCs w:val="20"/>
                <w:b w:val="1"/>
                <w:bCs w:val="1"/>
                <w:color w:val="auto"/>
              </w:rPr>
              <w:t>Years ended December 31,</w:t>
            </w:r>
          </w:p>
        </w:tc>
        <w:tc>
          <w:tcPr>
            <w:tcW w:w="1020" w:type="dxa"/>
            <w:vAlign w:val="bottom"/>
            <w:tcBorders>
              <w:bottom w:val="single" w:sz="8" w:color="auto"/>
            </w:tcBorders>
          </w:tcPr>
          <w:p>
            <w:pPr>
              <w:spacing w:after="0"/>
              <w:rPr>
                <w:sz w:val="22"/>
                <w:szCs w:val="22"/>
                <w:color w:val="auto"/>
              </w:rPr>
            </w:pPr>
          </w:p>
        </w:tc>
      </w:tr>
      <w:tr>
        <w:trPr>
          <w:trHeight w:val="229"/>
        </w:trPr>
        <w:tc>
          <w:tcPr>
            <w:tcW w:w="5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tcPr>
          <w:p>
            <w:pPr>
              <w:jc w:val="right"/>
              <w:ind w:right="362"/>
              <w:spacing w:after="0"/>
              <w:rPr>
                <w:sz w:val="20"/>
                <w:szCs w:val="20"/>
                <w:color w:val="auto"/>
              </w:rPr>
            </w:pPr>
            <w:r>
              <w:rPr>
                <w:rFonts w:ascii="Times New Roman" w:cs="Times New Roman" w:eastAsia="Times New Roman" w:hAnsi="Times New Roman"/>
                <w:sz w:val="20"/>
                <w:szCs w:val="20"/>
                <w:b w:val="1"/>
                <w:bCs w:val="1"/>
                <w:color w:val="auto"/>
              </w:rPr>
              <w:t>2025</w:t>
            </w:r>
          </w:p>
        </w:tc>
        <w:tc>
          <w:tcPr>
            <w:tcW w:w="1640" w:type="dxa"/>
            <w:vAlign w:val="bottom"/>
            <w:gridSpan w:val="4"/>
          </w:tcPr>
          <w:p>
            <w:pPr>
              <w:jc w:val="right"/>
              <w:ind w:right="362"/>
              <w:spacing w:after="0"/>
              <w:rPr>
                <w:sz w:val="20"/>
                <w:szCs w:val="20"/>
                <w:color w:val="auto"/>
              </w:rPr>
            </w:pPr>
            <w:r>
              <w:rPr>
                <w:rFonts w:ascii="Times New Roman" w:cs="Times New Roman" w:eastAsia="Times New Roman" w:hAnsi="Times New Roman"/>
                <w:sz w:val="20"/>
                <w:szCs w:val="20"/>
                <w:b w:val="1"/>
                <w:bCs w:val="1"/>
                <w:color w:val="auto"/>
              </w:rPr>
              <w:t>2024</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382"/>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55"/>
        </w:trPr>
        <w:tc>
          <w:tcPr>
            <w:tcW w:w="5980" w:type="dxa"/>
            <w:vAlign w:val="bottom"/>
            <w:tcBorders>
              <w:top w:val="single" w:sz="8" w:color="D9D9D9"/>
            </w:tcBorders>
            <w:shd w:val="clear" w:color="auto" w:fill="D9D9D9"/>
          </w:tcPr>
          <w:p>
            <w:pPr>
              <w:ind w:left="20"/>
              <w:spacing w:after="0"/>
              <w:rPr>
                <w:sz w:val="20"/>
                <w:szCs w:val="20"/>
                <w:color w:val="auto"/>
              </w:rPr>
            </w:pPr>
            <w:r>
              <w:rPr>
                <w:rFonts w:ascii="Times New Roman" w:cs="Times New Roman" w:eastAsia="Times New Roman" w:hAnsi="Times New Roman"/>
                <w:sz w:val="20"/>
                <w:szCs w:val="20"/>
                <w:color w:val="auto"/>
              </w:rPr>
              <w:t>Revenue, net</w:t>
            </w:r>
          </w:p>
        </w:tc>
        <w:tc>
          <w:tcPr>
            <w:tcW w:w="20" w:type="dxa"/>
            <w:vAlign w:val="bottom"/>
            <w:tcBorders>
              <w:top w:val="single" w:sz="8" w:color="D9D9D9"/>
            </w:tcBorders>
            <w:shd w:val="clear" w:color="auto" w:fill="D9D9D9"/>
          </w:tcPr>
          <w:p>
            <w:pPr>
              <w:spacing w:after="0"/>
              <w:rPr>
                <w:sz w:val="22"/>
                <w:szCs w:val="22"/>
                <w:color w:val="auto"/>
              </w:rPr>
            </w:pPr>
          </w:p>
        </w:tc>
        <w:tc>
          <w:tcPr>
            <w:tcW w:w="1320" w:type="dxa"/>
            <w:vAlign w:val="bottom"/>
            <w:tcBorders>
              <w:top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240" w:type="dxa"/>
            <w:vAlign w:val="bottom"/>
            <w:tcBorders>
              <w:top w:val="single" w:sz="8" w:color="D9D9D9"/>
            </w:tcBorders>
            <w:shd w:val="clear" w:color="auto" w:fill="D9D9D9"/>
          </w:tcPr>
          <w:p>
            <w:pPr>
              <w:spacing w:after="0"/>
              <w:rPr>
                <w:sz w:val="22"/>
                <w:szCs w:val="22"/>
                <w:color w:val="auto"/>
              </w:rPr>
            </w:pPr>
          </w:p>
        </w:tc>
        <w:tc>
          <w:tcPr>
            <w:tcW w:w="60" w:type="dxa"/>
            <w:vAlign w:val="bottom"/>
            <w:tcBorders>
              <w:top w:val="single" w:sz="8" w:color="D9D9D9"/>
            </w:tcBorders>
            <w:shd w:val="clear" w:color="auto" w:fill="D9D9D9"/>
          </w:tcPr>
          <w:p>
            <w:pPr>
              <w:spacing w:after="0"/>
              <w:rPr>
                <w:sz w:val="22"/>
                <w:szCs w:val="22"/>
                <w:color w:val="auto"/>
              </w:rPr>
            </w:pPr>
          </w:p>
        </w:tc>
        <w:tc>
          <w:tcPr>
            <w:tcW w:w="20" w:type="dxa"/>
            <w:vAlign w:val="bottom"/>
            <w:tcBorders>
              <w:top w:val="single" w:sz="8" w:color="D9D9D9"/>
            </w:tcBorders>
            <w:shd w:val="clear" w:color="auto" w:fill="D9D9D9"/>
          </w:tcPr>
          <w:p>
            <w:pPr>
              <w:spacing w:after="0"/>
              <w:rPr>
                <w:sz w:val="22"/>
                <w:szCs w:val="22"/>
                <w:color w:val="auto"/>
              </w:rPr>
            </w:pPr>
          </w:p>
        </w:tc>
        <w:tc>
          <w:tcPr>
            <w:tcW w:w="1320" w:type="dxa"/>
            <w:vAlign w:val="bottom"/>
            <w:tcBorders>
              <w:top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240" w:type="dxa"/>
            <w:vAlign w:val="bottom"/>
            <w:tcBorders>
              <w:top w:val="single" w:sz="8" w:color="D9D9D9"/>
            </w:tcBorders>
            <w:shd w:val="clear" w:color="auto" w:fill="D9D9D9"/>
          </w:tcPr>
          <w:p>
            <w:pPr>
              <w:spacing w:after="0"/>
              <w:rPr>
                <w:sz w:val="22"/>
                <w:szCs w:val="22"/>
                <w:color w:val="auto"/>
              </w:rPr>
            </w:pPr>
          </w:p>
        </w:tc>
        <w:tc>
          <w:tcPr>
            <w:tcW w:w="60" w:type="dxa"/>
            <w:vAlign w:val="bottom"/>
            <w:tcBorders>
              <w:top w:val="single" w:sz="8" w:color="D9D9D9"/>
            </w:tcBorders>
            <w:shd w:val="clear" w:color="auto" w:fill="D9D9D9"/>
          </w:tcPr>
          <w:p>
            <w:pPr>
              <w:spacing w:after="0"/>
              <w:rPr>
                <w:sz w:val="22"/>
                <w:szCs w:val="22"/>
                <w:color w:val="auto"/>
              </w:rPr>
            </w:pPr>
          </w:p>
        </w:tc>
        <w:tc>
          <w:tcPr>
            <w:tcW w:w="20" w:type="dxa"/>
            <w:vAlign w:val="bottom"/>
            <w:tcBorders>
              <w:top w:val="single" w:sz="8" w:color="D9D9D9"/>
            </w:tcBorders>
            <w:shd w:val="clear" w:color="auto" w:fill="D9D9D9"/>
          </w:tcPr>
          <w:p>
            <w:pPr>
              <w:spacing w:after="0"/>
              <w:rPr>
                <w:sz w:val="22"/>
                <w:szCs w:val="22"/>
                <w:color w:val="auto"/>
              </w:rPr>
            </w:pPr>
          </w:p>
        </w:tc>
        <w:tc>
          <w:tcPr>
            <w:tcW w:w="300" w:type="dxa"/>
            <w:vAlign w:val="bottom"/>
            <w:tcBorders>
              <w:top w:val="single" w:sz="8" w:color="auto"/>
            </w:tcBorders>
            <w:shd w:val="clear" w:color="auto" w:fill="D9D9D9"/>
          </w:tcPr>
          <w:p>
            <w:pPr>
              <w:spacing w:after="0"/>
              <w:rPr>
                <w:sz w:val="22"/>
                <w:szCs w:val="22"/>
                <w:color w:val="auto"/>
              </w:rPr>
            </w:pPr>
          </w:p>
        </w:tc>
        <w:tc>
          <w:tcPr>
            <w:tcW w:w="1020" w:type="dxa"/>
            <w:vAlign w:val="bottom"/>
            <w:tcBorders>
              <w:top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100.0%</w:t>
            </w:r>
          </w:p>
        </w:tc>
      </w:tr>
      <w:tr>
        <w:trPr>
          <w:trHeight w:val="254"/>
        </w:trPr>
        <w:tc>
          <w:tcPr>
            <w:tcW w:w="60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Cost of goods sold</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70.0%</w:t>
            </w:r>
          </w:p>
        </w:tc>
        <w:tc>
          <w:tcPr>
            <w:tcW w:w="16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75.2%</w:t>
            </w: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72.9%</w:t>
            </w:r>
          </w:p>
        </w:tc>
      </w:tr>
      <w:tr>
        <w:trPr>
          <w:trHeight w:val="246"/>
        </w:trPr>
        <w:tc>
          <w:tcPr>
            <w:tcW w:w="5980" w:type="dxa"/>
            <w:vAlign w:val="bottom"/>
            <w:tcBorders>
              <w:top w:val="single" w:sz="8" w:color="D9D9D9"/>
              <w:bottom w:val="single" w:sz="8" w:color="D9D9D9"/>
            </w:tcBorders>
            <w:shd w:val="clear" w:color="auto" w:fill="D9D9D9"/>
          </w:tcPr>
          <w:p>
            <w:pPr>
              <w:ind w:left="20"/>
              <w:spacing w:after="0" w:line="226" w:lineRule="exact"/>
              <w:rPr>
                <w:sz w:val="20"/>
                <w:szCs w:val="20"/>
                <w:color w:val="auto"/>
              </w:rPr>
            </w:pPr>
            <w:r>
              <w:rPr>
                <w:rFonts w:ascii="Times New Roman" w:cs="Times New Roman" w:eastAsia="Times New Roman" w:hAnsi="Times New Roman"/>
                <w:sz w:val="20"/>
                <w:szCs w:val="20"/>
                <w:color w:val="auto"/>
              </w:rPr>
              <w:t>Gross profit</w:t>
            </w:r>
          </w:p>
        </w:tc>
        <w:tc>
          <w:tcPr>
            <w:tcW w:w="20" w:type="dxa"/>
            <w:vAlign w:val="bottom"/>
            <w:tcBorders>
              <w:top w:val="single" w:sz="8" w:color="D9D9D9"/>
              <w:bottom w:val="single" w:sz="8" w:color="D9D9D9"/>
            </w:tcBorders>
            <w:shd w:val="clear" w:color="auto" w:fill="D9D9D9"/>
          </w:tcPr>
          <w:p>
            <w:pPr>
              <w:spacing w:after="0"/>
              <w:rPr>
                <w:sz w:val="21"/>
                <w:szCs w:val="21"/>
                <w:color w:val="auto"/>
              </w:rPr>
            </w:pPr>
          </w:p>
        </w:tc>
        <w:tc>
          <w:tcPr>
            <w:tcW w:w="1320" w:type="dxa"/>
            <w:vAlign w:val="bottom"/>
            <w:tcBorders>
              <w:top w:val="single" w:sz="8" w:color="auto"/>
              <w:bottom w:val="single" w:sz="8" w:color="auto"/>
            </w:tcBorders>
            <w:shd w:val="clear" w:color="auto" w:fill="D9D9D9"/>
          </w:tcPr>
          <w:p>
            <w:pPr>
              <w:jc w:val="right"/>
              <w:spacing w:after="0" w:line="226" w:lineRule="exact"/>
              <w:rPr>
                <w:sz w:val="20"/>
                <w:szCs w:val="20"/>
                <w:color w:val="auto"/>
              </w:rPr>
            </w:pPr>
            <w:r>
              <w:rPr>
                <w:rFonts w:ascii="Times New Roman" w:cs="Times New Roman" w:eastAsia="Times New Roman" w:hAnsi="Times New Roman"/>
                <w:sz w:val="20"/>
                <w:szCs w:val="20"/>
                <w:color w:val="auto"/>
              </w:rPr>
              <w:t>30.0%</w:t>
            </w:r>
          </w:p>
        </w:tc>
        <w:tc>
          <w:tcPr>
            <w:tcW w:w="240" w:type="dxa"/>
            <w:vAlign w:val="bottom"/>
            <w:tcBorders>
              <w:top w:val="single" w:sz="8" w:color="D9D9D9"/>
              <w:bottom w:val="single" w:sz="8" w:color="D9D9D9"/>
            </w:tcBorders>
            <w:shd w:val="clear" w:color="auto" w:fill="D9D9D9"/>
          </w:tcPr>
          <w:p>
            <w:pPr>
              <w:spacing w:after="0"/>
              <w:rPr>
                <w:sz w:val="21"/>
                <w:szCs w:val="21"/>
                <w:color w:val="auto"/>
              </w:rPr>
            </w:pPr>
          </w:p>
        </w:tc>
        <w:tc>
          <w:tcPr>
            <w:tcW w:w="60" w:type="dxa"/>
            <w:vAlign w:val="bottom"/>
            <w:tcBorders>
              <w:top w:val="single" w:sz="8" w:color="D9D9D9"/>
              <w:bottom w:val="single" w:sz="8" w:color="D9D9D9"/>
            </w:tcBorders>
            <w:shd w:val="clear" w:color="auto" w:fill="D9D9D9"/>
          </w:tcPr>
          <w:p>
            <w:pPr>
              <w:spacing w:after="0"/>
              <w:rPr>
                <w:sz w:val="21"/>
                <w:szCs w:val="21"/>
                <w:color w:val="auto"/>
              </w:rPr>
            </w:pPr>
          </w:p>
        </w:tc>
        <w:tc>
          <w:tcPr>
            <w:tcW w:w="20" w:type="dxa"/>
            <w:vAlign w:val="bottom"/>
            <w:tcBorders>
              <w:top w:val="single" w:sz="8" w:color="D9D9D9"/>
              <w:bottom w:val="single" w:sz="8" w:color="D9D9D9"/>
            </w:tcBorders>
            <w:shd w:val="clear" w:color="auto" w:fill="D9D9D9"/>
          </w:tcPr>
          <w:p>
            <w:pPr>
              <w:spacing w:after="0"/>
              <w:rPr>
                <w:sz w:val="21"/>
                <w:szCs w:val="21"/>
                <w:color w:val="auto"/>
              </w:rPr>
            </w:pPr>
          </w:p>
        </w:tc>
        <w:tc>
          <w:tcPr>
            <w:tcW w:w="1320" w:type="dxa"/>
            <w:vAlign w:val="bottom"/>
            <w:tcBorders>
              <w:top w:val="single" w:sz="8" w:color="auto"/>
              <w:bottom w:val="single" w:sz="8" w:color="auto"/>
            </w:tcBorders>
            <w:shd w:val="clear" w:color="auto" w:fill="D9D9D9"/>
          </w:tcPr>
          <w:p>
            <w:pPr>
              <w:jc w:val="right"/>
              <w:spacing w:after="0" w:line="226" w:lineRule="exact"/>
              <w:rPr>
                <w:sz w:val="20"/>
                <w:szCs w:val="20"/>
                <w:color w:val="auto"/>
              </w:rPr>
            </w:pPr>
            <w:r>
              <w:rPr>
                <w:rFonts w:ascii="Times New Roman" w:cs="Times New Roman" w:eastAsia="Times New Roman" w:hAnsi="Times New Roman"/>
                <w:sz w:val="20"/>
                <w:szCs w:val="20"/>
                <w:color w:val="auto"/>
              </w:rPr>
              <w:t>24.8%</w:t>
            </w:r>
          </w:p>
        </w:tc>
        <w:tc>
          <w:tcPr>
            <w:tcW w:w="240" w:type="dxa"/>
            <w:vAlign w:val="bottom"/>
            <w:tcBorders>
              <w:top w:val="single" w:sz="8" w:color="D9D9D9"/>
              <w:bottom w:val="single" w:sz="8" w:color="D9D9D9"/>
            </w:tcBorders>
            <w:shd w:val="clear" w:color="auto" w:fill="D9D9D9"/>
          </w:tcPr>
          <w:p>
            <w:pPr>
              <w:spacing w:after="0"/>
              <w:rPr>
                <w:sz w:val="21"/>
                <w:szCs w:val="21"/>
                <w:color w:val="auto"/>
              </w:rPr>
            </w:pPr>
          </w:p>
        </w:tc>
        <w:tc>
          <w:tcPr>
            <w:tcW w:w="60" w:type="dxa"/>
            <w:vAlign w:val="bottom"/>
            <w:tcBorders>
              <w:top w:val="single" w:sz="8" w:color="D9D9D9"/>
              <w:bottom w:val="single" w:sz="8" w:color="D9D9D9"/>
            </w:tcBorders>
            <w:shd w:val="clear" w:color="auto" w:fill="D9D9D9"/>
          </w:tcPr>
          <w:p>
            <w:pPr>
              <w:spacing w:after="0"/>
              <w:rPr>
                <w:sz w:val="21"/>
                <w:szCs w:val="21"/>
                <w:color w:val="auto"/>
              </w:rPr>
            </w:pPr>
          </w:p>
        </w:tc>
        <w:tc>
          <w:tcPr>
            <w:tcW w:w="20" w:type="dxa"/>
            <w:vAlign w:val="bottom"/>
            <w:tcBorders>
              <w:top w:val="single" w:sz="8" w:color="D9D9D9"/>
              <w:bottom w:val="single" w:sz="8" w:color="D9D9D9"/>
            </w:tcBorders>
            <w:shd w:val="clear" w:color="auto" w:fill="D9D9D9"/>
          </w:tcPr>
          <w:p>
            <w:pPr>
              <w:spacing w:after="0"/>
              <w:rPr>
                <w:sz w:val="21"/>
                <w:szCs w:val="21"/>
                <w:color w:val="auto"/>
              </w:rPr>
            </w:pPr>
          </w:p>
        </w:tc>
        <w:tc>
          <w:tcPr>
            <w:tcW w:w="300" w:type="dxa"/>
            <w:vAlign w:val="bottom"/>
            <w:tcBorders>
              <w:top w:val="single" w:sz="8" w:color="auto"/>
              <w:bottom w:val="single" w:sz="8" w:color="auto"/>
            </w:tcBorders>
            <w:shd w:val="clear" w:color="auto" w:fill="D9D9D9"/>
          </w:tcPr>
          <w:p>
            <w:pPr>
              <w:spacing w:after="0"/>
              <w:rPr>
                <w:sz w:val="21"/>
                <w:szCs w:val="21"/>
                <w:color w:val="auto"/>
              </w:rPr>
            </w:pPr>
          </w:p>
        </w:tc>
        <w:tc>
          <w:tcPr>
            <w:tcW w:w="1020" w:type="dxa"/>
            <w:vAlign w:val="bottom"/>
            <w:tcBorders>
              <w:top w:val="single" w:sz="8" w:color="auto"/>
              <w:bottom w:val="single" w:sz="8" w:color="auto"/>
            </w:tcBorders>
            <w:shd w:val="clear" w:color="auto" w:fill="D9D9D9"/>
          </w:tcPr>
          <w:p>
            <w:pPr>
              <w:jc w:val="right"/>
              <w:spacing w:after="0" w:line="226" w:lineRule="exact"/>
              <w:rPr>
                <w:sz w:val="20"/>
                <w:szCs w:val="20"/>
                <w:color w:val="auto"/>
              </w:rPr>
            </w:pPr>
            <w:r>
              <w:rPr>
                <w:rFonts w:ascii="Times New Roman" w:cs="Times New Roman" w:eastAsia="Times New Roman" w:hAnsi="Times New Roman"/>
                <w:sz w:val="20"/>
                <w:szCs w:val="20"/>
                <w:color w:val="auto"/>
              </w:rPr>
              <w:t>27.1%</w:t>
            </w:r>
          </w:p>
        </w:tc>
      </w:tr>
      <w:tr>
        <w:trPr>
          <w:trHeight w:val="238"/>
        </w:trPr>
        <w:tc>
          <w:tcPr>
            <w:tcW w:w="60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Operating expenses</w:t>
            </w: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52"/>
        </w:trPr>
        <w:tc>
          <w:tcPr>
            <w:tcW w:w="5980" w:type="dxa"/>
            <w:vAlign w:val="bottom"/>
            <w:shd w:val="clear" w:color="auto" w:fill="D9D9D9"/>
          </w:tcPr>
          <w:p>
            <w:pPr>
              <w:ind w:left="180"/>
              <w:spacing w:after="0"/>
              <w:rPr>
                <w:sz w:val="20"/>
                <w:szCs w:val="20"/>
                <w:color w:val="auto"/>
              </w:rPr>
            </w:pPr>
            <w:r>
              <w:rPr>
                <w:rFonts w:ascii="Times New Roman" w:cs="Times New Roman" w:eastAsia="Times New Roman" w:hAnsi="Times New Roman"/>
                <w:sz w:val="20"/>
                <w:szCs w:val="20"/>
                <w:color w:val="auto"/>
              </w:rPr>
              <w:t>Research and development</w:t>
            </w:r>
          </w:p>
        </w:tc>
        <w:tc>
          <w:tcPr>
            <w:tcW w:w="20" w:type="dxa"/>
            <w:vAlign w:val="bottom"/>
            <w:shd w:val="clear" w:color="auto" w:fill="D9D9D9"/>
          </w:tcPr>
          <w:p>
            <w:pPr>
              <w:spacing w:after="0"/>
              <w:rPr>
                <w:sz w:val="21"/>
                <w:szCs w:val="21"/>
                <w:color w:val="auto"/>
              </w:rPr>
            </w:pPr>
          </w:p>
        </w:tc>
        <w:tc>
          <w:tcPr>
            <w:tcW w:w="132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18.8%</w:t>
            </w:r>
          </w:p>
        </w:tc>
        <w:tc>
          <w:tcPr>
            <w:tcW w:w="240" w:type="dxa"/>
            <w:vAlign w:val="bottom"/>
            <w:shd w:val="clear" w:color="auto" w:fill="D9D9D9"/>
          </w:tcPr>
          <w:p>
            <w:pPr>
              <w:spacing w:after="0"/>
              <w:rPr>
                <w:sz w:val="21"/>
                <w:szCs w:val="21"/>
                <w:color w:val="auto"/>
              </w:rPr>
            </w:pPr>
          </w:p>
        </w:tc>
        <w:tc>
          <w:tcPr>
            <w:tcW w:w="60" w:type="dxa"/>
            <w:vAlign w:val="bottom"/>
            <w:shd w:val="clear" w:color="auto" w:fill="D9D9D9"/>
          </w:tcPr>
          <w:p>
            <w:pPr>
              <w:spacing w:after="0"/>
              <w:rPr>
                <w:sz w:val="21"/>
                <w:szCs w:val="21"/>
                <w:color w:val="auto"/>
              </w:rPr>
            </w:pPr>
          </w:p>
        </w:tc>
        <w:tc>
          <w:tcPr>
            <w:tcW w:w="20" w:type="dxa"/>
            <w:vAlign w:val="bottom"/>
            <w:shd w:val="clear" w:color="auto" w:fill="D9D9D9"/>
          </w:tcPr>
          <w:p>
            <w:pPr>
              <w:spacing w:after="0"/>
              <w:rPr>
                <w:sz w:val="21"/>
                <w:szCs w:val="21"/>
                <w:color w:val="auto"/>
              </w:rPr>
            </w:pPr>
          </w:p>
        </w:tc>
        <w:tc>
          <w:tcPr>
            <w:tcW w:w="132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22.0%</w:t>
            </w:r>
          </w:p>
        </w:tc>
        <w:tc>
          <w:tcPr>
            <w:tcW w:w="240" w:type="dxa"/>
            <w:vAlign w:val="bottom"/>
            <w:shd w:val="clear" w:color="auto" w:fill="D9D9D9"/>
          </w:tcPr>
          <w:p>
            <w:pPr>
              <w:spacing w:after="0"/>
              <w:rPr>
                <w:sz w:val="21"/>
                <w:szCs w:val="21"/>
                <w:color w:val="auto"/>
              </w:rPr>
            </w:pPr>
          </w:p>
        </w:tc>
        <w:tc>
          <w:tcPr>
            <w:tcW w:w="60" w:type="dxa"/>
            <w:vAlign w:val="bottom"/>
            <w:shd w:val="clear" w:color="auto" w:fill="D9D9D9"/>
          </w:tcPr>
          <w:p>
            <w:pPr>
              <w:spacing w:after="0"/>
              <w:rPr>
                <w:sz w:val="21"/>
                <w:szCs w:val="21"/>
                <w:color w:val="auto"/>
              </w:rPr>
            </w:pPr>
          </w:p>
        </w:tc>
        <w:tc>
          <w:tcPr>
            <w:tcW w:w="20" w:type="dxa"/>
            <w:vAlign w:val="bottom"/>
            <w:shd w:val="clear" w:color="auto" w:fill="D9D9D9"/>
          </w:tcPr>
          <w:p>
            <w:pPr>
              <w:spacing w:after="0"/>
              <w:rPr>
                <w:sz w:val="21"/>
                <w:szCs w:val="21"/>
                <w:color w:val="auto"/>
              </w:rPr>
            </w:pPr>
          </w:p>
        </w:tc>
        <w:tc>
          <w:tcPr>
            <w:tcW w:w="300" w:type="dxa"/>
            <w:vAlign w:val="bottom"/>
            <w:shd w:val="clear" w:color="auto" w:fill="D9D9D9"/>
          </w:tcPr>
          <w:p>
            <w:pPr>
              <w:spacing w:after="0"/>
              <w:rPr>
                <w:sz w:val="21"/>
                <w:szCs w:val="21"/>
                <w:color w:val="auto"/>
              </w:rPr>
            </w:pPr>
          </w:p>
        </w:tc>
        <w:tc>
          <w:tcPr>
            <w:tcW w:w="102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16.5%</w:t>
            </w:r>
          </w:p>
        </w:tc>
      </w:tr>
      <w:tr>
        <w:trPr>
          <w:trHeight w:val="266"/>
        </w:trPr>
        <w:tc>
          <w:tcPr>
            <w:tcW w:w="60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Sales and marketing</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c>
          <w:tcPr>
            <w:tcW w:w="16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7.3%</w:t>
            </w: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w:t>
            </w:r>
          </w:p>
        </w:tc>
      </w:tr>
      <w:tr>
        <w:trPr>
          <w:trHeight w:val="291"/>
        </w:trPr>
        <w:tc>
          <w:tcPr>
            <w:tcW w:w="5980" w:type="dxa"/>
            <w:vAlign w:val="bottom"/>
            <w:tcBorders>
              <w:bottom w:val="single" w:sz="8" w:color="D9D9D9"/>
            </w:tcBorders>
            <w:shd w:val="clear" w:color="auto" w:fill="D9D9D9"/>
          </w:tcPr>
          <w:p>
            <w:pPr>
              <w:ind w:left="18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20" w:type="dxa"/>
            <w:vAlign w:val="bottom"/>
            <w:tcBorders>
              <w:bottom w:val="single" w:sz="8" w:color="D9D9D9"/>
            </w:tcBorders>
            <w:shd w:val="clear" w:color="auto" w:fill="D9D9D9"/>
          </w:tcPr>
          <w:p>
            <w:pPr>
              <w:spacing w:after="0"/>
              <w:rPr>
                <w:sz w:val="24"/>
                <w:szCs w:val="24"/>
                <w:color w:val="auto"/>
              </w:rPr>
            </w:pPr>
          </w:p>
        </w:tc>
        <w:tc>
          <w:tcPr>
            <w:tcW w:w="1320" w:type="dxa"/>
            <w:vAlign w:val="bottom"/>
            <w:tcBorders>
              <w:bottom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16.6%</w:t>
            </w:r>
          </w:p>
        </w:tc>
        <w:tc>
          <w:tcPr>
            <w:tcW w:w="240" w:type="dxa"/>
            <w:vAlign w:val="bottom"/>
            <w:tcBorders>
              <w:bottom w:val="single" w:sz="8" w:color="D9D9D9"/>
            </w:tcBorders>
            <w:shd w:val="clear" w:color="auto" w:fill="D9D9D9"/>
          </w:tcPr>
          <w:p>
            <w:pPr>
              <w:spacing w:after="0"/>
              <w:rPr>
                <w:sz w:val="24"/>
                <w:szCs w:val="24"/>
                <w:color w:val="auto"/>
              </w:rPr>
            </w:pPr>
          </w:p>
        </w:tc>
        <w:tc>
          <w:tcPr>
            <w:tcW w:w="60" w:type="dxa"/>
            <w:vAlign w:val="bottom"/>
            <w:tcBorders>
              <w:bottom w:val="single" w:sz="8" w:color="D9D9D9"/>
            </w:tcBorders>
            <w:shd w:val="clear" w:color="auto" w:fill="D9D9D9"/>
          </w:tcPr>
          <w:p>
            <w:pPr>
              <w:spacing w:after="0"/>
              <w:rPr>
                <w:sz w:val="24"/>
                <w:szCs w:val="24"/>
                <w:color w:val="auto"/>
              </w:rPr>
            </w:pPr>
          </w:p>
        </w:tc>
        <w:tc>
          <w:tcPr>
            <w:tcW w:w="20" w:type="dxa"/>
            <w:vAlign w:val="bottom"/>
            <w:tcBorders>
              <w:bottom w:val="single" w:sz="8" w:color="D9D9D9"/>
            </w:tcBorders>
            <w:shd w:val="clear" w:color="auto" w:fill="D9D9D9"/>
          </w:tcPr>
          <w:p>
            <w:pPr>
              <w:spacing w:after="0"/>
              <w:rPr>
                <w:sz w:val="24"/>
                <w:szCs w:val="24"/>
                <w:color w:val="auto"/>
              </w:rPr>
            </w:pPr>
          </w:p>
        </w:tc>
        <w:tc>
          <w:tcPr>
            <w:tcW w:w="1320" w:type="dxa"/>
            <w:vAlign w:val="bottom"/>
            <w:tcBorders>
              <w:bottom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23.9%</w:t>
            </w:r>
          </w:p>
        </w:tc>
        <w:tc>
          <w:tcPr>
            <w:tcW w:w="240" w:type="dxa"/>
            <w:vAlign w:val="bottom"/>
            <w:tcBorders>
              <w:bottom w:val="single" w:sz="8" w:color="D9D9D9"/>
            </w:tcBorders>
            <w:shd w:val="clear" w:color="auto" w:fill="D9D9D9"/>
          </w:tcPr>
          <w:p>
            <w:pPr>
              <w:spacing w:after="0"/>
              <w:rPr>
                <w:sz w:val="24"/>
                <w:szCs w:val="24"/>
                <w:color w:val="auto"/>
              </w:rPr>
            </w:pPr>
          </w:p>
        </w:tc>
        <w:tc>
          <w:tcPr>
            <w:tcW w:w="60" w:type="dxa"/>
            <w:vAlign w:val="bottom"/>
            <w:tcBorders>
              <w:bottom w:val="single" w:sz="8" w:color="D9D9D9"/>
            </w:tcBorders>
            <w:shd w:val="clear" w:color="auto" w:fill="D9D9D9"/>
          </w:tcPr>
          <w:p>
            <w:pPr>
              <w:spacing w:after="0"/>
              <w:rPr>
                <w:sz w:val="24"/>
                <w:szCs w:val="24"/>
                <w:color w:val="auto"/>
              </w:rPr>
            </w:pPr>
          </w:p>
        </w:tc>
        <w:tc>
          <w:tcPr>
            <w:tcW w:w="20" w:type="dxa"/>
            <w:vAlign w:val="bottom"/>
            <w:tcBorders>
              <w:bottom w:val="single" w:sz="8" w:color="D9D9D9"/>
            </w:tcBorders>
            <w:shd w:val="clear" w:color="auto" w:fill="D9D9D9"/>
          </w:tcPr>
          <w:p>
            <w:pPr>
              <w:spacing w:after="0"/>
              <w:rPr>
                <w:sz w:val="24"/>
                <w:szCs w:val="24"/>
                <w:color w:val="auto"/>
              </w:rPr>
            </w:pPr>
          </w:p>
        </w:tc>
        <w:tc>
          <w:tcPr>
            <w:tcW w:w="300" w:type="dxa"/>
            <w:vAlign w:val="bottom"/>
            <w:tcBorders>
              <w:bottom w:val="single" w:sz="8" w:color="auto"/>
            </w:tcBorders>
            <w:shd w:val="clear" w:color="auto" w:fill="D9D9D9"/>
          </w:tcPr>
          <w:p>
            <w:pPr>
              <w:spacing w:after="0"/>
              <w:rPr>
                <w:sz w:val="24"/>
                <w:szCs w:val="24"/>
                <w:color w:val="auto"/>
              </w:rPr>
            </w:pPr>
          </w:p>
        </w:tc>
        <w:tc>
          <w:tcPr>
            <w:tcW w:w="1020" w:type="dxa"/>
            <w:vAlign w:val="bottom"/>
            <w:tcBorders>
              <w:bottom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24.5%</w:t>
            </w:r>
          </w:p>
        </w:tc>
      </w:tr>
      <w:tr>
        <w:trPr>
          <w:trHeight w:val="204"/>
        </w:trPr>
        <w:tc>
          <w:tcPr>
            <w:tcW w:w="6000" w:type="dxa"/>
            <w:vAlign w:val="bottom"/>
            <w:gridSpan w:val="2"/>
          </w:tcPr>
          <w:p>
            <w:pPr>
              <w:ind w:left="20"/>
              <w:spacing w:after="0" w:line="204" w:lineRule="exact"/>
              <w:rPr>
                <w:sz w:val="20"/>
                <w:szCs w:val="20"/>
                <w:color w:val="auto"/>
              </w:rPr>
            </w:pPr>
            <w:r>
              <w:rPr>
                <w:rFonts w:ascii="Times New Roman" w:cs="Times New Roman" w:eastAsia="Times New Roman" w:hAnsi="Times New Roman"/>
                <w:sz w:val="20"/>
                <w:szCs w:val="20"/>
                <w:color w:val="auto"/>
              </w:rPr>
              <w:t>Total operating expenses</w:t>
            </w:r>
          </w:p>
        </w:tc>
        <w:tc>
          <w:tcPr>
            <w:tcW w:w="1320" w:type="dxa"/>
            <w:vAlign w:val="bottom"/>
          </w:tcPr>
          <w:p>
            <w:pPr>
              <w:jc w:val="right"/>
              <w:spacing w:after="0" w:line="204" w:lineRule="exact"/>
              <w:rPr>
                <w:sz w:val="20"/>
                <w:szCs w:val="20"/>
                <w:color w:val="auto"/>
              </w:rPr>
            </w:pPr>
            <w:r>
              <w:rPr>
                <w:rFonts w:ascii="Times New Roman" w:cs="Times New Roman" w:eastAsia="Times New Roman" w:hAnsi="Times New Roman"/>
                <w:sz w:val="20"/>
                <w:szCs w:val="20"/>
                <w:color w:val="auto"/>
              </w:rPr>
              <w:t>42.0%</w:t>
            </w:r>
          </w:p>
        </w:tc>
        <w:tc>
          <w:tcPr>
            <w:tcW w:w="30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Pr>
          <w:p>
            <w:pPr>
              <w:jc w:val="right"/>
              <w:spacing w:after="0" w:line="204" w:lineRule="exact"/>
              <w:rPr>
                <w:sz w:val="20"/>
                <w:szCs w:val="20"/>
                <w:color w:val="auto"/>
              </w:rPr>
            </w:pPr>
            <w:r>
              <w:rPr>
                <w:rFonts w:ascii="Times New Roman" w:cs="Times New Roman" w:eastAsia="Times New Roman" w:hAnsi="Times New Roman"/>
                <w:sz w:val="20"/>
                <w:szCs w:val="20"/>
                <w:color w:val="auto"/>
              </w:rPr>
              <w:t>53.2%</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line="204" w:lineRule="exact"/>
              <w:rPr>
                <w:sz w:val="20"/>
                <w:szCs w:val="20"/>
                <w:color w:val="auto"/>
              </w:rPr>
            </w:pPr>
            <w:r>
              <w:rPr>
                <w:rFonts w:ascii="Times New Roman" w:cs="Times New Roman" w:eastAsia="Times New Roman" w:hAnsi="Times New Roman"/>
                <w:sz w:val="20"/>
                <w:szCs w:val="20"/>
                <w:color w:val="auto"/>
              </w:rPr>
              <w:t>46.1%</w:t>
            </w:r>
          </w:p>
        </w:tc>
      </w:tr>
      <w:tr>
        <w:trPr>
          <w:trHeight w:val="291"/>
        </w:trPr>
        <w:tc>
          <w:tcPr>
            <w:tcW w:w="5980" w:type="dxa"/>
            <w:vAlign w:val="bottom"/>
            <w:tcBorders>
              <w:bottom w:val="single" w:sz="8" w:color="D9D9D9"/>
            </w:tcBorders>
            <w:shd w:val="clear" w:color="auto" w:fill="D9D9D9"/>
          </w:tcPr>
          <w:p>
            <w:pPr>
              <w:ind w:left="20"/>
              <w:spacing w:after="0"/>
              <w:rPr>
                <w:sz w:val="20"/>
                <w:szCs w:val="20"/>
                <w:color w:val="auto"/>
              </w:rPr>
            </w:pPr>
            <w:r>
              <w:rPr>
                <w:rFonts w:ascii="Times New Roman" w:cs="Times New Roman" w:eastAsia="Times New Roman" w:hAnsi="Times New Roman"/>
                <w:sz w:val="20"/>
                <w:szCs w:val="20"/>
                <w:color w:val="auto"/>
              </w:rPr>
              <w:t>Loss from operations</w:t>
            </w:r>
          </w:p>
        </w:tc>
        <w:tc>
          <w:tcPr>
            <w:tcW w:w="20" w:type="dxa"/>
            <w:vAlign w:val="bottom"/>
            <w:tcBorders>
              <w:bottom w:val="single" w:sz="8" w:color="D9D9D9"/>
            </w:tcBorders>
            <w:shd w:val="clear" w:color="auto" w:fill="D9D9D9"/>
          </w:tcPr>
          <w:p>
            <w:pPr>
              <w:spacing w:after="0"/>
              <w:rPr>
                <w:sz w:val="24"/>
                <w:szCs w:val="24"/>
                <w:color w:val="auto"/>
              </w:rPr>
            </w:pPr>
          </w:p>
        </w:tc>
        <w:tc>
          <w:tcPr>
            <w:tcW w:w="1320" w:type="dxa"/>
            <w:vAlign w:val="bottom"/>
            <w:tcBorders>
              <w:bottom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(12.0)%</w:t>
            </w:r>
          </w:p>
        </w:tc>
        <w:tc>
          <w:tcPr>
            <w:tcW w:w="240" w:type="dxa"/>
            <w:vAlign w:val="bottom"/>
            <w:tcBorders>
              <w:bottom w:val="single" w:sz="8" w:color="D9D9D9"/>
            </w:tcBorders>
            <w:shd w:val="clear" w:color="auto" w:fill="D9D9D9"/>
          </w:tcPr>
          <w:p>
            <w:pPr>
              <w:spacing w:after="0"/>
              <w:rPr>
                <w:sz w:val="24"/>
                <w:szCs w:val="24"/>
                <w:color w:val="auto"/>
              </w:rPr>
            </w:pPr>
          </w:p>
        </w:tc>
        <w:tc>
          <w:tcPr>
            <w:tcW w:w="60" w:type="dxa"/>
            <w:vAlign w:val="bottom"/>
            <w:tcBorders>
              <w:bottom w:val="single" w:sz="8" w:color="D9D9D9"/>
            </w:tcBorders>
            <w:shd w:val="clear" w:color="auto" w:fill="D9D9D9"/>
          </w:tcPr>
          <w:p>
            <w:pPr>
              <w:spacing w:after="0"/>
              <w:rPr>
                <w:sz w:val="24"/>
                <w:szCs w:val="24"/>
                <w:color w:val="auto"/>
              </w:rPr>
            </w:pPr>
          </w:p>
        </w:tc>
        <w:tc>
          <w:tcPr>
            <w:tcW w:w="20" w:type="dxa"/>
            <w:vAlign w:val="bottom"/>
            <w:tcBorders>
              <w:bottom w:val="single" w:sz="8" w:color="D9D9D9"/>
            </w:tcBorders>
            <w:shd w:val="clear" w:color="auto" w:fill="D9D9D9"/>
          </w:tcPr>
          <w:p>
            <w:pPr>
              <w:spacing w:after="0"/>
              <w:rPr>
                <w:sz w:val="24"/>
                <w:szCs w:val="24"/>
                <w:color w:val="auto"/>
              </w:rPr>
            </w:pPr>
          </w:p>
        </w:tc>
        <w:tc>
          <w:tcPr>
            <w:tcW w:w="1320" w:type="dxa"/>
            <w:vAlign w:val="bottom"/>
            <w:tcBorders>
              <w:bottom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(28.4)%</w:t>
            </w:r>
          </w:p>
        </w:tc>
        <w:tc>
          <w:tcPr>
            <w:tcW w:w="240" w:type="dxa"/>
            <w:vAlign w:val="bottom"/>
            <w:tcBorders>
              <w:bottom w:val="single" w:sz="8" w:color="D9D9D9"/>
            </w:tcBorders>
            <w:shd w:val="clear" w:color="auto" w:fill="D9D9D9"/>
          </w:tcPr>
          <w:p>
            <w:pPr>
              <w:spacing w:after="0"/>
              <w:rPr>
                <w:sz w:val="24"/>
                <w:szCs w:val="24"/>
                <w:color w:val="auto"/>
              </w:rPr>
            </w:pPr>
          </w:p>
        </w:tc>
        <w:tc>
          <w:tcPr>
            <w:tcW w:w="60" w:type="dxa"/>
            <w:vAlign w:val="bottom"/>
            <w:tcBorders>
              <w:bottom w:val="single" w:sz="8" w:color="D9D9D9"/>
            </w:tcBorders>
            <w:shd w:val="clear" w:color="auto" w:fill="D9D9D9"/>
          </w:tcPr>
          <w:p>
            <w:pPr>
              <w:spacing w:after="0"/>
              <w:rPr>
                <w:sz w:val="24"/>
                <w:szCs w:val="24"/>
                <w:color w:val="auto"/>
              </w:rPr>
            </w:pPr>
          </w:p>
        </w:tc>
        <w:tc>
          <w:tcPr>
            <w:tcW w:w="20" w:type="dxa"/>
            <w:vAlign w:val="bottom"/>
            <w:tcBorders>
              <w:bottom w:val="single" w:sz="8" w:color="D9D9D9"/>
            </w:tcBorders>
            <w:shd w:val="clear" w:color="auto" w:fill="D9D9D9"/>
          </w:tcPr>
          <w:p>
            <w:pPr>
              <w:spacing w:after="0"/>
              <w:rPr>
                <w:sz w:val="24"/>
                <w:szCs w:val="24"/>
                <w:color w:val="auto"/>
              </w:rPr>
            </w:pPr>
          </w:p>
        </w:tc>
        <w:tc>
          <w:tcPr>
            <w:tcW w:w="300" w:type="dxa"/>
            <w:vAlign w:val="bottom"/>
            <w:tcBorders>
              <w:bottom w:val="single" w:sz="8" w:color="auto"/>
            </w:tcBorders>
            <w:shd w:val="clear" w:color="auto" w:fill="D9D9D9"/>
          </w:tcPr>
          <w:p>
            <w:pPr>
              <w:spacing w:after="0"/>
              <w:rPr>
                <w:sz w:val="24"/>
                <w:szCs w:val="24"/>
                <w:color w:val="auto"/>
              </w:rPr>
            </w:pPr>
          </w:p>
        </w:tc>
        <w:tc>
          <w:tcPr>
            <w:tcW w:w="1020" w:type="dxa"/>
            <w:vAlign w:val="bottom"/>
            <w:tcBorders>
              <w:bottom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(19.0)%</w:t>
            </w:r>
          </w:p>
        </w:tc>
      </w:tr>
      <w:tr>
        <w:trPr>
          <w:trHeight w:val="206"/>
        </w:trPr>
        <w:tc>
          <w:tcPr>
            <w:tcW w:w="6000" w:type="dxa"/>
            <w:vAlign w:val="bottom"/>
            <w:tcBorders>
              <w:bottom w:val="single" w:sz="8" w:color="D9D9D9"/>
            </w:tcBorders>
            <w:gridSpan w:val="2"/>
          </w:tcPr>
          <w:p>
            <w:pPr>
              <w:ind w:left="20"/>
              <w:spacing w:after="0" w:line="207" w:lineRule="exact"/>
              <w:rPr>
                <w:sz w:val="20"/>
                <w:szCs w:val="20"/>
                <w:color w:val="auto"/>
              </w:rPr>
            </w:pPr>
            <w:r>
              <w:rPr>
                <w:rFonts w:ascii="Times New Roman" w:cs="Times New Roman" w:eastAsia="Times New Roman" w:hAnsi="Times New Roman"/>
                <w:sz w:val="20"/>
                <w:szCs w:val="20"/>
                <w:color w:val="auto"/>
              </w:rPr>
              <w:t>Interest and other expense, net</w:t>
            </w:r>
          </w:p>
        </w:tc>
        <w:tc>
          <w:tcPr>
            <w:tcW w:w="1320" w:type="dxa"/>
            <w:vAlign w:val="bottom"/>
            <w:tcBorders>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20"/>
                <w:szCs w:val="20"/>
                <w:color w:val="auto"/>
              </w:rPr>
              <w:t>1.7%</w:t>
            </w:r>
          </w:p>
        </w:tc>
        <w:tc>
          <w:tcPr>
            <w:tcW w:w="300" w:type="dxa"/>
            <w:vAlign w:val="bottom"/>
            <w:tcBorders>
              <w:bottom w:val="single" w:sz="8" w:color="D9D9D9"/>
            </w:tcBorders>
            <w:gridSpan w:val="2"/>
          </w:tcPr>
          <w:p>
            <w:pPr>
              <w:spacing w:after="0"/>
              <w:rPr>
                <w:sz w:val="17"/>
                <w:szCs w:val="17"/>
                <w:color w:val="auto"/>
              </w:rPr>
            </w:pPr>
          </w:p>
        </w:tc>
        <w:tc>
          <w:tcPr>
            <w:tcW w:w="20" w:type="dxa"/>
            <w:vAlign w:val="bottom"/>
            <w:tcBorders>
              <w:bottom w:val="single" w:sz="8" w:color="D9D9D9"/>
            </w:tcBorders>
          </w:tcPr>
          <w:p>
            <w:pPr>
              <w:spacing w:after="0"/>
              <w:rPr>
                <w:sz w:val="17"/>
                <w:szCs w:val="17"/>
                <w:color w:val="auto"/>
              </w:rPr>
            </w:pPr>
          </w:p>
        </w:tc>
        <w:tc>
          <w:tcPr>
            <w:tcW w:w="1320" w:type="dxa"/>
            <w:vAlign w:val="bottom"/>
            <w:tcBorders>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20"/>
                <w:szCs w:val="20"/>
                <w:color w:val="auto"/>
              </w:rPr>
              <w:t>(46.4)%</w:t>
            </w:r>
          </w:p>
        </w:tc>
        <w:tc>
          <w:tcPr>
            <w:tcW w:w="240" w:type="dxa"/>
            <w:vAlign w:val="bottom"/>
            <w:tcBorders>
              <w:bottom w:val="single" w:sz="8" w:color="D9D9D9"/>
            </w:tcBorders>
          </w:tcPr>
          <w:p>
            <w:pPr>
              <w:spacing w:after="0"/>
              <w:rPr>
                <w:sz w:val="17"/>
                <w:szCs w:val="17"/>
                <w:color w:val="auto"/>
              </w:rPr>
            </w:pPr>
          </w:p>
        </w:tc>
        <w:tc>
          <w:tcPr>
            <w:tcW w:w="60" w:type="dxa"/>
            <w:vAlign w:val="bottom"/>
            <w:tcBorders>
              <w:bottom w:val="single" w:sz="8" w:color="D9D9D9"/>
            </w:tcBorders>
          </w:tcPr>
          <w:p>
            <w:pPr>
              <w:spacing w:after="0"/>
              <w:rPr>
                <w:sz w:val="17"/>
                <w:szCs w:val="17"/>
                <w:color w:val="auto"/>
              </w:rPr>
            </w:pPr>
          </w:p>
        </w:tc>
        <w:tc>
          <w:tcPr>
            <w:tcW w:w="20" w:type="dxa"/>
            <w:vAlign w:val="bottom"/>
            <w:tcBorders>
              <w:bottom w:val="single" w:sz="8" w:color="D9D9D9"/>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20"/>
                <w:szCs w:val="20"/>
                <w:color w:val="auto"/>
              </w:rPr>
              <w:t>(6.7)%</w:t>
            </w:r>
          </w:p>
        </w:tc>
      </w:tr>
      <w:tr>
        <w:trPr>
          <w:trHeight w:val="241"/>
        </w:trPr>
        <w:tc>
          <w:tcPr>
            <w:tcW w:w="5980" w:type="dxa"/>
            <w:vAlign w:val="bottom"/>
            <w:shd w:val="clear" w:color="auto" w:fill="D9D9D9"/>
          </w:tcPr>
          <w:p>
            <w:pPr>
              <w:ind w:left="20"/>
              <w:spacing w:after="0"/>
              <w:rPr>
                <w:sz w:val="20"/>
                <w:szCs w:val="20"/>
                <w:color w:val="auto"/>
              </w:rPr>
            </w:pPr>
            <w:r>
              <w:rPr>
                <w:rFonts w:ascii="Times New Roman" w:cs="Times New Roman" w:eastAsia="Times New Roman" w:hAnsi="Times New Roman"/>
                <w:sz w:val="20"/>
                <w:szCs w:val="20"/>
                <w:color w:val="auto"/>
              </w:rPr>
              <w:t>Loss before income taxes</w:t>
            </w:r>
          </w:p>
        </w:tc>
        <w:tc>
          <w:tcPr>
            <w:tcW w:w="20" w:type="dxa"/>
            <w:vAlign w:val="bottom"/>
            <w:shd w:val="clear" w:color="auto" w:fill="D9D9D9"/>
          </w:tcPr>
          <w:p>
            <w:pPr>
              <w:spacing w:after="0"/>
              <w:rPr>
                <w:sz w:val="20"/>
                <w:szCs w:val="20"/>
                <w:color w:val="auto"/>
              </w:rPr>
            </w:pPr>
          </w:p>
        </w:tc>
        <w:tc>
          <w:tcPr>
            <w:tcW w:w="132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(10.3)%</w:t>
            </w:r>
          </w:p>
        </w:tc>
        <w:tc>
          <w:tcPr>
            <w:tcW w:w="240" w:type="dxa"/>
            <w:vAlign w:val="bottom"/>
            <w:shd w:val="clear" w:color="auto" w:fill="D9D9D9"/>
          </w:tcPr>
          <w:p>
            <w:pPr>
              <w:spacing w:after="0"/>
              <w:rPr>
                <w:sz w:val="20"/>
                <w:szCs w:val="20"/>
                <w:color w:val="auto"/>
              </w:rPr>
            </w:pPr>
          </w:p>
        </w:tc>
        <w:tc>
          <w:tcPr>
            <w:tcW w:w="60" w:type="dxa"/>
            <w:vAlign w:val="bottom"/>
            <w:shd w:val="clear" w:color="auto" w:fill="D9D9D9"/>
          </w:tcPr>
          <w:p>
            <w:pPr>
              <w:spacing w:after="0"/>
              <w:rPr>
                <w:sz w:val="20"/>
                <w:szCs w:val="20"/>
                <w:color w:val="auto"/>
              </w:rPr>
            </w:pPr>
          </w:p>
        </w:tc>
        <w:tc>
          <w:tcPr>
            <w:tcW w:w="20" w:type="dxa"/>
            <w:vAlign w:val="bottom"/>
            <w:shd w:val="clear" w:color="auto" w:fill="D9D9D9"/>
          </w:tcPr>
          <w:p>
            <w:pPr>
              <w:spacing w:after="0"/>
              <w:rPr>
                <w:sz w:val="20"/>
                <w:szCs w:val="20"/>
                <w:color w:val="auto"/>
              </w:rPr>
            </w:pPr>
          </w:p>
        </w:tc>
        <w:tc>
          <w:tcPr>
            <w:tcW w:w="132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(74.9)%</w:t>
            </w:r>
          </w:p>
        </w:tc>
        <w:tc>
          <w:tcPr>
            <w:tcW w:w="240" w:type="dxa"/>
            <w:vAlign w:val="bottom"/>
            <w:shd w:val="clear" w:color="auto" w:fill="D9D9D9"/>
          </w:tcPr>
          <w:p>
            <w:pPr>
              <w:spacing w:after="0"/>
              <w:rPr>
                <w:sz w:val="20"/>
                <w:szCs w:val="20"/>
                <w:color w:val="auto"/>
              </w:rPr>
            </w:pPr>
          </w:p>
        </w:tc>
        <w:tc>
          <w:tcPr>
            <w:tcW w:w="60" w:type="dxa"/>
            <w:vAlign w:val="bottom"/>
            <w:shd w:val="clear" w:color="auto" w:fill="D9D9D9"/>
          </w:tcPr>
          <w:p>
            <w:pPr>
              <w:spacing w:after="0"/>
              <w:rPr>
                <w:sz w:val="20"/>
                <w:szCs w:val="20"/>
                <w:color w:val="auto"/>
              </w:rPr>
            </w:pPr>
          </w:p>
        </w:tc>
        <w:tc>
          <w:tcPr>
            <w:tcW w:w="20" w:type="dxa"/>
            <w:vAlign w:val="bottom"/>
            <w:shd w:val="clear" w:color="auto" w:fill="D9D9D9"/>
          </w:tcPr>
          <w:p>
            <w:pPr>
              <w:spacing w:after="0"/>
              <w:rPr>
                <w:sz w:val="20"/>
                <w:szCs w:val="20"/>
                <w:color w:val="auto"/>
              </w:rPr>
            </w:pPr>
          </w:p>
        </w:tc>
        <w:tc>
          <w:tcPr>
            <w:tcW w:w="300" w:type="dxa"/>
            <w:vAlign w:val="bottom"/>
            <w:shd w:val="clear" w:color="auto" w:fill="D9D9D9"/>
          </w:tcPr>
          <w:p>
            <w:pPr>
              <w:spacing w:after="0"/>
              <w:rPr>
                <w:sz w:val="20"/>
                <w:szCs w:val="20"/>
                <w:color w:val="auto"/>
              </w:rPr>
            </w:pPr>
          </w:p>
        </w:tc>
        <w:tc>
          <w:tcPr>
            <w:tcW w:w="102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(25.7)%</w:t>
            </w:r>
          </w:p>
        </w:tc>
      </w:tr>
      <w:tr>
        <w:trPr>
          <w:trHeight w:val="254"/>
        </w:trPr>
        <w:tc>
          <w:tcPr>
            <w:tcW w:w="60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Income tax benefit (expense)</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16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0.0%</w:t>
            </w: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w:t>
            </w:r>
          </w:p>
        </w:tc>
      </w:tr>
      <w:tr>
        <w:trPr>
          <w:trHeight w:val="294"/>
        </w:trPr>
        <w:tc>
          <w:tcPr>
            <w:tcW w:w="5980" w:type="dxa"/>
            <w:vAlign w:val="bottom"/>
            <w:tcBorders>
              <w:top w:val="single" w:sz="8" w:color="D9D9D9"/>
              <w:bottom w:val="single" w:sz="8" w:color="D9D9D9"/>
            </w:tcBorders>
            <w:shd w:val="clear" w:color="auto" w:fill="D9D9D9"/>
          </w:tcPr>
          <w:p>
            <w:pPr>
              <w:ind w:left="20"/>
              <w:spacing w:after="0"/>
              <w:rPr>
                <w:sz w:val="20"/>
                <w:szCs w:val="20"/>
                <w:color w:val="auto"/>
              </w:rPr>
            </w:pPr>
            <w:r>
              <w:rPr>
                <w:rFonts w:ascii="Times New Roman" w:cs="Times New Roman" w:eastAsia="Times New Roman" w:hAnsi="Times New Roman"/>
                <w:sz w:val="20"/>
                <w:szCs w:val="20"/>
                <w:color w:val="auto"/>
              </w:rPr>
              <w:t>Net loss</w:t>
            </w:r>
          </w:p>
        </w:tc>
        <w:tc>
          <w:tcPr>
            <w:tcW w:w="20" w:type="dxa"/>
            <w:vAlign w:val="bottom"/>
            <w:tcBorders>
              <w:top w:val="single" w:sz="8" w:color="D9D9D9"/>
              <w:bottom w:val="single" w:sz="8" w:color="auto"/>
            </w:tcBorders>
            <w:shd w:val="clear" w:color="auto" w:fill="D9D9D9"/>
          </w:tcPr>
          <w:p>
            <w:pPr>
              <w:spacing w:after="0"/>
              <w:rPr>
                <w:sz w:val="24"/>
                <w:szCs w:val="24"/>
                <w:color w:val="auto"/>
              </w:rPr>
            </w:pPr>
          </w:p>
        </w:tc>
        <w:tc>
          <w:tcPr>
            <w:tcW w:w="1320" w:type="dxa"/>
            <w:vAlign w:val="bottom"/>
            <w:tcBorders>
              <w:top w:val="single" w:sz="8" w:color="auto"/>
              <w:bottom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(8.4)%</w:t>
            </w:r>
          </w:p>
        </w:tc>
        <w:tc>
          <w:tcPr>
            <w:tcW w:w="240" w:type="dxa"/>
            <w:vAlign w:val="bottom"/>
            <w:tcBorders>
              <w:top w:val="single" w:sz="8" w:color="D9D9D9"/>
              <w:bottom w:val="single" w:sz="8" w:color="D9D9D9"/>
            </w:tcBorders>
            <w:shd w:val="clear" w:color="auto" w:fill="D9D9D9"/>
          </w:tcPr>
          <w:p>
            <w:pPr>
              <w:spacing w:after="0"/>
              <w:rPr>
                <w:sz w:val="24"/>
                <w:szCs w:val="24"/>
                <w:color w:val="auto"/>
              </w:rPr>
            </w:pPr>
          </w:p>
        </w:tc>
        <w:tc>
          <w:tcPr>
            <w:tcW w:w="60" w:type="dxa"/>
            <w:vAlign w:val="bottom"/>
            <w:tcBorders>
              <w:top w:val="single" w:sz="8" w:color="D9D9D9"/>
              <w:bottom w:val="single" w:sz="8" w:color="D9D9D9"/>
            </w:tcBorders>
            <w:shd w:val="clear" w:color="auto" w:fill="D9D9D9"/>
          </w:tcPr>
          <w:p>
            <w:pPr>
              <w:spacing w:after="0"/>
              <w:rPr>
                <w:sz w:val="24"/>
                <w:szCs w:val="24"/>
                <w:color w:val="auto"/>
              </w:rPr>
            </w:pPr>
          </w:p>
        </w:tc>
        <w:tc>
          <w:tcPr>
            <w:tcW w:w="20" w:type="dxa"/>
            <w:vAlign w:val="bottom"/>
            <w:tcBorders>
              <w:top w:val="single" w:sz="8" w:color="D9D9D9"/>
              <w:bottom w:val="single" w:sz="8" w:color="auto"/>
            </w:tcBorders>
            <w:shd w:val="clear" w:color="auto" w:fill="D9D9D9"/>
          </w:tcPr>
          <w:p>
            <w:pPr>
              <w:spacing w:after="0"/>
              <w:rPr>
                <w:sz w:val="24"/>
                <w:szCs w:val="24"/>
                <w:color w:val="auto"/>
              </w:rPr>
            </w:pPr>
          </w:p>
        </w:tc>
        <w:tc>
          <w:tcPr>
            <w:tcW w:w="1320" w:type="dxa"/>
            <w:vAlign w:val="bottom"/>
            <w:tcBorders>
              <w:top w:val="single" w:sz="8" w:color="auto"/>
              <w:bottom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(74.9)%</w:t>
            </w:r>
          </w:p>
        </w:tc>
        <w:tc>
          <w:tcPr>
            <w:tcW w:w="240" w:type="dxa"/>
            <w:vAlign w:val="bottom"/>
            <w:tcBorders>
              <w:top w:val="single" w:sz="8" w:color="D9D9D9"/>
              <w:bottom w:val="single" w:sz="8" w:color="D9D9D9"/>
            </w:tcBorders>
            <w:shd w:val="clear" w:color="auto" w:fill="D9D9D9"/>
          </w:tcPr>
          <w:p>
            <w:pPr>
              <w:spacing w:after="0"/>
              <w:rPr>
                <w:sz w:val="24"/>
                <w:szCs w:val="24"/>
                <w:color w:val="auto"/>
              </w:rPr>
            </w:pPr>
          </w:p>
        </w:tc>
        <w:tc>
          <w:tcPr>
            <w:tcW w:w="60" w:type="dxa"/>
            <w:vAlign w:val="bottom"/>
            <w:tcBorders>
              <w:top w:val="single" w:sz="8" w:color="D9D9D9"/>
              <w:bottom w:val="single" w:sz="8" w:color="D9D9D9"/>
            </w:tcBorders>
            <w:shd w:val="clear" w:color="auto" w:fill="D9D9D9"/>
          </w:tcPr>
          <w:p>
            <w:pPr>
              <w:spacing w:after="0"/>
              <w:rPr>
                <w:sz w:val="24"/>
                <w:szCs w:val="24"/>
                <w:color w:val="auto"/>
              </w:rPr>
            </w:pPr>
          </w:p>
        </w:tc>
        <w:tc>
          <w:tcPr>
            <w:tcW w:w="20" w:type="dxa"/>
            <w:vAlign w:val="bottom"/>
            <w:tcBorders>
              <w:top w:val="single" w:sz="8" w:color="D9D9D9"/>
              <w:bottom w:val="single" w:sz="8" w:color="auto"/>
            </w:tcBorders>
            <w:shd w:val="clear" w:color="auto" w:fill="D9D9D9"/>
          </w:tcPr>
          <w:p>
            <w:pPr>
              <w:spacing w:after="0"/>
              <w:rPr>
                <w:sz w:val="24"/>
                <w:szCs w:val="24"/>
                <w:color w:val="auto"/>
              </w:rPr>
            </w:pPr>
          </w:p>
        </w:tc>
        <w:tc>
          <w:tcPr>
            <w:tcW w:w="300" w:type="dxa"/>
            <w:vAlign w:val="bottom"/>
            <w:tcBorders>
              <w:top w:val="single" w:sz="8" w:color="auto"/>
              <w:bottom w:val="single" w:sz="8" w:color="auto"/>
            </w:tcBorders>
            <w:shd w:val="clear" w:color="auto" w:fill="D9D9D9"/>
          </w:tcPr>
          <w:p>
            <w:pPr>
              <w:spacing w:after="0"/>
              <w:rPr>
                <w:sz w:val="24"/>
                <w:szCs w:val="24"/>
                <w:color w:val="auto"/>
              </w:rPr>
            </w:pPr>
          </w:p>
        </w:tc>
        <w:tc>
          <w:tcPr>
            <w:tcW w:w="1020" w:type="dxa"/>
            <w:vAlign w:val="bottom"/>
            <w:tcBorders>
              <w:top w:val="single" w:sz="8" w:color="auto"/>
              <w:bottom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(25.7)%</w:t>
            </w:r>
          </w:p>
        </w:tc>
      </w:tr>
    </w:tbl>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Comparison of Years Ended December 31, 2025 and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Revenue</w:t>
      </w:r>
    </w:p>
    <w:p>
      <w:pPr>
        <w:spacing w:after="0" w:line="218" w:lineRule="exact"/>
        <w:rPr>
          <w:sz w:val="20"/>
          <w:szCs w:val="20"/>
          <w:color w:val="auto"/>
        </w:rPr>
      </w:pPr>
    </w:p>
    <w:p>
      <w:pPr>
        <w:jc w:val="both"/>
        <w:ind w:firstLine="706"/>
        <w:spacing w:after="0" w:line="245" w:lineRule="auto"/>
        <w:rPr>
          <w:sz w:val="20"/>
          <w:szCs w:val="20"/>
          <w:color w:val="auto"/>
        </w:rPr>
      </w:pPr>
      <w:r>
        <w:rPr>
          <w:rFonts w:ascii="Times New Roman" w:cs="Times New Roman" w:eastAsia="Times New Roman" w:hAnsi="Times New Roman"/>
          <w:sz w:val="20"/>
          <w:szCs w:val="20"/>
          <w:color w:val="auto"/>
        </w:rPr>
        <w:t>We generate revenue through the sale of our products to equipment providers and network operators for the internet data center, CATV, telecom, FTTH and other markets. We derive a significant portion of our revenue from our top ten customers, and we anticipate that we will continue to do so for the foreseeable future. The following charts provide the revenue contribution from each of the markets we served for the years ended December 31, 2025 and 2024 (in thousands, except percentages):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860" w:type="dxa"/>
            <w:vAlign w:val="bottom"/>
            <w:tcBorders>
              <w:bottom w:val="single" w:sz="8" w:color="auto"/>
            </w:tcBorders>
            <w:gridSpan w:val="4"/>
          </w:tcPr>
          <w:p>
            <w:pPr>
              <w:ind w:left="300"/>
              <w:spacing w:after="0"/>
              <w:rPr>
                <w:sz w:val="20"/>
                <w:szCs w:val="20"/>
                <w:color w:val="auto"/>
              </w:rPr>
            </w:pPr>
            <w:r>
              <w:rPr>
                <w:rFonts w:ascii="Times New Roman" w:cs="Times New Roman" w:eastAsia="Times New Roman" w:hAnsi="Times New Roman"/>
                <w:sz w:val="20"/>
                <w:szCs w:val="20"/>
                <w:b w:val="1"/>
                <w:bCs w:val="1"/>
                <w:color w:val="auto"/>
              </w:rPr>
              <w:t>Years ended December 31,</w:t>
            </w: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3"/>
          </w:tcPr>
          <w:p>
            <w:pPr>
              <w:ind w:left="920"/>
              <w:spacing w:after="0"/>
              <w:rPr>
                <w:sz w:val="20"/>
                <w:szCs w:val="20"/>
                <w:color w:val="auto"/>
              </w:rPr>
            </w:pPr>
            <w:r>
              <w:rPr>
                <w:rFonts w:ascii="Times New Roman" w:cs="Times New Roman" w:eastAsia="Times New Roman" w:hAnsi="Times New Roman"/>
                <w:sz w:val="20"/>
                <w:szCs w:val="20"/>
                <w:b w:val="1"/>
                <w:bCs w:val="1"/>
                <w:color w:val="auto"/>
              </w:rPr>
              <w:t>Change</w:t>
            </w:r>
          </w:p>
        </w:tc>
        <w:tc>
          <w:tcPr>
            <w:tcW w:w="900" w:type="dxa"/>
            <w:vAlign w:val="bottom"/>
            <w:tcBorders>
              <w:bottom w:val="single" w:sz="8" w:color="auto"/>
            </w:tcBorders>
          </w:tcPr>
          <w:p>
            <w:pPr>
              <w:spacing w:after="0"/>
              <w:rPr>
                <w:sz w:val="22"/>
                <w:szCs w:val="22"/>
                <w:color w:val="auto"/>
              </w:rPr>
            </w:pPr>
          </w:p>
        </w:tc>
      </w:tr>
      <w:tr>
        <w:trPr>
          <w:trHeight w:val="207"/>
        </w:trPr>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ind w:left="420"/>
              <w:spacing w:after="0" w:line="207" w:lineRule="exact"/>
              <w:rPr>
                <w:sz w:val="20"/>
                <w:szCs w:val="20"/>
                <w:color w:val="auto"/>
              </w:rPr>
            </w:pPr>
            <w:r>
              <w:rPr>
                <w:rFonts w:ascii="Times New Roman" w:cs="Times New Roman" w:eastAsia="Times New Roman" w:hAnsi="Times New Roman"/>
                <w:sz w:val="20"/>
                <w:szCs w:val="20"/>
                <w:b w:val="1"/>
                <w:bCs w:val="1"/>
                <w:color w:val="auto"/>
              </w:rPr>
              <w:t>% of</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342"/>
              <w:spacing w:after="0" w:line="207" w:lineRule="exact"/>
              <w:rPr>
                <w:sz w:val="20"/>
                <w:szCs w:val="20"/>
                <w:color w:val="auto"/>
              </w:rPr>
            </w:pPr>
            <w:r>
              <w:rPr>
                <w:rFonts w:ascii="Times New Roman" w:cs="Times New Roman" w:eastAsia="Times New Roman" w:hAnsi="Times New Roman"/>
                <w:sz w:val="20"/>
                <w:szCs w:val="20"/>
                <w:b w:val="1"/>
                <w:bCs w:val="1"/>
                <w:color w:val="auto"/>
              </w:rPr>
              <w:t>% of</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57"/>
        </w:trPr>
        <w:tc>
          <w:tcPr>
            <w:tcW w:w="1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jc w:val="right"/>
              <w:ind w:right="342"/>
              <w:spacing w:after="0"/>
              <w:rPr>
                <w:sz w:val="20"/>
                <w:szCs w:val="20"/>
                <w:color w:val="auto"/>
              </w:rPr>
            </w:pPr>
            <w:r>
              <w:rPr>
                <w:rFonts w:ascii="Times New Roman" w:cs="Times New Roman" w:eastAsia="Times New Roman" w:hAnsi="Times New Roman"/>
                <w:sz w:val="20"/>
                <w:szCs w:val="20"/>
                <w:b w:val="1"/>
                <w:bCs w:val="1"/>
                <w:color w:val="auto"/>
              </w:rPr>
              <w:t>2025</w:t>
            </w:r>
          </w:p>
        </w:tc>
        <w:tc>
          <w:tcPr>
            <w:tcW w:w="180" w:type="dxa"/>
            <w:vAlign w:val="bottom"/>
          </w:tcPr>
          <w:p>
            <w:pPr>
              <w:spacing w:after="0"/>
              <w:rPr>
                <w:sz w:val="22"/>
                <w:szCs w:val="22"/>
                <w:color w:val="auto"/>
              </w:rPr>
            </w:pPr>
          </w:p>
        </w:tc>
        <w:tc>
          <w:tcPr>
            <w:tcW w:w="1560" w:type="dxa"/>
            <w:vAlign w:val="bottom"/>
            <w:gridSpan w:val="2"/>
          </w:tcPr>
          <w:p>
            <w:pPr>
              <w:ind w:left="280"/>
              <w:spacing w:after="0"/>
              <w:rPr>
                <w:sz w:val="20"/>
                <w:szCs w:val="20"/>
                <w:color w:val="auto"/>
              </w:rPr>
            </w:pPr>
            <w:r>
              <w:rPr>
                <w:rFonts w:ascii="Times New Roman" w:cs="Times New Roman" w:eastAsia="Times New Roman" w:hAnsi="Times New Roman"/>
                <w:sz w:val="20"/>
                <w:szCs w:val="20"/>
                <w:b w:val="1"/>
                <w:bCs w:val="1"/>
                <w:color w:val="auto"/>
              </w:rPr>
              <w:t>Revenue</w:t>
            </w:r>
          </w:p>
        </w:tc>
        <w:tc>
          <w:tcPr>
            <w:tcW w:w="100" w:type="dxa"/>
            <w:vAlign w:val="bottom"/>
          </w:tcPr>
          <w:p>
            <w:pPr>
              <w:spacing w:after="0"/>
              <w:rPr>
                <w:sz w:val="22"/>
                <w:szCs w:val="22"/>
                <w:color w:val="auto"/>
              </w:rPr>
            </w:pPr>
          </w:p>
        </w:tc>
        <w:tc>
          <w:tcPr>
            <w:tcW w:w="1200" w:type="dxa"/>
            <w:vAlign w:val="bottom"/>
          </w:tcPr>
          <w:p>
            <w:pPr>
              <w:jc w:val="right"/>
              <w:ind w:right="362"/>
              <w:spacing w:after="0"/>
              <w:rPr>
                <w:sz w:val="20"/>
                <w:szCs w:val="20"/>
                <w:color w:val="auto"/>
              </w:rPr>
            </w:pPr>
            <w:r>
              <w:rPr>
                <w:rFonts w:ascii="Times New Roman" w:cs="Times New Roman" w:eastAsia="Times New Roman" w:hAnsi="Times New Roman"/>
                <w:sz w:val="20"/>
                <w:szCs w:val="20"/>
                <w:b w:val="1"/>
                <w:bCs w:val="1"/>
                <w:color w:val="auto"/>
              </w:rPr>
              <w:t>2024</w:t>
            </w:r>
          </w:p>
        </w:tc>
        <w:tc>
          <w:tcPr>
            <w:tcW w:w="180" w:type="dxa"/>
            <w:vAlign w:val="bottom"/>
          </w:tcPr>
          <w:p>
            <w:pPr>
              <w:spacing w:after="0"/>
              <w:rPr>
                <w:sz w:val="22"/>
                <w:szCs w:val="22"/>
                <w:color w:val="auto"/>
              </w:rPr>
            </w:pPr>
          </w:p>
        </w:tc>
        <w:tc>
          <w:tcPr>
            <w:tcW w:w="1260" w:type="dxa"/>
            <w:vAlign w:val="bottom"/>
          </w:tcPr>
          <w:p>
            <w:pPr>
              <w:jc w:val="right"/>
              <w:ind w:right="182"/>
              <w:spacing w:after="0"/>
              <w:rPr>
                <w:sz w:val="20"/>
                <w:szCs w:val="20"/>
                <w:color w:val="auto"/>
              </w:rPr>
            </w:pPr>
            <w:r>
              <w:rPr>
                <w:rFonts w:ascii="Times New Roman" w:cs="Times New Roman" w:eastAsia="Times New Roman" w:hAnsi="Times New Roman"/>
                <w:sz w:val="20"/>
                <w:szCs w:val="20"/>
                <w:b w:val="1"/>
                <w:bCs w:val="1"/>
                <w:color w:val="auto"/>
              </w:rPr>
              <w:t>Revenue</w:t>
            </w: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20" w:type="dxa"/>
            <w:vAlign w:val="bottom"/>
            <w:gridSpan w:val="3"/>
          </w:tcPr>
          <w:p>
            <w:pPr>
              <w:ind w:left="180"/>
              <w:spacing w:after="0"/>
              <w:rPr>
                <w:sz w:val="20"/>
                <w:szCs w:val="20"/>
                <w:color w:val="auto"/>
              </w:rPr>
            </w:pPr>
            <w:r>
              <w:rPr>
                <w:rFonts w:ascii="Times New Roman" w:cs="Times New Roman" w:eastAsia="Times New Roman" w:hAnsi="Times New Roman"/>
                <w:sz w:val="20"/>
                <w:szCs w:val="20"/>
                <w:b w:val="1"/>
                <w:bCs w:val="1"/>
                <w:color w:val="auto"/>
              </w:rPr>
              <w:t>Amount</w:t>
            </w:r>
          </w:p>
        </w:tc>
        <w:tc>
          <w:tcPr>
            <w:tcW w:w="900" w:type="dxa"/>
            <w:vAlign w:val="bottom"/>
          </w:tcPr>
          <w:p>
            <w:pPr>
              <w:jc w:val="right"/>
              <w:ind w:right="442"/>
              <w:spacing w:after="0"/>
              <w:rPr>
                <w:sz w:val="20"/>
                <w:szCs w:val="20"/>
                <w:color w:val="auto"/>
              </w:rPr>
            </w:pPr>
            <w:r>
              <w:rPr>
                <w:rFonts w:ascii="Times New Roman" w:cs="Times New Roman" w:eastAsia="Times New Roman" w:hAnsi="Times New Roman"/>
                <w:sz w:val="20"/>
                <w:szCs w:val="20"/>
                <w:b w:val="1"/>
                <w:bCs w:val="1"/>
                <w:color w:val="auto"/>
              </w:rPr>
              <w:t>%</w:t>
            </w:r>
          </w:p>
        </w:tc>
      </w:tr>
      <w:tr>
        <w:trPr>
          <w:trHeight w:val="225"/>
        </w:trPr>
        <w:tc>
          <w:tcPr>
            <w:tcW w:w="1720" w:type="dxa"/>
            <w:vAlign w:val="bottom"/>
            <w:tcBorders>
              <w:top w:val="single" w:sz="8" w:color="DBDBDB"/>
            </w:tcBorders>
            <w:shd w:val="clear" w:color="auto" w:fill="DBDBDB"/>
          </w:tcPr>
          <w:p>
            <w:pPr>
              <w:ind w:left="20"/>
              <w:spacing w:after="0" w:line="220" w:lineRule="exact"/>
              <w:rPr>
                <w:sz w:val="20"/>
                <w:szCs w:val="20"/>
                <w:color w:val="auto"/>
              </w:rPr>
            </w:pPr>
            <w:r>
              <w:rPr>
                <w:rFonts w:ascii="Times New Roman" w:cs="Times New Roman" w:eastAsia="Times New Roman" w:hAnsi="Times New Roman"/>
                <w:sz w:val="20"/>
                <w:szCs w:val="20"/>
                <w:color w:val="auto"/>
              </w:rPr>
              <w:t>CATV</w:t>
            </w:r>
          </w:p>
        </w:tc>
        <w:tc>
          <w:tcPr>
            <w:tcW w:w="100" w:type="dxa"/>
            <w:vAlign w:val="bottom"/>
            <w:tcBorders>
              <w:top w:val="single" w:sz="8" w:color="DBDBDB"/>
              <w:right w:val="single" w:sz="8" w:color="DBDBDB"/>
            </w:tcBorders>
            <w:shd w:val="clear" w:color="auto" w:fill="DBDBDB"/>
          </w:tcPr>
          <w:p>
            <w:pPr>
              <w:spacing w:after="0"/>
              <w:rPr>
                <w:sz w:val="19"/>
                <w:szCs w:val="19"/>
                <w:color w:val="auto"/>
              </w:rPr>
            </w:pPr>
          </w:p>
        </w:tc>
        <w:tc>
          <w:tcPr>
            <w:tcW w:w="100" w:type="dxa"/>
            <w:vAlign w:val="bottom"/>
            <w:tcBorders>
              <w:top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7"/>
                <w:szCs w:val="17"/>
                <w:color w:val="auto"/>
                <w:highlight w:val="lightGray"/>
                <w:w w:val="70"/>
              </w:rPr>
              <w:t>$</w:t>
            </w:r>
          </w:p>
        </w:tc>
        <w:tc>
          <w:tcPr>
            <w:tcW w:w="1180" w:type="dxa"/>
            <w:vAlign w:val="bottom"/>
            <w:tcBorders>
              <w:top w:val="single" w:sz="8" w:color="auto"/>
            </w:tcBorders>
            <w:shd w:val="clear" w:color="auto" w:fill="DBDBDB"/>
          </w:tcPr>
          <w:p>
            <w:pPr>
              <w:jc w:val="right"/>
              <w:spacing w:after="0" w:line="225" w:lineRule="exact"/>
              <w:rPr>
                <w:sz w:val="20"/>
                <w:szCs w:val="20"/>
                <w:color w:val="auto"/>
              </w:rPr>
            </w:pPr>
            <w:r>
              <w:rPr>
                <w:rFonts w:ascii="Times New Roman" w:cs="Times New Roman" w:eastAsia="Times New Roman" w:hAnsi="Times New Roman"/>
                <w:sz w:val="20"/>
                <w:szCs w:val="20"/>
                <w:color w:val="auto"/>
              </w:rPr>
              <w:t>245,124</w:t>
            </w:r>
          </w:p>
        </w:tc>
        <w:tc>
          <w:tcPr>
            <w:tcW w:w="180" w:type="dxa"/>
            <w:vAlign w:val="bottom"/>
            <w:tcBorders>
              <w:top w:val="single" w:sz="8" w:color="DBDBDB"/>
              <w:right w:val="single" w:sz="8" w:color="DBDBDB"/>
            </w:tcBorders>
            <w:shd w:val="clear" w:color="auto" w:fill="DBDBDB"/>
          </w:tcPr>
          <w:p>
            <w:pPr>
              <w:spacing w:after="0"/>
              <w:rPr>
                <w:sz w:val="19"/>
                <w:szCs w:val="19"/>
                <w:color w:val="auto"/>
              </w:rPr>
            </w:pPr>
          </w:p>
        </w:tc>
        <w:tc>
          <w:tcPr>
            <w:tcW w:w="1260" w:type="dxa"/>
            <w:vAlign w:val="bottom"/>
            <w:tcBorders>
              <w:top w:val="single" w:sz="8" w:color="auto"/>
            </w:tcBorders>
            <w:shd w:val="clear" w:color="auto" w:fill="DBDBDB"/>
          </w:tcPr>
          <w:p>
            <w:pPr>
              <w:jc w:val="right"/>
              <w:spacing w:after="0" w:line="225" w:lineRule="exact"/>
              <w:rPr>
                <w:sz w:val="20"/>
                <w:szCs w:val="20"/>
                <w:color w:val="auto"/>
              </w:rPr>
            </w:pPr>
            <w:r>
              <w:rPr>
                <w:rFonts w:ascii="Times New Roman" w:cs="Times New Roman" w:eastAsia="Times New Roman" w:hAnsi="Times New Roman"/>
                <w:sz w:val="20"/>
                <w:szCs w:val="20"/>
                <w:color w:val="auto"/>
              </w:rPr>
              <w:t>53.8%</w:t>
            </w:r>
          </w:p>
        </w:tc>
        <w:tc>
          <w:tcPr>
            <w:tcW w:w="300" w:type="dxa"/>
            <w:vAlign w:val="bottom"/>
            <w:tcBorders>
              <w:top w:val="single" w:sz="8" w:color="DBDBDB"/>
              <w:right w:val="single" w:sz="8" w:color="DBDBDB"/>
            </w:tcBorders>
            <w:shd w:val="clear" w:color="auto" w:fill="DBDBDB"/>
          </w:tcPr>
          <w:p>
            <w:pPr>
              <w:spacing w:after="0"/>
              <w:rPr>
                <w:sz w:val="19"/>
                <w:szCs w:val="19"/>
                <w:color w:val="auto"/>
              </w:rPr>
            </w:pPr>
          </w:p>
        </w:tc>
        <w:tc>
          <w:tcPr>
            <w:tcW w:w="100" w:type="dxa"/>
            <w:vAlign w:val="bottom"/>
            <w:tcBorders>
              <w:top w:val="single" w:sz="8" w:color="auto"/>
            </w:tcBorders>
            <w:shd w:val="clear" w:color="auto" w:fill="DBDBDB"/>
          </w:tcPr>
          <w:p>
            <w:pPr>
              <w:jc w:val="right"/>
              <w:spacing w:after="0" w:line="225"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200" w:type="dxa"/>
            <w:vAlign w:val="bottom"/>
            <w:tcBorders>
              <w:top w:val="single" w:sz="8" w:color="auto"/>
              <w:right w:val="single" w:sz="8" w:color="DBDBDB"/>
            </w:tcBorders>
            <w:shd w:val="clear" w:color="auto" w:fill="DBDBDB"/>
          </w:tcPr>
          <w:p>
            <w:pPr>
              <w:jc w:val="right"/>
              <w:spacing w:after="0" w:line="225" w:lineRule="exact"/>
              <w:rPr>
                <w:sz w:val="20"/>
                <w:szCs w:val="20"/>
                <w:color w:val="auto"/>
              </w:rPr>
            </w:pPr>
            <w:r>
              <w:rPr>
                <w:rFonts w:ascii="Times New Roman" w:cs="Times New Roman" w:eastAsia="Times New Roman" w:hAnsi="Times New Roman"/>
                <w:sz w:val="20"/>
                <w:szCs w:val="20"/>
                <w:color w:val="auto"/>
              </w:rPr>
              <w:t>87,713</w:t>
            </w:r>
          </w:p>
        </w:tc>
        <w:tc>
          <w:tcPr>
            <w:tcW w:w="180" w:type="dxa"/>
            <w:vAlign w:val="bottom"/>
            <w:tcBorders>
              <w:top w:val="single" w:sz="8" w:color="DBDBDB"/>
              <w:right w:val="single" w:sz="8" w:color="DBDBDB"/>
            </w:tcBorders>
            <w:shd w:val="clear" w:color="auto" w:fill="DBDBDB"/>
          </w:tcPr>
          <w:p>
            <w:pPr>
              <w:spacing w:after="0"/>
              <w:rPr>
                <w:sz w:val="19"/>
                <w:szCs w:val="19"/>
                <w:color w:val="auto"/>
              </w:rPr>
            </w:pPr>
          </w:p>
        </w:tc>
        <w:tc>
          <w:tcPr>
            <w:tcW w:w="1260" w:type="dxa"/>
            <w:vAlign w:val="bottom"/>
            <w:tcBorders>
              <w:top w:val="single" w:sz="8" w:color="auto"/>
            </w:tcBorders>
            <w:shd w:val="clear" w:color="auto" w:fill="DBDBDB"/>
          </w:tcPr>
          <w:p>
            <w:pPr>
              <w:jc w:val="right"/>
              <w:spacing w:after="0" w:line="225" w:lineRule="exact"/>
              <w:rPr>
                <w:sz w:val="20"/>
                <w:szCs w:val="20"/>
                <w:color w:val="auto"/>
              </w:rPr>
            </w:pPr>
            <w:r>
              <w:rPr>
                <w:rFonts w:ascii="Times New Roman" w:cs="Times New Roman" w:eastAsia="Times New Roman" w:hAnsi="Times New Roman"/>
                <w:sz w:val="20"/>
                <w:szCs w:val="20"/>
                <w:color w:val="auto"/>
              </w:rPr>
              <w:t>35.2%</w:t>
            </w:r>
          </w:p>
        </w:tc>
        <w:tc>
          <w:tcPr>
            <w:tcW w:w="280" w:type="dxa"/>
            <w:vAlign w:val="bottom"/>
            <w:tcBorders>
              <w:top w:val="single" w:sz="8" w:color="DBDBDB"/>
              <w:right w:val="single" w:sz="8" w:color="DBDBDB"/>
            </w:tcBorders>
            <w:shd w:val="clear" w:color="auto" w:fill="DBDBDB"/>
          </w:tcPr>
          <w:p>
            <w:pPr>
              <w:spacing w:after="0"/>
              <w:rPr>
                <w:sz w:val="19"/>
                <w:szCs w:val="19"/>
                <w:color w:val="auto"/>
              </w:rPr>
            </w:pPr>
          </w:p>
        </w:tc>
        <w:tc>
          <w:tcPr>
            <w:tcW w:w="120" w:type="dxa"/>
            <w:vAlign w:val="bottom"/>
            <w:tcBorders>
              <w:top w:val="single" w:sz="8" w:color="auto"/>
            </w:tcBorders>
            <w:shd w:val="clear" w:color="auto" w:fill="DBDBDB"/>
          </w:tcPr>
          <w:p>
            <w:pPr>
              <w:jc w:val="right"/>
              <w:spacing w:after="0" w:line="225"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180" w:type="dxa"/>
            <w:vAlign w:val="bottom"/>
            <w:tcBorders>
              <w:top w:val="single" w:sz="8" w:color="auto"/>
            </w:tcBorders>
            <w:shd w:val="clear" w:color="auto" w:fill="DBDBDB"/>
          </w:tcPr>
          <w:p>
            <w:pPr>
              <w:jc w:val="right"/>
              <w:spacing w:after="0" w:line="225" w:lineRule="exact"/>
              <w:rPr>
                <w:sz w:val="20"/>
                <w:szCs w:val="20"/>
                <w:color w:val="auto"/>
              </w:rPr>
            </w:pPr>
            <w:r>
              <w:rPr>
                <w:rFonts w:ascii="Times New Roman" w:cs="Times New Roman" w:eastAsia="Times New Roman" w:hAnsi="Times New Roman"/>
                <w:sz w:val="20"/>
                <w:szCs w:val="20"/>
                <w:color w:val="auto"/>
              </w:rPr>
              <w:t>157,411</w:t>
            </w:r>
          </w:p>
        </w:tc>
        <w:tc>
          <w:tcPr>
            <w:tcW w:w="180" w:type="dxa"/>
            <w:vAlign w:val="bottom"/>
            <w:tcBorders>
              <w:top w:val="single" w:sz="8" w:color="DBDBDB"/>
              <w:right w:val="single" w:sz="8" w:color="DBDBDB"/>
            </w:tcBorders>
            <w:shd w:val="clear" w:color="auto" w:fill="DBDBDB"/>
          </w:tcPr>
          <w:p>
            <w:pPr>
              <w:spacing w:after="0"/>
              <w:rPr>
                <w:sz w:val="19"/>
                <w:szCs w:val="19"/>
                <w:color w:val="auto"/>
              </w:rPr>
            </w:pPr>
          </w:p>
        </w:tc>
        <w:tc>
          <w:tcPr>
            <w:tcW w:w="360" w:type="dxa"/>
            <w:vAlign w:val="bottom"/>
            <w:tcBorders>
              <w:top w:val="single" w:sz="8" w:color="auto"/>
            </w:tcBorders>
            <w:shd w:val="clear" w:color="auto" w:fill="DBDBDB"/>
          </w:tcPr>
          <w:p>
            <w:pPr>
              <w:spacing w:after="0"/>
              <w:rPr>
                <w:sz w:val="19"/>
                <w:szCs w:val="19"/>
                <w:color w:val="auto"/>
              </w:rPr>
            </w:pPr>
          </w:p>
        </w:tc>
        <w:tc>
          <w:tcPr>
            <w:tcW w:w="900" w:type="dxa"/>
            <w:vAlign w:val="bottom"/>
            <w:tcBorders>
              <w:top w:val="single" w:sz="8" w:color="auto"/>
            </w:tcBorders>
            <w:shd w:val="clear" w:color="auto" w:fill="DBDBDB"/>
          </w:tcPr>
          <w:p>
            <w:pPr>
              <w:jc w:val="right"/>
              <w:spacing w:after="0" w:line="225" w:lineRule="exact"/>
              <w:rPr>
                <w:sz w:val="20"/>
                <w:szCs w:val="20"/>
                <w:color w:val="auto"/>
              </w:rPr>
            </w:pPr>
            <w:r>
              <w:rPr>
                <w:rFonts w:ascii="Times New Roman" w:cs="Times New Roman" w:eastAsia="Times New Roman" w:hAnsi="Times New Roman"/>
                <w:sz w:val="20"/>
                <w:szCs w:val="20"/>
                <w:color w:val="auto"/>
              </w:rPr>
              <w:t>179.5%</w:t>
            </w:r>
          </w:p>
        </w:tc>
      </w:tr>
      <w:tr>
        <w:trPr>
          <w:trHeight w:val="235"/>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Data Center</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195,651</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42.9%</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148,525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59.6%</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47,126</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31.7%</w:t>
            </w:r>
          </w:p>
        </w:tc>
      </w:tr>
      <w:tr>
        <w:trPr>
          <w:trHeight w:val="235"/>
        </w:trPr>
        <w:tc>
          <w:tcPr>
            <w:tcW w:w="1720" w:type="dxa"/>
            <w:vAlign w:val="bottom"/>
            <w:shd w:val="clear" w:color="auto" w:fill="DBDBDB"/>
          </w:tcPr>
          <w:p>
            <w:pPr>
              <w:ind w:left="20"/>
              <w:spacing w:after="0"/>
              <w:rPr>
                <w:sz w:val="20"/>
                <w:szCs w:val="20"/>
                <w:color w:val="auto"/>
              </w:rPr>
            </w:pPr>
            <w:r>
              <w:rPr>
                <w:rFonts w:ascii="Times New Roman" w:cs="Times New Roman" w:eastAsia="Times New Roman" w:hAnsi="Times New Roman"/>
                <w:sz w:val="20"/>
                <w:szCs w:val="20"/>
                <w:color w:val="auto"/>
              </w:rPr>
              <w:t>Telecom</w:t>
            </w:r>
          </w:p>
        </w:tc>
        <w:tc>
          <w:tcPr>
            <w:tcW w:w="100" w:type="dxa"/>
            <w:vAlign w:val="bottom"/>
            <w:tcBorders>
              <w:right w:val="single" w:sz="8" w:color="DBDBDB"/>
            </w:tcBorders>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1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13,729</w:t>
            </w:r>
          </w:p>
        </w:tc>
        <w:tc>
          <w:tcPr>
            <w:tcW w:w="180" w:type="dxa"/>
            <w:vAlign w:val="bottom"/>
            <w:tcBorders>
              <w:right w:val="single" w:sz="8" w:color="DBDBDB"/>
            </w:tcBorders>
            <w:shd w:val="clear" w:color="auto" w:fill="DBDBDB"/>
          </w:tcPr>
          <w:p>
            <w:pPr>
              <w:spacing w:after="0"/>
              <w:rPr>
                <w:sz w:val="20"/>
                <w:szCs w:val="20"/>
                <w:color w:val="auto"/>
              </w:rPr>
            </w:pPr>
          </w:p>
        </w:tc>
        <w:tc>
          <w:tcPr>
            <w:tcW w:w="12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300" w:type="dxa"/>
            <w:vAlign w:val="bottom"/>
            <w:tcBorders>
              <w:right w:val="single" w:sz="8" w:color="DBDBDB"/>
            </w:tcBorders>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200" w:type="dxa"/>
            <w:vAlign w:val="bottom"/>
            <w:tcBorders>
              <w:right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10,980</w:t>
            </w:r>
          </w:p>
        </w:tc>
        <w:tc>
          <w:tcPr>
            <w:tcW w:w="180" w:type="dxa"/>
            <w:vAlign w:val="bottom"/>
            <w:tcBorders>
              <w:right w:val="single" w:sz="8" w:color="DBDBDB"/>
            </w:tcBorders>
            <w:shd w:val="clear" w:color="auto" w:fill="DBDBDB"/>
          </w:tcPr>
          <w:p>
            <w:pPr>
              <w:spacing w:after="0"/>
              <w:rPr>
                <w:sz w:val="20"/>
                <w:szCs w:val="20"/>
                <w:color w:val="auto"/>
              </w:rPr>
            </w:pPr>
          </w:p>
        </w:tc>
        <w:tc>
          <w:tcPr>
            <w:tcW w:w="12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4.4%</w:t>
            </w:r>
          </w:p>
        </w:tc>
        <w:tc>
          <w:tcPr>
            <w:tcW w:w="280" w:type="dxa"/>
            <w:vAlign w:val="bottom"/>
            <w:tcBorders>
              <w:right w:val="single" w:sz="8" w:color="DBDBDB"/>
            </w:tcBorders>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1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2,749</w:t>
            </w:r>
          </w:p>
        </w:tc>
        <w:tc>
          <w:tcPr>
            <w:tcW w:w="180" w:type="dxa"/>
            <w:vAlign w:val="bottom"/>
            <w:tcBorders>
              <w:right w:val="single" w:sz="8" w:color="DBDBDB"/>
            </w:tcBorders>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9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25.0%</w:t>
            </w:r>
          </w:p>
        </w:tc>
      </w:tr>
      <w:tr>
        <w:trPr>
          <w:trHeight w:val="238"/>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FTTH and other</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1,211</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0.3%</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2,147</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0.9%</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(936)</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(43.6)%</w:t>
            </w:r>
          </w:p>
        </w:tc>
      </w:tr>
      <w:tr>
        <w:trPr>
          <w:trHeight w:val="263"/>
        </w:trPr>
        <w:tc>
          <w:tcPr>
            <w:tcW w:w="1720" w:type="dxa"/>
            <w:vAlign w:val="bottom"/>
            <w:tcBorders>
              <w:top w:val="single" w:sz="8" w:color="DBDBDB"/>
              <w:bottom w:val="single" w:sz="8" w:color="DBDBDB"/>
            </w:tcBorders>
            <w:shd w:val="clear" w:color="auto" w:fill="DBDBDB"/>
          </w:tcPr>
          <w:p>
            <w:pPr>
              <w:ind w:left="20"/>
              <w:spacing w:after="0" w:line="220" w:lineRule="exact"/>
              <w:rPr>
                <w:sz w:val="20"/>
                <w:szCs w:val="20"/>
                <w:color w:val="auto"/>
              </w:rPr>
            </w:pPr>
            <w:r>
              <w:rPr>
                <w:rFonts w:ascii="Times New Roman" w:cs="Times New Roman" w:eastAsia="Times New Roman" w:hAnsi="Times New Roman"/>
                <w:sz w:val="20"/>
                <w:szCs w:val="20"/>
                <w:color w:val="auto"/>
              </w:rPr>
              <w:t>Total Revenue</w:t>
            </w:r>
          </w:p>
        </w:tc>
        <w:tc>
          <w:tcPr>
            <w:tcW w:w="100" w:type="dxa"/>
            <w:vAlign w:val="bottom"/>
            <w:tcBorders>
              <w:top w:val="single" w:sz="8" w:color="DBDBDB"/>
              <w:bottom w:val="single" w:sz="8" w:color="DBDBDB"/>
              <w:right w:val="single" w:sz="8" w:color="DBDBDB"/>
            </w:tcBorders>
            <w:shd w:val="clear" w:color="auto" w:fill="DBDBDB"/>
          </w:tcPr>
          <w:p>
            <w:pPr>
              <w:spacing w:after="0"/>
              <w:rPr>
                <w:sz w:val="22"/>
                <w:szCs w:val="22"/>
                <w:color w:val="auto"/>
              </w:rPr>
            </w:pPr>
          </w:p>
        </w:tc>
        <w:tc>
          <w:tcPr>
            <w:tcW w:w="100" w:type="dxa"/>
            <w:vAlign w:val="bottom"/>
            <w:tcBorders>
              <w:top w:val="single" w:sz="8" w:color="auto"/>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7"/>
                <w:szCs w:val="17"/>
                <w:color w:val="auto"/>
                <w:highlight w:val="lightGray"/>
                <w:w w:val="70"/>
              </w:rPr>
              <w:t>$</w:t>
            </w:r>
          </w:p>
        </w:tc>
        <w:tc>
          <w:tcPr>
            <w:tcW w:w="1180" w:type="dxa"/>
            <w:vAlign w:val="bottom"/>
            <w:tcBorders>
              <w:top w:val="single" w:sz="8" w:color="auto"/>
              <w:bottom w:val="single" w:sz="8" w:color="DBDBDB"/>
            </w:tcBorders>
            <w:shd w:val="clear" w:color="auto" w:fill="DBDBDB"/>
          </w:tcPr>
          <w:p>
            <w:pPr>
              <w:jc w:val="right"/>
              <w:spacing w:after="0" w:line="226" w:lineRule="exact"/>
              <w:rPr>
                <w:sz w:val="20"/>
                <w:szCs w:val="20"/>
                <w:color w:val="auto"/>
              </w:rPr>
            </w:pPr>
            <w:r>
              <w:rPr>
                <w:rFonts w:ascii="Times New Roman" w:cs="Times New Roman" w:eastAsia="Times New Roman" w:hAnsi="Times New Roman"/>
                <w:sz w:val="20"/>
                <w:szCs w:val="20"/>
                <w:color w:val="auto"/>
              </w:rPr>
              <w:t>455,715</w:t>
            </w:r>
          </w:p>
        </w:tc>
        <w:tc>
          <w:tcPr>
            <w:tcW w:w="180" w:type="dxa"/>
            <w:vAlign w:val="bottom"/>
            <w:tcBorders>
              <w:top w:val="single" w:sz="8" w:color="DBDBDB"/>
              <w:bottom w:val="single" w:sz="8" w:color="DBDBDB"/>
              <w:right w:val="single" w:sz="8" w:color="DBDBDB"/>
            </w:tcBorders>
            <w:shd w:val="clear" w:color="auto" w:fill="DBDBDB"/>
          </w:tcPr>
          <w:p>
            <w:pPr>
              <w:spacing w:after="0"/>
              <w:rPr>
                <w:sz w:val="22"/>
                <w:szCs w:val="22"/>
                <w:color w:val="auto"/>
              </w:rPr>
            </w:pPr>
          </w:p>
        </w:tc>
        <w:tc>
          <w:tcPr>
            <w:tcW w:w="1260" w:type="dxa"/>
            <w:vAlign w:val="bottom"/>
            <w:tcBorders>
              <w:top w:val="single" w:sz="8" w:color="auto"/>
              <w:bottom w:val="single" w:sz="8" w:color="auto"/>
            </w:tcBorders>
            <w:shd w:val="clear" w:color="auto" w:fill="DBDBDB"/>
          </w:tcPr>
          <w:p>
            <w:pPr>
              <w:jc w:val="right"/>
              <w:spacing w:after="0" w:line="226" w:lineRule="exact"/>
              <w:rPr>
                <w:sz w:val="20"/>
                <w:szCs w:val="20"/>
                <w:color w:val="auto"/>
              </w:rPr>
            </w:pPr>
            <w:r>
              <w:rPr>
                <w:rFonts w:ascii="Times New Roman" w:cs="Times New Roman" w:eastAsia="Times New Roman" w:hAnsi="Times New Roman"/>
                <w:sz w:val="20"/>
                <w:szCs w:val="20"/>
                <w:color w:val="auto"/>
              </w:rPr>
              <w:t>100.0%</w:t>
            </w:r>
          </w:p>
        </w:tc>
        <w:tc>
          <w:tcPr>
            <w:tcW w:w="300" w:type="dxa"/>
            <w:vAlign w:val="bottom"/>
            <w:tcBorders>
              <w:top w:val="single" w:sz="8" w:color="DBDBDB"/>
              <w:bottom w:val="single" w:sz="8" w:color="DBDBDB"/>
              <w:right w:val="single" w:sz="8" w:color="DBDBDB"/>
            </w:tcBorders>
            <w:shd w:val="clear" w:color="auto" w:fill="DBDBDB"/>
          </w:tcPr>
          <w:p>
            <w:pPr>
              <w:spacing w:after="0"/>
              <w:rPr>
                <w:sz w:val="22"/>
                <w:szCs w:val="22"/>
                <w:color w:val="auto"/>
              </w:rPr>
            </w:pPr>
          </w:p>
        </w:tc>
        <w:tc>
          <w:tcPr>
            <w:tcW w:w="100" w:type="dxa"/>
            <w:vAlign w:val="bottom"/>
            <w:tcBorders>
              <w:top w:val="single" w:sz="8" w:color="auto"/>
              <w:bottom w:val="single" w:sz="8" w:color="auto"/>
            </w:tcBorders>
            <w:shd w:val="clear" w:color="auto" w:fill="DBDBDB"/>
          </w:tcPr>
          <w:p>
            <w:pPr>
              <w:jc w:val="right"/>
              <w:spacing w:after="0" w:line="226"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200" w:type="dxa"/>
            <w:vAlign w:val="bottom"/>
            <w:tcBorders>
              <w:top w:val="single" w:sz="8" w:color="auto"/>
              <w:bottom w:val="single" w:sz="8" w:color="auto"/>
              <w:right w:val="single" w:sz="8" w:color="DBDBDB"/>
            </w:tcBorders>
            <w:shd w:val="clear" w:color="auto" w:fill="DBDBDB"/>
          </w:tcPr>
          <w:p>
            <w:pPr>
              <w:jc w:val="right"/>
              <w:spacing w:after="0" w:line="226" w:lineRule="exact"/>
              <w:rPr>
                <w:sz w:val="20"/>
                <w:szCs w:val="20"/>
                <w:color w:val="auto"/>
              </w:rPr>
            </w:pPr>
            <w:r>
              <w:rPr>
                <w:rFonts w:ascii="Times New Roman" w:cs="Times New Roman" w:eastAsia="Times New Roman" w:hAnsi="Times New Roman"/>
                <w:sz w:val="20"/>
                <w:szCs w:val="20"/>
                <w:color w:val="auto"/>
              </w:rPr>
              <w:t>249,365</w:t>
            </w:r>
          </w:p>
        </w:tc>
        <w:tc>
          <w:tcPr>
            <w:tcW w:w="180" w:type="dxa"/>
            <w:vAlign w:val="bottom"/>
            <w:tcBorders>
              <w:top w:val="single" w:sz="8" w:color="DBDBDB"/>
              <w:bottom w:val="single" w:sz="8" w:color="DBDBDB"/>
              <w:right w:val="single" w:sz="8" w:color="DBDBDB"/>
            </w:tcBorders>
            <w:shd w:val="clear" w:color="auto" w:fill="DBDBDB"/>
          </w:tcPr>
          <w:p>
            <w:pPr>
              <w:spacing w:after="0"/>
              <w:rPr>
                <w:sz w:val="22"/>
                <w:szCs w:val="22"/>
                <w:color w:val="auto"/>
              </w:rPr>
            </w:pPr>
          </w:p>
        </w:tc>
        <w:tc>
          <w:tcPr>
            <w:tcW w:w="1260" w:type="dxa"/>
            <w:vAlign w:val="bottom"/>
            <w:tcBorders>
              <w:top w:val="single" w:sz="8" w:color="auto"/>
              <w:bottom w:val="single" w:sz="8" w:color="auto"/>
            </w:tcBorders>
            <w:shd w:val="clear" w:color="auto" w:fill="DBDBDB"/>
          </w:tcPr>
          <w:p>
            <w:pPr>
              <w:jc w:val="right"/>
              <w:spacing w:after="0" w:line="226" w:lineRule="exact"/>
              <w:rPr>
                <w:sz w:val="20"/>
                <w:szCs w:val="20"/>
                <w:color w:val="auto"/>
              </w:rPr>
            </w:pPr>
            <w:r>
              <w:rPr>
                <w:rFonts w:ascii="Times New Roman" w:cs="Times New Roman" w:eastAsia="Times New Roman" w:hAnsi="Times New Roman"/>
                <w:sz w:val="20"/>
                <w:szCs w:val="20"/>
                <w:color w:val="auto"/>
              </w:rPr>
              <w:t>100.0%</w:t>
            </w:r>
          </w:p>
        </w:tc>
        <w:tc>
          <w:tcPr>
            <w:tcW w:w="280" w:type="dxa"/>
            <w:vAlign w:val="bottom"/>
            <w:tcBorders>
              <w:top w:val="single" w:sz="8" w:color="DBDBDB"/>
              <w:bottom w:val="single" w:sz="8" w:color="DBDBDB"/>
              <w:right w:val="single" w:sz="8" w:color="DBDBDB"/>
            </w:tcBorders>
            <w:shd w:val="clear" w:color="auto" w:fill="DBDBDB"/>
          </w:tcPr>
          <w:p>
            <w:pPr>
              <w:spacing w:after="0"/>
              <w:rPr>
                <w:sz w:val="22"/>
                <w:szCs w:val="22"/>
                <w:color w:val="auto"/>
              </w:rPr>
            </w:pPr>
          </w:p>
        </w:tc>
        <w:tc>
          <w:tcPr>
            <w:tcW w:w="120" w:type="dxa"/>
            <w:vAlign w:val="bottom"/>
            <w:tcBorders>
              <w:top w:val="single" w:sz="8" w:color="auto"/>
              <w:bottom w:val="single" w:sz="8" w:color="auto"/>
            </w:tcBorders>
            <w:shd w:val="clear" w:color="auto" w:fill="DBDBDB"/>
          </w:tcPr>
          <w:p>
            <w:pPr>
              <w:jc w:val="right"/>
              <w:spacing w:after="0" w:line="226"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180" w:type="dxa"/>
            <w:vAlign w:val="bottom"/>
            <w:tcBorders>
              <w:top w:val="single" w:sz="8" w:color="auto"/>
              <w:bottom w:val="single" w:sz="8" w:color="auto"/>
            </w:tcBorders>
            <w:shd w:val="clear" w:color="auto" w:fill="DBDBDB"/>
          </w:tcPr>
          <w:p>
            <w:pPr>
              <w:jc w:val="right"/>
              <w:spacing w:after="0" w:line="226" w:lineRule="exact"/>
              <w:rPr>
                <w:sz w:val="20"/>
                <w:szCs w:val="20"/>
                <w:color w:val="auto"/>
              </w:rPr>
            </w:pPr>
            <w:r>
              <w:rPr>
                <w:rFonts w:ascii="Times New Roman" w:cs="Times New Roman" w:eastAsia="Times New Roman" w:hAnsi="Times New Roman"/>
                <w:sz w:val="20"/>
                <w:szCs w:val="20"/>
                <w:color w:val="auto"/>
              </w:rPr>
              <w:t>206,350</w:t>
            </w:r>
          </w:p>
        </w:tc>
        <w:tc>
          <w:tcPr>
            <w:tcW w:w="180" w:type="dxa"/>
            <w:vAlign w:val="bottom"/>
            <w:tcBorders>
              <w:top w:val="single" w:sz="8" w:color="DBDBDB"/>
              <w:bottom w:val="single" w:sz="8" w:color="DBDBDB"/>
              <w:right w:val="single" w:sz="8" w:color="DBDBDB"/>
            </w:tcBorders>
            <w:shd w:val="clear" w:color="auto" w:fill="DBDBDB"/>
          </w:tcPr>
          <w:p>
            <w:pPr>
              <w:spacing w:after="0"/>
              <w:rPr>
                <w:sz w:val="22"/>
                <w:szCs w:val="22"/>
                <w:color w:val="auto"/>
              </w:rPr>
            </w:pPr>
          </w:p>
        </w:tc>
        <w:tc>
          <w:tcPr>
            <w:tcW w:w="360" w:type="dxa"/>
            <w:vAlign w:val="bottom"/>
            <w:tcBorders>
              <w:top w:val="single" w:sz="8" w:color="auto"/>
              <w:bottom w:val="single" w:sz="8" w:color="auto"/>
            </w:tcBorders>
            <w:shd w:val="clear" w:color="auto" w:fill="DBDBDB"/>
          </w:tcPr>
          <w:p>
            <w:pPr>
              <w:spacing w:after="0"/>
              <w:rPr>
                <w:sz w:val="22"/>
                <w:szCs w:val="22"/>
                <w:color w:val="auto"/>
              </w:rPr>
            </w:pPr>
          </w:p>
        </w:tc>
        <w:tc>
          <w:tcPr>
            <w:tcW w:w="900" w:type="dxa"/>
            <w:vAlign w:val="bottom"/>
            <w:tcBorders>
              <w:top w:val="single" w:sz="8" w:color="auto"/>
              <w:bottom w:val="single" w:sz="8" w:color="auto"/>
            </w:tcBorders>
            <w:shd w:val="clear" w:color="auto" w:fill="DBDBDB"/>
          </w:tcPr>
          <w:p>
            <w:pPr>
              <w:jc w:val="right"/>
              <w:spacing w:after="0" w:line="226" w:lineRule="exact"/>
              <w:rPr>
                <w:sz w:val="20"/>
                <w:szCs w:val="20"/>
                <w:color w:val="auto"/>
              </w:rPr>
            </w:pPr>
            <w:r>
              <w:rPr>
                <w:rFonts w:ascii="Times New Roman" w:cs="Times New Roman" w:eastAsia="Times New Roman" w:hAnsi="Times New Roman"/>
                <w:sz w:val="20"/>
                <w:szCs w:val="20"/>
                <w:color w:val="auto"/>
              </w:rPr>
              <w:t>82.8%</w:t>
            </w:r>
          </w:p>
        </w:tc>
      </w:tr>
      <w:tr>
        <w:trPr>
          <w:trHeight w:val="20"/>
        </w:trPr>
        <w:tc>
          <w:tcPr>
            <w:tcW w:w="172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right w:val="single" w:sz="8" w:color="auto"/>
            </w:tcBorders>
          </w:tcPr>
          <w:p>
            <w:pPr>
              <w:spacing w:after="0" w:line="20" w:lineRule="exact"/>
              <w:rPr>
                <w:sz w:val="1"/>
                <w:szCs w:val="1"/>
                <w:color w:val="auto"/>
              </w:rPr>
            </w:pPr>
          </w:p>
        </w:tc>
        <w:tc>
          <w:tcPr>
            <w:tcW w:w="100" w:type="dxa"/>
            <w:vAlign w:val="bottom"/>
            <w:tcBorders>
              <w:top w:val="single" w:sz="8" w:color="DBDBDB"/>
            </w:tcBorders>
            <w:shd w:val="clear" w:color="auto" w:fill="000000"/>
          </w:tcPr>
          <w:p>
            <w:pPr>
              <w:spacing w:after="0" w:line="20" w:lineRule="exact"/>
              <w:rPr>
                <w:sz w:val="1"/>
                <w:szCs w:val="1"/>
                <w:color w:val="auto"/>
              </w:rPr>
            </w:pPr>
          </w:p>
        </w:tc>
        <w:tc>
          <w:tcPr>
            <w:tcW w:w="1180" w:type="dxa"/>
            <w:vAlign w:val="bottom"/>
            <w:tcBorders>
              <w:top w:val="single" w:sz="8" w:color="DBDBDB"/>
            </w:tcBorders>
            <w:shd w:val="clear" w:color="auto" w:fill="000000"/>
          </w:tcPr>
          <w:p>
            <w:pPr>
              <w:spacing w:after="0" w:line="20" w:lineRule="exact"/>
              <w:rPr>
                <w:sz w:val="1"/>
                <w:szCs w:val="1"/>
                <w:color w:val="auto"/>
              </w:rPr>
            </w:pPr>
          </w:p>
        </w:tc>
        <w:tc>
          <w:tcPr>
            <w:tcW w:w="180" w:type="dxa"/>
            <w:vAlign w:val="bottom"/>
            <w:tcBorders>
              <w:top w:val="single" w:sz="8" w:color="DBDBDB"/>
              <w:right w:val="single" w:sz="8" w:color="auto"/>
            </w:tcBorders>
          </w:tcPr>
          <w:p>
            <w:pPr>
              <w:spacing w:after="0" w:line="20" w:lineRule="exact"/>
              <w:rPr>
                <w:sz w:val="1"/>
                <w:szCs w:val="1"/>
                <w:color w:val="auto"/>
              </w:rPr>
            </w:pPr>
          </w:p>
        </w:tc>
        <w:tc>
          <w:tcPr>
            <w:tcW w:w="1260" w:type="dxa"/>
            <w:vAlign w:val="bottom"/>
            <w:tcBorders>
              <w:top w:val="single" w:sz="8" w:color="DBDBDB"/>
            </w:tcBorders>
            <w:shd w:val="clear" w:color="auto" w:fill="000000"/>
          </w:tcPr>
          <w:p>
            <w:pPr>
              <w:spacing w:after="0" w:line="20" w:lineRule="exact"/>
              <w:rPr>
                <w:sz w:val="1"/>
                <w:szCs w:val="1"/>
                <w:color w:val="auto"/>
              </w:rPr>
            </w:pPr>
          </w:p>
        </w:tc>
        <w:tc>
          <w:tcPr>
            <w:tcW w:w="300" w:type="dxa"/>
            <w:vAlign w:val="bottom"/>
            <w:tcBorders>
              <w:top w:val="single" w:sz="8" w:color="DBDBDB"/>
              <w:right w:val="single" w:sz="8" w:color="auto"/>
            </w:tcBorders>
          </w:tcPr>
          <w:p>
            <w:pPr>
              <w:spacing w:after="0" w:line="20" w:lineRule="exact"/>
              <w:rPr>
                <w:sz w:val="1"/>
                <w:szCs w:val="1"/>
                <w:color w:val="auto"/>
              </w:rPr>
            </w:pPr>
          </w:p>
        </w:tc>
        <w:tc>
          <w:tcPr>
            <w:tcW w:w="100" w:type="dxa"/>
            <w:vAlign w:val="bottom"/>
            <w:tcBorders>
              <w:top w:val="single" w:sz="8" w:color="DBDBDB"/>
            </w:tcBorders>
            <w:shd w:val="clear" w:color="auto" w:fill="000000"/>
          </w:tcPr>
          <w:p>
            <w:pPr>
              <w:spacing w:after="0" w:line="20" w:lineRule="exact"/>
              <w:rPr>
                <w:sz w:val="1"/>
                <w:szCs w:val="1"/>
                <w:color w:val="auto"/>
              </w:rPr>
            </w:pPr>
          </w:p>
        </w:tc>
        <w:tc>
          <w:tcPr>
            <w:tcW w:w="1200" w:type="dxa"/>
            <w:vAlign w:val="bottom"/>
            <w:tcBorders>
              <w:top w:val="single" w:sz="8" w:color="DBDBDB"/>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DBDBDB"/>
              <w:right w:val="single" w:sz="8" w:color="auto"/>
            </w:tcBorders>
          </w:tcPr>
          <w:p>
            <w:pPr>
              <w:spacing w:after="0" w:line="20" w:lineRule="exact"/>
              <w:rPr>
                <w:sz w:val="1"/>
                <w:szCs w:val="1"/>
                <w:color w:val="auto"/>
              </w:rPr>
            </w:pPr>
          </w:p>
        </w:tc>
        <w:tc>
          <w:tcPr>
            <w:tcW w:w="1260" w:type="dxa"/>
            <w:vAlign w:val="bottom"/>
            <w:tcBorders>
              <w:top w:val="single" w:sz="8" w:color="DBDBDB"/>
            </w:tcBorders>
            <w:shd w:val="clear" w:color="auto" w:fill="000000"/>
          </w:tcPr>
          <w:p>
            <w:pPr>
              <w:spacing w:after="0" w:line="20" w:lineRule="exact"/>
              <w:rPr>
                <w:sz w:val="1"/>
                <w:szCs w:val="1"/>
                <w:color w:val="auto"/>
              </w:rPr>
            </w:pPr>
          </w:p>
        </w:tc>
        <w:tc>
          <w:tcPr>
            <w:tcW w:w="280" w:type="dxa"/>
            <w:vAlign w:val="bottom"/>
            <w:tcBorders>
              <w:top w:val="single" w:sz="8" w:color="DBDBDB"/>
              <w:right w:val="single" w:sz="8" w:color="auto"/>
            </w:tcBorders>
          </w:tcPr>
          <w:p>
            <w:pPr>
              <w:spacing w:after="0" w:line="20" w:lineRule="exact"/>
              <w:rPr>
                <w:sz w:val="1"/>
                <w:szCs w:val="1"/>
                <w:color w:val="auto"/>
              </w:rPr>
            </w:pPr>
          </w:p>
        </w:tc>
        <w:tc>
          <w:tcPr>
            <w:tcW w:w="120" w:type="dxa"/>
            <w:vAlign w:val="bottom"/>
            <w:tcBorders>
              <w:top w:val="single" w:sz="8" w:color="DBDBDB"/>
            </w:tcBorders>
            <w:shd w:val="clear" w:color="auto" w:fill="000000"/>
          </w:tcPr>
          <w:p>
            <w:pPr>
              <w:spacing w:after="0" w:line="20" w:lineRule="exact"/>
              <w:rPr>
                <w:sz w:val="1"/>
                <w:szCs w:val="1"/>
                <w:color w:val="auto"/>
              </w:rPr>
            </w:pPr>
          </w:p>
        </w:tc>
        <w:tc>
          <w:tcPr>
            <w:tcW w:w="1180" w:type="dxa"/>
            <w:vAlign w:val="bottom"/>
            <w:tcBorders>
              <w:top w:val="single" w:sz="8" w:color="DBDBDB"/>
            </w:tcBorders>
            <w:shd w:val="clear" w:color="auto" w:fill="000000"/>
          </w:tcPr>
          <w:p>
            <w:pPr>
              <w:spacing w:after="0" w:line="20" w:lineRule="exact"/>
              <w:rPr>
                <w:sz w:val="1"/>
                <w:szCs w:val="1"/>
                <w:color w:val="auto"/>
              </w:rPr>
            </w:pPr>
          </w:p>
        </w:tc>
        <w:tc>
          <w:tcPr>
            <w:tcW w:w="180" w:type="dxa"/>
            <w:vAlign w:val="bottom"/>
            <w:tcBorders>
              <w:top w:val="single" w:sz="8" w:color="DBDBDB"/>
              <w:right w:val="single" w:sz="8" w:color="auto"/>
            </w:tcBorders>
          </w:tcPr>
          <w:p>
            <w:pPr>
              <w:spacing w:after="0" w:line="20" w:lineRule="exact"/>
              <w:rPr>
                <w:sz w:val="1"/>
                <w:szCs w:val="1"/>
                <w:color w:val="auto"/>
              </w:rPr>
            </w:pPr>
          </w:p>
        </w:tc>
        <w:tc>
          <w:tcPr>
            <w:tcW w:w="360" w:type="dxa"/>
            <w:vAlign w:val="bottom"/>
            <w:tcBorders>
              <w:top w:val="single" w:sz="8" w:color="DBDBDB"/>
            </w:tcBorders>
            <w:shd w:val="clear" w:color="auto" w:fill="000000"/>
          </w:tcPr>
          <w:p>
            <w:pPr>
              <w:spacing w:after="0" w:line="20" w:lineRule="exact"/>
              <w:rPr>
                <w:sz w:val="1"/>
                <w:szCs w:val="1"/>
                <w:color w:val="auto"/>
              </w:rPr>
            </w:pPr>
          </w:p>
        </w:tc>
        <w:tc>
          <w:tcPr>
            <w:tcW w:w="900" w:type="dxa"/>
            <w:vAlign w:val="bottom"/>
            <w:tcBorders>
              <w:top w:val="single" w:sz="8" w:color="DBDBDB"/>
            </w:tcBorders>
            <w:shd w:val="clear" w:color="auto" w:fill="000000"/>
          </w:tcPr>
          <w:p>
            <w:pPr>
              <w:spacing w:after="0" w:line="20" w:lineRule="exact"/>
              <w:rPr>
                <w:sz w:val="1"/>
                <w:szCs w:val="1"/>
                <w:color w:val="auto"/>
              </w:rPr>
            </w:pPr>
          </w:p>
        </w:tc>
      </w:tr>
    </w:tbl>
    <w:p>
      <w:pPr>
        <w:spacing w:after="0" w:line="206" w:lineRule="exact"/>
        <w:rPr>
          <w:sz w:val="20"/>
          <w:szCs w:val="20"/>
          <w:color w:val="auto"/>
        </w:rPr>
      </w:pPr>
    </w:p>
    <w:p>
      <w:pPr>
        <w:jc w:val="both"/>
        <w:ind w:firstLine="706"/>
        <w:spacing w:after="0" w:line="241" w:lineRule="auto"/>
        <w:rPr>
          <w:sz w:val="20"/>
          <w:szCs w:val="20"/>
          <w:color w:val="auto"/>
        </w:rPr>
      </w:pPr>
      <w:r>
        <w:rPr>
          <w:rFonts w:ascii="Times New Roman" w:cs="Times New Roman" w:eastAsia="Times New Roman" w:hAnsi="Times New Roman"/>
          <w:sz w:val="20"/>
          <w:szCs w:val="20"/>
          <w:color w:val="auto"/>
        </w:rPr>
        <w:t>Revenue increased by $206.4 million, or 82.8%, from 2024 to 2025. The increase was driven primarily by increased demand in the CATV market, which we believe is due to large scale deployments of our DOCSIS 4.0 products in 2025, and increased demand for our internet data center products, arising from demand for products necessary for new data center construction along with data center upgrades to enable new technologies like AI. Based on customer forecasts and order backlog we believe that this elevated data center demand will likely continue into 2026. We also believe that sales in our CATV market will increase in 2026 as a result of further adoption of our DOCSIS 4.0 products, including adoption by new customers.</w:t>
      </w:r>
    </w:p>
    <w:p>
      <w:pPr>
        <w:spacing w:after="0" w:line="190" w:lineRule="exact"/>
        <w:rPr>
          <w:sz w:val="20"/>
          <w:szCs w:val="20"/>
          <w:color w:val="auto"/>
        </w:rPr>
      </w:pPr>
    </w:p>
    <w:p>
      <w:pPr>
        <w:jc w:val="both"/>
        <w:ind w:firstLine="706"/>
        <w:spacing w:after="0" w:line="293" w:lineRule="auto"/>
        <w:rPr>
          <w:sz w:val="20"/>
          <w:szCs w:val="20"/>
          <w:color w:val="auto"/>
        </w:rPr>
      </w:pPr>
      <w:r>
        <w:rPr>
          <w:rFonts w:ascii="Times New Roman" w:cs="Times New Roman" w:eastAsia="Times New Roman" w:hAnsi="Times New Roman"/>
          <w:sz w:val="18"/>
          <w:szCs w:val="18"/>
          <w:color w:val="auto"/>
        </w:rPr>
        <w:t>In the years ended December 31, 2025 and 2024, our top ten customers represented 96.6% and 95.0% of our revenue, respectively. We believe that diversifying our customer base is critical for our future success, since reliance on a small number of key customers makes our ability to forecast future results dependent upon the accuracy of the forecasts we receive from those key customers.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160" w:type="dxa"/>
            <w:vAlign w:val="bottom"/>
            <w:gridSpan w:val="3"/>
          </w:tcPr>
          <w:p>
            <w:pPr>
              <w:spacing w:after="0"/>
              <w:rPr>
                <w:sz w:val="20"/>
                <w:szCs w:val="20"/>
                <w:color w:val="auto"/>
              </w:rPr>
            </w:pPr>
            <w:r>
              <w:rPr>
                <w:rFonts w:ascii="Times New Roman" w:cs="Times New Roman" w:eastAsia="Times New Roman" w:hAnsi="Times New Roman"/>
                <w:sz w:val="20"/>
                <w:szCs w:val="20"/>
                <w:i w:val="1"/>
                <w:iCs w:val="1"/>
                <w:color w:val="auto"/>
              </w:rPr>
              <w:t>Cost of goods sold and gross margin</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 w:type="dxa"/>
            <w:vAlign w:val="bottom"/>
          </w:tcPr>
          <w:p>
            <w:pPr>
              <w:spacing w:after="0"/>
              <w:rPr>
                <w:sz w:val="22"/>
                <w:szCs w:val="22"/>
                <w:color w:val="auto"/>
              </w:rPr>
            </w:pPr>
          </w:p>
        </w:tc>
        <w:tc>
          <w:tcPr>
            <w:tcW w:w="83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8"/>
        </w:trPr>
        <w:tc>
          <w:tcPr>
            <w:tcW w:w="1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8"/>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w w:val="99"/>
              </w:rPr>
              <w:t>Years ended December 31,</w:t>
            </w:r>
          </w:p>
        </w:tc>
        <w:tc>
          <w:tcPr>
            <w:tcW w:w="94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3"/>
            <w:vMerge w:val="restart"/>
          </w:tcPr>
          <w:p>
            <w:pPr>
              <w:ind w:left="720"/>
              <w:spacing w:after="0"/>
              <w:rPr>
                <w:sz w:val="20"/>
                <w:szCs w:val="20"/>
                <w:color w:val="auto"/>
              </w:rPr>
            </w:pPr>
            <w:r>
              <w:rPr>
                <w:rFonts w:ascii="Times New Roman" w:cs="Times New Roman" w:eastAsia="Times New Roman" w:hAnsi="Times New Roman"/>
                <w:sz w:val="20"/>
                <w:szCs w:val="20"/>
                <w:b w:val="1"/>
                <w:bCs w:val="1"/>
                <w:color w:val="auto"/>
              </w:rPr>
              <w:t>Change</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1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30" w:type="dxa"/>
            <w:vAlign w:val="bottom"/>
            <w:gridSpan w:val="4"/>
          </w:tcPr>
          <w:p>
            <w:pPr>
              <w:jc w:val="right"/>
              <w:spacing w:after="0" w:line="227" w:lineRule="exact"/>
              <w:rPr>
                <w:sz w:val="20"/>
                <w:szCs w:val="20"/>
                <w:color w:val="auto"/>
              </w:rPr>
            </w:pPr>
            <w:r>
              <w:rPr>
                <w:rFonts w:ascii="Times New Roman" w:cs="Times New Roman" w:eastAsia="Times New Roman" w:hAnsi="Times New Roman"/>
                <w:sz w:val="20"/>
                <w:szCs w:val="20"/>
                <w:b w:val="1"/>
                <w:bCs w:val="1"/>
                <w:color w:val="auto"/>
              </w:rPr>
              <w:t>2025</w:t>
            </w:r>
          </w:p>
        </w:tc>
        <w:tc>
          <w:tcPr>
            <w:tcW w:w="830" w:type="dxa"/>
            <w:vAlign w:val="bottom"/>
          </w:tcPr>
          <w:p>
            <w:pPr>
              <w:spacing w:after="0"/>
              <w:rPr>
                <w:sz w:val="19"/>
                <w:szCs w:val="19"/>
                <w:color w:val="auto"/>
              </w:rPr>
            </w:pPr>
          </w:p>
        </w:tc>
        <w:tc>
          <w:tcPr>
            <w:tcW w:w="1700" w:type="dxa"/>
            <w:vAlign w:val="bottom"/>
            <w:gridSpan w:val="6"/>
          </w:tcPr>
          <w:p>
            <w:pPr>
              <w:jc w:val="right"/>
              <w:spacing w:after="0" w:line="227" w:lineRule="exact"/>
              <w:rPr>
                <w:sz w:val="20"/>
                <w:szCs w:val="20"/>
                <w:color w:val="auto"/>
              </w:rPr>
            </w:pPr>
            <w:r>
              <w:rPr>
                <w:rFonts w:ascii="Times New Roman" w:cs="Times New Roman" w:eastAsia="Times New Roman" w:hAnsi="Times New Roman"/>
                <w:sz w:val="20"/>
                <w:szCs w:val="20"/>
                <w:b w:val="1"/>
                <w:bCs w:val="1"/>
                <w:color w:val="auto"/>
              </w:rPr>
              <w:t>2024</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3"/>
            <w:vMerge w:val="continue"/>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 w:type="dxa"/>
            <w:vAlign w:val="bottom"/>
            <w:tcBorders>
              <w:top w:val="single" w:sz="8" w:color="auto"/>
            </w:tcBorders>
          </w:tcPr>
          <w:p>
            <w:pPr>
              <w:spacing w:after="0"/>
              <w:rPr>
                <w:sz w:val="18"/>
                <w:szCs w:val="18"/>
                <w:color w:val="auto"/>
              </w:rPr>
            </w:pPr>
          </w:p>
        </w:tc>
        <w:tc>
          <w:tcPr>
            <w:tcW w:w="830" w:type="dxa"/>
            <w:vAlign w:val="bottom"/>
            <w:tcBorders>
              <w:top w:val="single" w:sz="8" w:color="auto"/>
            </w:tcBorders>
          </w:tcPr>
          <w:p>
            <w:pPr>
              <w:ind w:left="210"/>
              <w:spacing w:after="0" w:line="207" w:lineRule="exact"/>
              <w:rPr>
                <w:sz w:val="20"/>
                <w:szCs w:val="20"/>
                <w:color w:val="auto"/>
              </w:rPr>
            </w:pPr>
            <w:r>
              <w:rPr>
                <w:rFonts w:ascii="Times New Roman" w:cs="Times New Roman" w:eastAsia="Times New Roman" w:hAnsi="Times New Roman"/>
                <w:sz w:val="20"/>
                <w:szCs w:val="20"/>
                <w:b w:val="1"/>
                <w:bCs w:val="1"/>
                <w:color w:val="auto"/>
              </w:rPr>
              <w:t>% of</w:t>
            </w:r>
          </w:p>
        </w:tc>
        <w:tc>
          <w:tcPr>
            <w:tcW w:w="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ind w:left="220"/>
              <w:spacing w:after="0" w:line="207" w:lineRule="exact"/>
              <w:rPr>
                <w:sz w:val="20"/>
                <w:szCs w:val="20"/>
                <w:color w:val="auto"/>
              </w:rPr>
            </w:pPr>
            <w:r>
              <w:rPr>
                <w:rFonts w:ascii="Times New Roman" w:cs="Times New Roman" w:eastAsia="Times New Roman" w:hAnsi="Times New Roman"/>
                <w:sz w:val="20"/>
                <w:szCs w:val="20"/>
                <w:b w:val="1"/>
                <w:bCs w:val="1"/>
                <w:color w:val="auto"/>
              </w:rPr>
              <w:t>% of</w:t>
            </w: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120" w:type="dxa"/>
            <w:vAlign w:val="bottom"/>
          </w:tcPr>
          <w:p>
            <w:pPr>
              <w:spacing w:after="0"/>
              <w:rPr>
                <w:sz w:val="23"/>
                <w:szCs w:val="23"/>
                <w:color w:val="auto"/>
              </w:rPr>
            </w:pPr>
          </w:p>
        </w:tc>
        <w:tc>
          <w:tcPr>
            <w:tcW w:w="29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b w:val="1"/>
                <w:bCs w:val="1"/>
                <w:color w:val="auto"/>
              </w:rPr>
              <w:t>Amount</w:t>
            </w:r>
          </w:p>
        </w:tc>
        <w:tc>
          <w:tcPr>
            <w:tcW w:w="200" w:type="dxa"/>
            <w:vAlign w:val="bottom"/>
          </w:tcPr>
          <w:p>
            <w:pPr>
              <w:spacing w:after="0"/>
              <w:rPr>
                <w:sz w:val="23"/>
                <w:szCs w:val="23"/>
                <w:color w:val="auto"/>
              </w:rPr>
            </w:pPr>
          </w:p>
        </w:tc>
        <w:tc>
          <w:tcPr>
            <w:tcW w:w="90" w:type="dxa"/>
            <w:vAlign w:val="bottom"/>
            <w:tcBorders>
              <w:bottom w:val="single" w:sz="8" w:color="auto"/>
            </w:tcBorders>
          </w:tcPr>
          <w:p>
            <w:pPr>
              <w:spacing w:after="0"/>
              <w:rPr>
                <w:sz w:val="23"/>
                <w:szCs w:val="23"/>
                <w:color w:val="auto"/>
              </w:rPr>
            </w:pPr>
          </w:p>
        </w:tc>
        <w:tc>
          <w:tcPr>
            <w:tcW w:w="830" w:type="dxa"/>
            <w:vAlign w:val="bottom"/>
            <w:tcBorders>
              <w:bottom w:val="single" w:sz="8" w:color="auto"/>
            </w:tcBorders>
          </w:tcPr>
          <w:p>
            <w:pPr>
              <w:ind w:left="50"/>
              <w:spacing w:after="0"/>
              <w:rPr>
                <w:sz w:val="20"/>
                <w:szCs w:val="20"/>
                <w:color w:val="auto"/>
              </w:rPr>
            </w:pPr>
            <w:r>
              <w:rPr>
                <w:rFonts w:ascii="Times New Roman" w:cs="Times New Roman" w:eastAsia="Times New Roman" w:hAnsi="Times New Roman"/>
                <w:sz w:val="20"/>
                <w:szCs w:val="20"/>
                <w:b w:val="1"/>
                <w:bCs w:val="1"/>
                <w:color w:val="auto"/>
              </w:rPr>
              <w:t>Revenue</w:t>
            </w:r>
          </w:p>
        </w:tc>
        <w:tc>
          <w:tcPr>
            <w:tcW w:w="100" w:type="dxa"/>
            <w:vAlign w:val="bottom"/>
            <w:tcBorders>
              <w:bottom w:val="single" w:sz="8" w:color="auto"/>
            </w:tcBorders>
          </w:tcPr>
          <w:p>
            <w:pPr>
              <w:spacing w:after="0"/>
              <w:rPr>
                <w:sz w:val="23"/>
                <w:szCs w:val="23"/>
                <w:color w:val="auto"/>
              </w:rPr>
            </w:pPr>
          </w:p>
        </w:tc>
        <w:tc>
          <w:tcPr>
            <w:tcW w:w="2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(in</w:t>
            </w:r>
          </w:p>
        </w:tc>
        <w:tc>
          <w:tcPr>
            <w:tcW w:w="1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b w:val="1"/>
                <w:bCs w:val="1"/>
                <w:color w:val="auto"/>
              </w:rPr>
              <w:t>Amount</w:t>
            </w:r>
          </w:p>
        </w:tc>
        <w:tc>
          <w:tcPr>
            <w:tcW w:w="18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Revenue</w:t>
            </w:r>
          </w:p>
        </w:tc>
        <w:tc>
          <w:tcPr>
            <w:tcW w:w="26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20"/>
                <w:szCs w:val="20"/>
                <w:b w:val="1"/>
                <w:bCs w:val="1"/>
                <w:color w:val="auto"/>
              </w:rPr>
              <w:t>Amount</w:t>
            </w:r>
          </w:p>
        </w:tc>
        <w:tc>
          <w:tcPr>
            <w:tcW w:w="1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20"/>
                <w:szCs w:val="20"/>
                <w:b w:val="1"/>
                <w:bCs w:val="1"/>
                <w:color w:val="auto"/>
              </w:rPr>
              <w:t>%</w:t>
            </w: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07"/>
        </w:trPr>
        <w:tc>
          <w:tcPr>
            <w:tcW w:w="120" w:type="dxa"/>
            <w:vAlign w:val="bottom"/>
          </w:tcPr>
          <w:p>
            <w:pPr>
              <w:spacing w:after="0"/>
              <w:rPr>
                <w:sz w:val="18"/>
                <w:szCs w:val="18"/>
                <w:color w:val="auto"/>
              </w:rPr>
            </w:pPr>
          </w:p>
        </w:tc>
        <w:tc>
          <w:tcPr>
            <w:tcW w:w="2940" w:type="dxa"/>
            <w:vAlign w:val="bottom"/>
            <w:tcBorders>
              <w:bottom w:val="single" w:sz="8" w:color="DBDBDB"/>
            </w:tcBorders>
          </w:tcPr>
          <w:p>
            <w:pPr>
              <w:spacing w:after="0"/>
              <w:rPr>
                <w:sz w:val="18"/>
                <w:szCs w:val="18"/>
                <w:color w:val="auto"/>
              </w:rPr>
            </w:pPr>
          </w:p>
        </w:tc>
        <w:tc>
          <w:tcPr>
            <w:tcW w:w="100" w:type="dxa"/>
            <w:vAlign w:val="bottom"/>
            <w:tcBorders>
              <w:bottom w:val="single" w:sz="8" w:color="DBDBDB"/>
            </w:tcBorders>
          </w:tcPr>
          <w:p>
            <w:pPr>
              <w:spacing w:after="0"/>
              <w:rPr>
                <w:sz w:val="18"/>
                <w:szCs w:val="18"/>
                <w:color w:val="auto"/>
              </w:rPr>
            </w:pPr>
          </w:p>
        </w:tc>
        <w:tc>
          <w:tcPr>
            <w:tcW w:w="100" w:type="dxa"/>
            <w:vAlign w:val="bottom"/>
            <w:tcBorders>
              <w:bottom w:val="single" w:sz="8" w:color="DBDBDB"/>
            </w:tcBorders>
          </w:tcPr>
          <w:p>
            <w:pPr>
              <w:spacing w:after="0"/>
              <w:rPr>
                <w:sz w:val="18"/>
                <w:szCs w:val="18"/>
                <w:color w:val="auto"/>
              </w:rPr>
            </w:pPr>
          </w:p>
        </w:tc>
        <w:tc>
          <w:tcPr>
            <w:tcW w:w="940" w:type="dxa"/>
            <w:vAlign w:val="bottom"/>
            <w:tcBorders>
              <w:bottom w:val="single" w:sz="8" w:color="DBDBDB"/>
            </w:tcBorders>
          </w:tcPr>
          <w:p>
            <w:pPr>
              <w:spacing w:after="0"/>
              <w:rPr>
                <w:sz w:val="18"/>
                <w:szCs w:val="18"/>
                <w:color w:val="auto"/>
              </w:rPr>
            </w:pPr>
          </w:p>
        </w:tc>
        <w:tc>
          <w:tcPr>
            <w:tcW w:w="200" w:type="dxa"/>
            <w:vAlign w:val="bottom"/>
            <w:tcBorders>
              <w:bottom w:val="single" w:sz="8" w:color="DBDBDB"/>
            </w:tcBorders>
          </w:tcPr>
          <w:p>
            <w:pPr>
              <w:spacing w:after="0"/>
              <w:rPr>
                <w:sz w:val="18"/>
                <w:szCs w:val="18"/>
                <w:color w:val="auto"/>
              </w:rPr>
            </w:pPr>
          </w:p>
        </w:tc>
        <w:tc>
          <w:tcPr>
            <w:tcW w:w="90" w:type="dxa"/>
            <w:vAlign w:val="bottom"/>
            <w:tcBorders>
              <w:bottom w:val="single" w:sz="8" w:color="DBDBDB"/>
            </w:tcBorders>
          </w:tcPr>
          <w:p>
            <w:pPr>
              <w:spacing w:after="0"/>
              <w:rPr>
                <w:sz w:val="18"/>
                <w:szCs w:val="18"/>
                <w:color w:val="auto"/>
              </w:rPr>
            </w:pPr>
          </w:p>
        </w:tc>
        <w:tc>
          <w:tcPr>
            <w:tcW w:w="830" w:type="dxa"/>
            <w:vAlign w:val="bottom"/>
            <w:tcBorders>
              <w:bottom w:val="single" w:sz="8" w:color="DBDBDB"/>
            </w:tcBorders>
          </w:tcPr>
          <w:p>
            <w:pPr>
              <w:spacing w:after="0"/>
              <w:rPr>
                <w:sz w:val="18"/>
                <w:szCs w:val="18"/>
                <w:color w:val="auto"/>
              </w:rPr>
            </w:pPr>
          </w:p>
        </w:tc>
        <w:tc>
          <w:tcPr>
            <w:tcW w:w="100" w:type="dxa"/>
            <w:vAlign w:val="bottom"/>
            <w:tcBorders>
              <w:bottom w:val="single" w:sz="8" w:color="DBDBDB"/>
            </w:tcBorders>
          </w:tcPr>
          <w:p>
            <w:pPr>
              <w:spacing w:after="0"/>
              <w:rPr>
                <w:sz w:val="18"/>
                <w:szCs w:val="18"/>
                <w:color w:val="auto"/>
              </w:rPr>
            </w:pPr>
          </w:p>
        </w:tc>
        <w:tc>
          <w:tcPr>
            <w:tcW w:w="280" w:type="dxa"/>
            <w:vAlign w:val="bottom"/>
            <w:tcBorders>
              <w:bottom w:val="single" w:sz="8" w:color="DBDBDB"/>
            </w:tcBorders>
            <w:vMerge w:val="continue"/>
          </w:tcPr>
          <w:p>
            <w:pPr>
              <w:spacing w:after="0"/>
              <w:rPr>
                <w:sz w:val="18"/>
                <w:szCs w:val="18"/>
                <w:color w:val="auto"/>
              </w:rPr>
            </w:pPr>
          </w:p>
        </w:tc>
        <w:tc>
          <w:tcPr>
            <w:tcW w:w="1040" w:type="dxa"/>
            <w:vAlign w:val="bottom"/>
            <w:tcBorders>
              <w:bottom w:val="single" w:sz="8" w:color="DBDBDB"/>
            </w:tcBorders>
            <w:gridSpan w:val="2"/>
          </w:tcPr>
          <w:p>
            <w:pPr>
              <w:spacing w:after="0" w:line="207" w:lineRule="exact"/>
              <w:rPr>
                <w:sz w:val="20"/>
                <w:szCs w:val="20"/>
                <w:color w:val="auto"/>
              </w:rPr>
            </w:pPr>
            <w:r>
              <w:rPr>
                <w:rFonts w:ascii="Times New Roman" w:cs="Times New Roman" w:eastAsia="Times New Roman" w:hAnsi="Times New Roman"/>
                <w:sz w:val="20"/>
                <w:szCs w:val="20"/>
                <w:b w:val="1"/>
                <w:bCs w:val="1"/>
                <w:color w:val="auto"/>
              </w:rPr>
              <w:t>thousands,</w:t>
            </w:r>
          </w:p>
        </w:tc>
        <w:tc>
          <w:tcPr>
            <w:tcW w:w="1480" w:type="dxa"/>
            <w:vAlign w:val="bottom"/>
            <w:tcBorders>
              <w:bottom w:val="single" w:sz="8" w:color="DBDBDB"/>
            </w:tcBorders>
            <w:gridSpan w:val="4"/>
          </w:tcPr>
          <w:p>
            <w:pPr>
              <w:spacing w:after="0" w:line="207" w:lineRule="exact"/>
              <w:rPr>
                <w:sz w:val="20"/>
                <w:szCs w:val="20"/>
                <w:color w:val="auto"/>
              </w:rPr>
            </w:pPr>
            <w:r>
              <w:rPr>
                <w:rFonts w:ascii="Times New Roman" w:cs="Times New Roman" w:eastAsia="Times New Roman" w:hAnsi="Times New Roman"/>
                <w:sz w:val="20"/>
                <w:szCs w:val="20"/>
                <w:b w:val="1"/>
                <w:bCs w:val="1"/>
                <w:color w:val="auto"/>
                <w:w w:val="87"/>
              </w:rPr>
              <w:t>except percentages)</w:t>
            </w:r>
          </w:p>
        </w:tc>
        <w:tc>
          <w:tcPr>
            <w:tcW w:w="100" w:type="dxa"/>
            <w:vAlign w:val="bottom"/>
            <w:tcBorders>
              <w:bottom w:val="single" w:sz="8" w:color="DBDBDB"/>
            </w:tcBorders>
          </w:tcPr>
          <w:p>
            <w:pPr>
              <w:spacing w:after="0"/>
              <w:rPr>
                <w:sz w:val="18"/>
                <w:szCs w:val="18"/>
                <w:color w:val="auto"/>
              </w:rPr>
            </w:pPr>
          </w:p>
        </w:tc>
        <w:tc>
          <w:tcPr>
            <w:tcW w:w="960" w:type="dxa"/>
            <w:vAlign w:val="bottom"/>
            <w:tcBorders>
              <w:bottom w:val="single" w:sz="8" w:color="DBDBDB"/>
            </w:tcBorders>
          </w:tcPr>
          <w:p>
            <w:pPr>
              <w:spacing w:after="0"/>
              <w:rPr>
                <w:sz w:val="18"/>
                <w:szCs w:val="18"/>
                <w:color w:val="auto"/>
              </w:rPr>
            </w:pPr>
          </w:p>
        </w:tc>
        <w:tc>
          <w:tcPr>
            <w:tcW w:w="180" w:type="dxa"/>
            <w:vAlign w:val="bottom"/>
            <w:tcBorders>
              <w:bottom w:val="single" w:sz="8" w:color="DBDBDB"/>
            </w:tcBorders>
          </w:tcPr>
          <w:p>
            <w:pPr>
              <w:spacing w:after="0"/>
              <w:rPr>
                <w:sz w:val="18"/>
                <w:szCs w:val="18"/>
                <w:color w:val="auto"/>
              </w:rPr>
            </w:pPr>
          </w:p>
        </w:tc>
        <w:tc>
          <w:tcPr>
            <w:tcW w:w="320" w:type="dxa"/>
            <w:vAlign w:val="bottom"/>
            <w:tcBorders>
              <w:bottom w:val="single" w:sz="8" w:color="DBDBDB"/>
            </w:tcBorders>
          </w:tcPr>
          <w:p>
            <w:pPr>
              <w:spacing w:after="0"/>
              <w:rPr>
                <w:sz w:val="18"/>
                <w:szCs w:val="18"/>
                <w:color w:val="auto"/>
              </w:rPr>
            </w:pPr>
          </w:p>
        </w:tc>
        <w:tc>
          <w:tcPr>
            <w:tcW w:w="700" w:type="dxa"/>
            <w:vAlign w:val="bottom"/>
            <w:tcBorders>
              <w:bottom w:val="single" w:sz="8" w:color="DBDBDB"/>
            </w:tcBorders>
          </w:tcPr>
          <w:p>
            <w:pPr>
              <w:spacing w:after="0"/>
              <w:rPr>
                <w:sz w:val="18"/>
                <w:szCs w:val="18"/>
                <w:color w:val="auto"/>
              </w:rPr>
            </w:pPr>
          </w:p>
        </w:tc>
        <w:tc>
          <w:tcPr>
            <w:tcW w:w="20" w:type="dxa"/>
            <w:vAlign w:val="bottom"/>
            <w:tcBorders>
              <w:bottom w:val="single" w:sz="8" w:color="DBDBDB"/>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2940" w:type="dxa"/>
            <w:vAlign w:val="bottom"/>
            <w:shd w:val="clear" w:color="auto" w:fill="DBDBDB"/>
          </w:tcPr>
          <w:p>
            <w:pPr>
              <w:spacing w:after="0" w:line="210" w:lineRule="exact"/>
              <w:rPr>
                <w:sz w:val="20"/>
                <w:szCs w:val="20"/>
                <w:color w:val="auto"/>
              </w:rPr>
            </w:pPr>
            <w:r>
              <w:rPr>
                <w:rFonts w:ascii="Times New Roman" w:cs="Times New Roman" w:eastAsia="Times New Roman" w:hAnsi="Times New Roman"/>
                <w:sz w:val="20"/>
                <w:szCs w:val="20"/>
                <w:color w:val="auto"/>
              </w:rPr>
              <w:t>Cost of goods sold</w:t>
            </w: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jc w:val="right"/>
              <w:spacing w:after="0" w:line="210"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940" w:type="dxa"/>
            <w:vAlign w:val="bottom"/>
            <w:shd w:val="clear" w:color="auto" w:fill="DBDBDB"/>
          </w:tcPr>
          <w:p>
            <w:pPr>
              <w:jc w:val="right"/>
              <w:spacing w:after="0" w:line="210" w:lineRule="exact"/>
              <w:rPr>
                <w:sz w:val="20"/>
                <w:szCs w:val="20"/>
                <w:color w:val="auto"/>
              </w:rPr>
            </w:pPr>
            <w:r>
              <w:rPr>
                <w:rFonts w:ascii="Times New Roman" w:cs="Times New Roman" w:eastAsia="Times New Roman" w:hAnsi="Times New Roman"/>
                <w:sz w:val="20"/>
                <w:szCs w:val="20"/>
                <w:color w:val="auto"/>
              </w:rPr>
              <w:t>318,802</w:t>
            </w:r>
          </w:p>
        </w:tc>
        <w:tc>
          <w:tcPr>
            <w:tcW w:w="200" w:type="dxa"/>
            <w:vAlign w:val="bottom"/>
            <w:shd w:val="clear" w:color="auto" w:fill="DBDBDB"/>
          </w:tcPr>
          <w:p>
            <w:pPr>
              <w:spacing w:after="0"/>
              <w:rPr>
                <w:sz w:val="18"/>
                <w:szCs w:val="18"/>
                <w:color w:val="auto"/>
              </w:rPr>
            </w:pPr>
          </w:p>
        </w:tc>
        <w:tc>
          <w:tcPr>
            <w:tcW w:w="90" w:type="dxa"/>
            <w:vAlign w:val="bottom"/>
            <w:shd w:val="clear" w:color="auto" w:fill="DBDBDB"/>
          </w:tcPr>
          <w:p>
            <w:pPr>
              <w:spacing w:after="0"/>
              <w:rPr>
                <w:sz w:val="18"/>
                <w:szCs w:val="18"/>
                <w:color w:val="auto"/>
              </w:rPr>
            </w:pPr>
          </w:p>
        </w:tc>
        <w:tc>
          <w:tcPr>
            <w:tcW w:w="830" w:type="dxa"/>
            <w:vAlign w:val="bottom"/>
            <w:shd w:val="clear" w:color="auto" w:fill="DBDBDB"/>
          </w:tcPr>
          <w:p>
            <w:pPr>
              <w:ind w:left="210"/>
              <w:spacing w:after="0" w:line="210" w:lineRule="exact"/>
              <w:rPr>
                <w:sz w:val="20"/>
                <w:szCs w:val="20"/>
                <w:color w:val="auto"/>
              </w:rPr>
            </w:pPr>
            <w:r>
              <w:rPr>
                <w:rFonts w:ascii="Times New Roman" w:cs="Times New Roman" w:eastAsia="Times New Roman" w:hAnsi="Times New Roman"/>
                <w:sz w:val="20"/>
                <w:szCs w:val="20"/>
                <w:color w:val="auto"/>
              </w:rPr>
              <w:t>70.0%</w:t>
            </w:r>
          </w:p>
        </w:tc>
        <w:tc>
          <w:tcPr>
            <w:tcW w:w="10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line="210"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940" w:type="dxa"/>
            <w:vAlign w:val="bottom"/>
            <w:shd w:val="clear" w:color="auto" w:fill="DBDBDB"/>
          </w:tcPr>
          <w:p>
            <w:pPr>
              <w:jc w:val="right"/>
              <w:spacing w:after="0" w:line="210" w:lineRule="exact"/>
              <w:rPr>
                <w:sz w:val="20"/>
                <w:szCs w:val="20"/>
                <w:color w:val="auto"/>
              </w:rPr>
            </w:pPr>
            <w:r>
              <w:rPr>
                <w:rFonts w:ascii="Times New Roman" w:cs="Times New Roman" w:eastAsia="Times New Roman" w:hAnsi="Times New Roman"/>
                <w:sz w:val="20"/>
                <w:szCs w:val="20"/>
                <w:color w:val="auto"/>
              </w:rPr>
              <w:t>187,565</w:t>
            </w:r>
          </w:p>
        </w:tc>
        <w:tc>
          <w:tcPr>
            <w:tcW w:w="1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940" w:type="dxa"/>
            <w:vAlign w:val="bottom"/>
            <w:shd w:val="clear" w:color="auto" w:fill="DBDBDB"/>
          </w:tcPr>
          <w:p>
            <w:pPr>
              <w:ind w:left="220"/>
              <w:spacing w:after="0" w:line="210" w:lineRule="exact"/>
              <w:rPr>
                <w:sz w:val="20"/>
                <w:szCs w:val="20"/>
                <w:color w:val="auto"/>
              </w:rPr>
            </w:pPr>
            <w:r>
              <w:rPr>
                <w:rFonts w:ascii="Times New Roman" w:cs="Times New Roman" w:eastAsia="Times New Roman" w:hAnsi="Times New Roman"/>
                <w:sz w:val="20"/>
                <w:szCs w:val="20"/>
                <w:color w:val="auto"/>
              </w:rPr>
              <w:t>75.2%</w:t>
            </w:r>
          </w:p>
        </w:tc>
        <w:tc>
          <w:tcPr>
            <w:tcW w:w="260" w:type="dxa"/>
            <w:vAlign w:val="bottom"/>
            <w:shd w:val="clear" w:color="auto" w:fill="DBDBDB"/>
          </w:tcPr>
          <w:p>
            <w:pPr>
              <w:spacing w:after="0"/>
              <w:rPr>
                <w:sz w:val="18"/>
                <w:szCs w:val="18"/>
                <w:color w:val="auto"/>
              </w:rPr>
            </w:pPr>
          </w:p>
        </w:tc>
        <w:tc>
          <w:tcPr>
            <w:tcW w:w="100" w:type="dxa"/>
            <w:vAlign w:val="bottom"/>
            <w:shd w:val="clear" w:color="auto" w:fill="DBDBDB"/>
          </w:tcPr>
          <w:p>
            <w:pPr>
              <w:jc w:val="right"/>
              <w:spacing w:after="0" w:line="210"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960" w:type="dxa"/>
            <w:vAlign w:val="bottom"/>
            <w:shd w:val="clear" w:color="auto" w:fill="DBDBDB"/>
          </w:tcPr>
          <w:p>
            <w:pPr>
              <w:jc w:val="right"/>
              <w:spacing w:after="0" w:line="210" w:lineRule="exact"/>
              <w:rPr>
                <w:sz w:val="20"/>
                <w:szCs w:val="20"/>
                <w:color w:val="auto"/>
              </w:rPr>
            </w:pPr>
            <w:r>
              <w:rPr>
                <w:rFonts w:ascii="Times New Roman" w:cs="Times New Roman" w:eastAsia="Times New Roman" w:hAnsi="Times New Roman"/>
                <w:sz w:val="20"/>
                <w:szCs w:val="20"/>
                <w:color w:val="auto"/>
              </w:rPr>
              <w:t>131,237</w:t>
            </w:r>
          </w:p>
        </w:tc>
        <w:tc>
          <w:tcPr>
            <w:tcW w:w="18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700" w:type="dxa"/>
            <w:vAlign w:val="bottom"/>
            <w:shd w:val="clear" w:color="auto" w:fill="DBDBDB"/>
          </w:tcPr>
          <w:p>
            <w:pPr>
              <w:jc w:val="right"/>
              <w:spacing w:after="0" w:line="210" w:lineRule="exact"/>
              <w:rPr>
                <w:sz w:val="20"/>
                <w:szCs w:val="20"/>
                <w:color w:val="auto"/>
              </w:rPr>
            </w:pPr>
            <w:r>
              <w:rPr>
                <w:rFonts w:ascii="Times New Roman" w:cs="Times New Roman" w:eastAsia="Times New Roman" w:hAnsi="Times New Roman"/>
                <w:sz w:val="20"/>
                <w:szCs w:val="20"/>
                <w:color w:val="auto"/>
              </w:rPr>
              <w:t>70.0%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120" w:type="dxa"/>
            <w:vAlign w:val="bottom"/>
          </w:tcPr>
          <w:p>
            <w:pPr>
              <w:spacing w:after="0"/>
              <w:rPr>
                <w:sz w:val="22"/>
                <w:szCs w:val="22"/>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Gross margin</w:t>
            </w: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136,913</w:t>
            </w:r>
          </w:p>
        </w:tc>
        <w:tc>
          <w:tcPr>
            <w:tcW w:w="200" w:type="dxa"/>
            <w:vAlign w:val="bottom"/>
          </w:tcPr>
          <w:p>
            <w:pPr>
              <w:spacing w:after="0"/>
              <w:rPr>
                <w:sz w:val="22"/>
                <w:szCs w:val="22"/>
                <w:color w:val="auto"/>
              </w:rPr>
            </w:pPr>
          </w:p>
        </w:tc>
        <w:tc>
          <w:tcPr>
            <w:tcW w:w="92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30.0%</w:t>
            </w:r>
          </w:p>
        </w:tc>
        <w:tc>
          <w:tcPr>
            <w:tcW w:w="14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61,800</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24.8%</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75,113</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sectPr>
          <w:pgSz w:w="11880" w:h="15480" w:orient="portrait"/>
          <w:cols w:equalWidth="0" w:num="1">
            <w:col w:w="10600"/>
          </w:cols>
          <w:pgMar w:left="640" w:top="407" w:right="640" w:bottom="0" w:gutter="0" w:footer="0" w:header="0"/>
        </w:sect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1880" w:h="15480" w:orient="portrait"/>
          <w:cols w:equalWidth="0" w:num="1">
            <w:col w:w="10600"/>
          </w:cols>
          <w:pgMar w:left="640" w:top="407" w:right="640" w:bottom="0" w:gutter="0" w:footer="0" w:header="0"/>
          <w:type w:val="continuous"/>
        </w:sectPr>
      </w:pPr>
    </w:p>
    <w:bookmarkStart w:id="41" w:name="page42"/>
    <w:bookmarkEnd w:id="41"/>
    <w:p>
      <w:pPr>
        <w:jc w:val="both"/>
        <w:ind w:firstLine="706"/>
        <w:spacing w:after="0" w:line="250" w:lineRule="auto"/>
        <w:rPr>
          <w:sz w:val="20"/>
          <w:szCs w:val="20"/>
          <w:color w:val="auto"/>
        </w:rPr>
      </w:pPr>
      <w:r>
        <w:rPr>
          <w:rFonts w:ascii="Times New Roman" w:cs="Times New Roman" w:eastAsia="Times New Roman" w:hAnsi="Times New Roman"/>
          <w:sz w:val="20"/>
          <w:szCs w:val="20"/>
          <w:color w:val="auto"/>
        </w:rPr>
        <w:t>Cost of goods sold increased by $131.2 million, or 70.0%, from 2024 to 2025. The increase in 2025 was primarily attributable to higher direct material and direct labor costs associated with increased revenue volumes, as well as an increase in inventory reserves. The increase in the reserve is consistent with the higher inventory levels and overall business expansion in 2025.</w:t>
      </w:r>
    </w:p>
    <w:p>
      <w:pPr>
        <w:spacing w:after="0" w:line="182" w:lineRule="exact"/>
        <w:rPr>
          <w:sz w:val="20"/>
          <w:szCs w:val="20"/>
          <w:color w:val="auto"/>
        </w:rPr>
      </w:pPr>
    </w:p>
    <w:p>
      <w:pPr>
        <w:jc w:val="both"/>
        <w:ind w:firstLine="706"/>
        <w:spacing w:after="0" w:line="251" w:lineRule="auto"/>
        <w:rPr>
          <w:sz w:val="20"/>
          <w:szCs w:val="20"/>
          <w:color w:val="auto"/>
        </w:rPr>
      </w:pPr>
      <w:r>
        <w:rPr>
          <w:rFonts w:ascii="Times New Roman" w:cs="Times New Roman" w:eastAsia="Times New Roman" w:hAnsi="Times New Roman"/>
          <w:sz w:val="20"/>
          <w:szCs w:val="20"/>
          <w:color w:val="auto"/>
        </w:rPr>
        <w:t>The increase in gross margin for the year ended December 31, 2025 compared to the same period ended December 31, 2024 was primarily driven by larger scale production of our CATV products, which resulted in improved manufacturing efficiencies and lower cost variances.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100" w:type="dxa"/>
            <w:vAlign w:val="bottom"/>
            <w:gridSpan w:val="2"/>
          </w:tcPr>
          <w:p>
            <w:pPr>
              <w:spacing w:after="0"/>
              <w:rPr>
                <w:sz w:val="20"/>
                <w:szCs w:val="20"/>
                <w:color w:val="auto"/>
              </w:rPr>
            </w:pPr>
            <w:r>
              <w:rPr>
                <w:rFonts w:ascii="Times New Roman" w:cs="Times New Roman" w:eastAsia="Times New Roman" w:hAnsi="Times New Roman"/>
                <w:sz w:val="20"/>
                <w:szCs w:val="20"/>
                <w:i w:val="1"/>
                <w:iCs w:val="1"/>
                <w:color w:val="auto"/>
              </w:rPr>
              <w:t>Operating expenses</w:t>
            </w: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8"/>
        </w:trPr>
        <w:tc>
          <w:tcPr>
            <w:tcW w:w="301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9"/>
          </w:tcPr>
          <w:p>
            <w:pPr>
              <w:jc w:val="center"/>
              <w:ind w:right="300"/>
              <w:spacing w:after="0"/>
              <w:rPr>
                <w:sz w:val="20"/>
                <w:szCs w:val="20"/>
                <w:color w:val="auto"/>
              </w:rPr>
            </w:pPr>
            <w:r>
              <w:rPr>
                <w:rFonts w:ascii="Times New Roman" w:cs="Times New Roman" w:eastAsia="Times New Roman" w:hAnsi="Times New Roman"/>
                <w:sz w:val="20"/>
                <w:szCs w:val="20"/>
                <w:b w:val="1"/>
                <w:bCs w:val="1"/>
                <w:color w:val="auto"/>
                <w:w w:val="98"/>
              </w:rPr>
              <w:t>Years ended December 31,</w:t>
            </w:r>
          </w:p>
        </w:tc>
        <w:tc>
          <w:tcPr>
            <w:tcW w:w="94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4"/>
            <w:vMerge w:val="restart"/>
          </w:tcPr>
          <w:p>
            <w:pPr>
              <w:ind w:left="740"/>
              <w:spacing w:after="0"/>
              <w:rPr>
                <w:sz w:val="20"/>
                <w:szCs w:val="20"/>
                <w:color w:val="auto"/>
              </w:rPr>
            </w:pPr>
            <w:r>
              <w:rPr>
                <w:rFonts w:ascii="Times New Roman" w:cs="Times New Roman" w:eastAsia="Times New Roman" w:hAnsi="Times New Roman"/>
                <w:sz w:val="20"/>
                <w:szCs w:val="20"/>
                <w:b w:val="1"/>
                <w:bCs w:val="1"/>
                <w:color w:val="auto"/>
              </w:rPr>
              <w:t>Change</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3010" w:type="dxa"/>
            <w:vAlign w:val="bottom"/>
          </w:tcPr>
          <w:p>
            <w:pPr>
              <w:spacing w:after="0"/>
              <w:rPr>
                <w:sz w:val="21"/>
                <w:szCs w:val="21"/>
                <w:color w:val="auto"/>
              </w:rPr>
            </w:pPr>
          </w:p>
        </w:tc>
        <w:tc>
          <w:tcPr>
            <w:tcW w:w="9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20"/>
                <w:szCs w:val="20"/>
                <w:b w:val="1"/>
                <w:bCs w:val="1"/>
                <w:color w:val="auto"/>
                <w:w w:val="94"/>
              </w:rPr>
              <w:t>2025</w:t>
            </w:r>
          </w:p>
        </w:tc>
        <w:tc>
          <w:tcPr>
            <w:tcW w:w="96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2024</w:t>
            </w:r>
          </w:p>
        </w:tc>
        <w:tc>
          <w:tcPr>
            <w:tcW w:w="94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4"/>
            <w:vMerge w:val="continue"/>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3010" w:type="dxa"/>
            <w:vAlign w:val="bottom"/>
          </w:tcPr>
          <w:p>
            <w:pPr>
              <w:spacing w:after="0"/>
              <w:rPr>
                <w:sz w:val="16"/>
                <w:szCs w:val="16"/>
                <w:color w:val="auto"/>
              </w:rPr>
            </w:pPr>
          </w:p>
        </w:tc>
        <w:tc>
          <w:tcPr>
            <w:tcW w:w="9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ind w:right="222"/>
              <w:spacing w:after="0" w:line="187" w:lineRule="exact"/>
              <w:rPr>
                <w:sz w:val="20"/>
                <w:szCs w:val="20"/>
                <w:color w:val="auto"/>
              </w:rPr>
            </w:pPr>
            <w:r>
              <w:rPr>
                <w:rFonts w:ascii="Times New Roman" w:cs="Times New Roman" w:eastAsia="Times New Roman" w:hAnsi="Times New Roman"/>
                <w:sz w:val="20"/>
                <w:szCs w:val="20"/>
                <w:b w:val="1"/>
                <w:bCs w:val="1"/>
                <w:color w:val="auto"/>
              </w:rPr>
              <w:t>% of</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222"/>
              <w:spacing w:after="0" w:line="187" w:lineRule="exact"/>
              <w:rPr>
                <w:sz w:val="20"/>
                <w:szCs w:val="20"/>
                <w:color w:val="auto"/>
              </w:rPr>
            </w:pPr>
            <w:r>
              <w:rPr>
                <w:rFonts w:ascii="Times New Roman" w:cs="Times New Roman" w:eastAsia="Times New Roman" w:hAnsi="Times New Roman"/>
                <w:sz w:val="20"/>
                <w:szCs w:val="20"/>
                <w:b w:val="1"/>
                <w:bCs w:val="1"/>
                <w:color w:val="auto"/>
              </w:rPr>
              <w:t>% of</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3010" w:type="dxa"/>
            <w:vAlign w:val="bottom"/>
          </w:tcPr>
          <w:p>
            <w:pPr>
              <w:spacing w:after="0"/>
              <w:rPr>
                <w:sz w:val="22"/>
                <w:szCs w:val="22"/>
                <w:color w:val="auto"/>
              </w:rPr>
            </w:pPr>
          </w:p>
        </w:tc>
        <w:tc>
          <w:tcPr>
            <w:tcW w:w="9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Amount</w:t>
            </w:r>
          </w:p>
        </w:tc>
        <w:tc>
          <w:tcPr>
            <w:tcW w:w="1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20"/>
                <w:szCs w:val="20"/>
                <w:b w:val="1"/>
                <w:bCs w:val="1"/>
                <w:color w:val="auto"/>
              </w:rPr>
              <w:t>revenue</w:t>
            </w:r>
          </w:p>
        </w:tc>
        <w:tc>
          <w:tcPr>
            <w:tcW w:w="2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w w:val="94"/>
              </w:rPr>
              <w:t>(in</w:t>
            </w: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20"/>
                <w:szCs w:val="20"/>
                <w:b w:val="1"/>
                <w:bCs w:val="1"/>
                <w:color w:val="auto"/>
              </w:rPr>
              <w:t>Amount</w:t>
            </w:r>
          </w:p>
        </w:tc>
        <w:tc>
          <w:tcPr>
            <w:tcW w:w="200" w:type="dxa"/>
            <w:vAlign w:val="bottom"/>
            <w:gridSpan w:val="2"/>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b w:val="1"/>
                <w:bCs w:val="1"/>
                <w:color w:val="auto"/>
              </w:rPr>
              <w:t>revenue</w:t>
            </w:r>
          </w:p>
        </w:tc>
        <w:tc>
          <w:tcPr>
            <w:tcW w:w="280" w:type="dxa"/>
            <w:vAlign w:val="bottom"/>
            <w:gridSpan w:val="2"/>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b w:val="1"/>
                <w:bCs w:val="1"/>
                <w:color w:val="auto"/>
              </w:rPr>
              <w:t>Amount</w:t>
            </w:r>
          </w:p>
        </w:tc>
        <w:tc>
          <w:tcPr>
            <w:tcW w:w="200" w:type="dxa"/>
            <w:vAlign w:val="bottom"/>
            <w:gridSpan w:val="2"/>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w:t>
            </w:r>
          </w:p>
        </w:tc>
        <w:tc>
          <w:tcPr>
            <w:tcW w:w="0" w:type="dxa"/>
            <w:vAlign w:val="bottom"/>
          </w:tcPr>
          <w:p>
            <w:pPr>
              <w:spacing w:after="0"/>
              <w:rPr>
                <w:sz w:val="1"/>
                <w:szCs w:val="1"/>
                <w:color w:val="auto"/>
              </w:rPr>
            </w:pPr>
          </w:p>
        </w:tc>
      </w:tr>
      <w:tr>
        <w:trPr>
          <w:trHeight w:val="225"/>
        </w:trPr>
        <w:tc>
          <w:tcPr>
            <w:tcW w:w="3010" w:type="dxa"/>
            <w:vAlign w:val="bottom"/>
            <w:tcBorders>
              <w:bottom w:val="single" w:sz="8" w:color="DBDBDB"/>
            </w:tcBorders>
          </w:tcPr>
          <w:p>
            <w:pPr>
              <w:spacing w:after="0"/>
              <w:rPr>
                <w:sz w:val="19"/>
                <w:szCs w:val="19"/>
                <w:color w:val="auto"/>
              </w:rPr>
            </w:pPr>
          </w:p>
        </w:tc>
        <w:tc>
          <w:tcPr>
            <w:tcW w:w="90" w:type="dxa"/>
            <w:vAlign w:val="bottom"/>
            <w:tcBorders>
              <w:bottom w:val="single" w:sz="8" w:color="DBDBDB"/>
            </w:tcBorders>
          </w:tcPr>
          <w:p>
            <w:pPr>
              <w:spacing w:after="0"/>
              <w:rPr>
                <w:sz w:val="19"/>
                <w:szCs w:val="19"/>
                <w:color w:val="auto"/>
              </w:rPr>
            </w:pPr>
          </w:p>
        </w:tc>
        <w:tc>
          <w:tcPr>
            <w:tcW w:w="120" w:type="dxa"/>
            <w:vAlign w:val="bottom"/>
            <w:tcBorders>
              <w:bottom w:val="single" w:sz="8" w:color="DBDBDB"/>
            </w:tcBorders>
          </w:tcPr>
          <w:p>
            <w:pPr>
              <w:spacing w:after="0"/>
              <w:rPr>
                <w:sz w:val="19"/>
                <w:szCs w:val="19"/>
                <w:color w:val="auto"/>
              </w:rPr>
            </w:pPr>
          </w:p>
        </w:tc>
        <w:tc>
          <w:tcPr>
            <w:tcW w:w="960" w:type="dxa"/>
            <w:vAlign w:val="bottom"/>
            <w:tcBorders>
              <w:bottom w:val="single" w:sz="8" w:color="DBDBDB"/>
            </w:tcBorders>
          </w:tcPr>
          <w:p>
            <w:pPr>
              <w:spacing w:after="0"/>
              <w:rPr>
                <w:sz w:val="19"/>
                <w:szCs w:val="19"/>
                <w:color w:val="auto"/>
              </w:rPr>
            </w:pPr>
          </w:p>
        </w:tc>
        <w:tc>
          <w:tcPr>
            <w:tcW w:w="180" w:type="dxa"/>
            <w:vAlign w:val="bottom"/>
            <w:tcBorders>
              <w:bottom w:val="single" w:sz="8" w:color="DBDBDB"/>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960" w:type="dxa"/>
            <w:vAlign w:val="bottom"/>
            <w:tcBorders>
              <w:bottom w:val="single" w:sz="8" w:color="DBDBDB"/>
            </w:tcBorders>
          </w:tcPr>
          <w:p>
            <w:pPr>
              <w:spacing w:after="0"/>
              <w:rPr>
                <w:sz w:val="19"/>
                <w:szCs w:val="19"/>
                <w:color w:val="auto"/>
              </w:rPr>
            </w:pPr>
          </w:p>
        </w:tc>
        <w:tc>
          <w:tcPr>
            <w:tcW w:w="280" w:type="dxa"/>
            <w:vAlign w:val="bottom"/>
            <w:tcBorders>
              <w:bottom w:val="single" w:sz="8" w:color="DBDBDB"/>
            </w:tcBorders>
            <w:gridSpan w:val="2"/>
            <w:vMerge w:val="continue"/>
          </w:tcPr>
          <w:p>
            <w:pPr>
              <w:spacing w:after="0"/>
              <w:rPr>
                <w:sz w:val="19"/>
                <w:szCs w:val="19"/>
                <w:color w:val="auto"/>
              </w:rPr>
            </w:pPr>
          </w:p>
        </w:tc>
        <w:tc>
          <w:tcPr>
            <w:tcW w:w="1060" w:type="dxa"/>
            <w:vAlign w:val="bottom"/>
            <w:tcBorders>
              <w:bottom w:val="single" w:sz="8" w:color="DBDBDB"/>
            </w:tcBorders>
            <w:gridSpan w:val="2"/>
          </w:tcPr>
          <w:p>
            <w:pPr>
              <w:spacing w:after="0" w:line="225" w:lineRule="exact"/>
              <w:rPr>
                <w:sz w:val="20"/>
                <w:szCs w:val="20"/>
                <w:color w:val="auto"/>
              </w:rPr>
            </w:pPr>
            <w:r>
              <w:rPr>
                <w:rFonts w:ascii="Times New Roman" w:cs="Times New Roman" w:eastAsia="Times New Roman" w:hAnsi="Times New Roman"/>
                <w:sz w:val="20"/>
                <w:szCs w:val="20"/>
                <w:b w:val="1"/>
                <w:bCs w:val="1"/>
                <w:color w:val="auto"/>
              </w:rPr>
              <w:t>thousands,</w:t>
            </w:r>
          </w:p>
        </w:tc>
        <w:tc>
          <w:tcPr>
            <w:tcW w:w="1520" w:type="dxa"/>
            <w:vAlign w:val="bottom"/>
            <w:tcBorders>
              <w:bottom w:val="single" w:sz="8" w:color="DBDBDB"/>
            </w:tcBorders>
            <w:gridSpan w:val="6"/>
          </w:tcPr>
          <w:p>
            <w:pPr>
              <w:spacing w:after="0" w:line="225" w:lineRule="exact"/>
              <w:rPr>
                <w:sz w:val="20"/>
                <w:szCs w:val="20"/>
                <w:color w:val="auto"/>
              </w:rPr>
            </w:pPr>
            <w:r>
              <w:rPr>
                <w:rFonts w:ascii="Times New Roman" w:cs="Times New Roman" w:eastAsia="Times New Roman" w:hAnsi="Times New Roman"/>
                <w:sz w:val="20"/>
                <w:szCs w:val="20"/>
                <w:b w:val="1"/>
                <w:bCs w:val="1"/>
                <w:color w:val="auto"/>
                <w:w w:val="89"/>
              </w:rPr>
              <w:t>except percentages)</w:t>
            </w:r>
          </w:p>
        </w:tc>
        <w:tc>
          <w:tcPr>
            <w:tcW w:w="100" w:type="dxa"/>
            <w:vAlign w:val="bottom"/>
            <w:tcBorders>
              <w:bottom w:val="single" w:sz="8" w:color="DBDBDB"/>
            </w:tcBorders>
          </w:tcPr>
          <w:p>
            <w:pPr>
              <w:spacing w:after="0"/>
              <w:rPr>
                <w:sz w:val="19"/>
                <w:szCs w:val="19"/>
                <w:color w:val="auto"/>
              </w:rPr>
            </w:pPr>
          </w:p>
        </w:tc>
        <w:tc>
          <w:tcPr>
            <w:tcW w:w="960" w:type="dxa"/>
            <w:vAlign w:val="bottom"/>
            <w:tcBorders>
              <w:bottom w:val="single" w:sz="8" w:color="DBDBDB"/>
            </w:tcBorders>
          </w:tcPr>
          <w:p>
            <w:pPr>
              <w:spacing w:after="0"/>
              <w:rPr>
                <w:sz w:val="19"/>
                <w:szCs w:val="19"/>
                <w:color w:val="auto"/>
              </w:rPr>
            </w:pPr>
          </w:p>
        </w:tc>
        <w:tc>
          <w:tcPr>
            <w:tcW w:w="180" w:type="dxa"/>
            <w:vAlign w:val="bottom"/>
            <w:tcBorders>
              <w:bottom w:val="single" w:sz="8" w:color="DBDBDB"/>
            </w:tcBorders>
          </w:tcPr>
          <w:p>
            <w:pPr>
              <w:spacing w:after="0"/>
              <w:rPr>
                <w:sz w:val="19"/>
                <w:szCs w:val="19"/>
                <w:color w:val="auto"/>
              </w:rPr>
            </w:pPr>
          </w:p>
        </w:tc>
        <w:tc>
          <w:tcPr>
            <w:tcW w:w="20" w:type="dxa"/>
            <w:vAlign w:val="bottom"/>
            <w:tcBorders>
              <w:bottom w:val="single" w:sz="8" w:color="DBDBDB"/>
            </w:tcBorders>
          </w:tcPr>
          <w:p>
            <w:pPr>
              <w:spacing w:after="0"/>
              <w:rPr>
                <w:sz w:val="19"/>
                <w:szCs w:val="19"/>
                <w:color w:val="auto"/>
              </w:rPr>
            </w:pPr>
          </w:p>
        </w:tc>
        <w:tc>
          <w:tcPr>
            <w:tcW w:w="320" w:type="dxa"/>
            <w:vAlign w:val="bottom"/>
            <w:tcBorders>
              <w:bottom w:val="single" w:sz="8" w:color="DBDBDB"/>
            </w:tcBorders>
          </w:tcPr>
          <w:p>
            <w:pPr>
              <w:spacing w:after="0"/>
              <w:rPr>
                <w:sz w:val="19"/>
                <w:szCs w:val="19"/>
                <w:color w:val="auto"/>
              </w:rPr>
            </w:pPr>
          </w:p>
        </w:tc>
        <w:tc>
          <w:tcPr>
            <w:tcW w:w="740" w:type="dxa"/>
            <w:vAlign w:val="bottom"/>
            <w:tcBorders>
              <w:bottom w:val="single" w:sz="8" w:color="DBDBDB"/>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010" w:type="dxa"/>
            <w:vAlign w:val="bottom"/>
            <w:shd w:val="clear" w:color="auto" w:fill="DBDBDB"/>
          </w:tcPr>
          <w:p>
            <w:pPr>
              <w:ind w:left="20"/>
              <w:spacing w:after="0" w:line="210" w:lineRule="exact"/>
              <w:rPr>
                <w:sz w:val="20"/>
                <w:szCs w:val="20"/>
                <w:color w:val="auto"/>
              </w:rPr>
            </w:pPr>
            <w:r>
              <w:rPr>
                <w:rFonts w:ascii="Times New Roman" w:cs="Times New Roman" w:eastAsia="Times New Roman" w:hAnsi="Times New Roman"/>
                <w:sz w:val="20"/>
                <w:szCs w:val="20"/>
                <w:color w:val="auto"/>
              </w:rPr>
              <w:t>Research and development</w:t>
            </w:r>
          </w:p>
        </w:tc>
        <w:tc>
          <w:tcPr>
            <w:tcW w:w="90" w:type="dxa"/>
            <w:vAlign w:val="bottom"/>
            <w:shd w:val="clear" w:color="auto" w:fill="DBDBDB"/>
          </w:tcPr>
          <w:p>
            <w:pPr>
              <w:spacing w:after="0"/>
              <w:rPr>
                <w:sz w:val="18"/>
                <w:szCs w:val="18"/>
                <w:color w:val="auto"/>
              </w:rPr>
            </w:pPr>
          </w:p>
        </w:tc>
        <w:tc>
          <w:tcPr>
            <w:tcW w:w="120" w:type="dxa"/>
            <w:vAlign w:val="bottom"/>
            <w:shd w:val="clear" w:color="auto" w:fill="DBDBDB"/>
          </w:tcPr>
          <w:p>
            <w:pPr>
              <w:jc w:val="right"/>
              <w:spacing w:after="0" w:line="210" w:lineRule="exact"/>
              <w:rPr>
                <w:sz w:val="20"/>
                <w:szCs w:val="20"/>
                <w:color w:val="auto"/>
              </w:rPr>
            </w:pPr>
            <w:r>
              <w:rPr>
                <w:rFonts w:ascii="Times New Roman" w:cs="Times New Roman" w:eastAsia="Times New Roman" w:hAnsi="Times New Roman"/>
                <w:sz w:val="20"/>
                <w:szCs w:val="20"/>
                <w:color w:val="auto"/>
                <w:highlight w:val="lightGray"/>
                <w:w w:val="99"/>
              </w:rPr>
              <w:t>$</w:t>
            </w:r>
          </w:p>
        </w:tc>
        <w:tc>
          <w:tcPr>
            <w:tcW w:w="960" w:type="dxa"/>
            <w:vAlign w:val="bottom"/>
            <w:shd w:val="clear" w:color="auto" w:fill="DBDBDB"/>
          </w:tcPr>
          <w:p>
            <w:pPr>
              <w:ind w:left="400"/>
              <w:spacing w:after="0" w:line="210" w:lineRule="exact"/>
              <w:rPr>
                <w:sz w:val="20"/>
                <w:szCs w:val="20"/>
                <w:color w:val="auto"/>
              </w:rPr>
            </w:pPr>
            <w:r>
              <w:rPr>
                <w:rFonts w:ascii="Times New Roman" w:cs="Times New Roman" w:eastAsia="Times New Roman" w:hAnsi="Times New Roman"/>
                <w:sz w:val="20"/>
                <w:szCs w:val="20"/>
                <w:color w:val="auto"/>
                <w:w w:val="98"/>
              </w:rPr>
              <w:t>85,507</w:t>
            </w:r>
          </w:p>
        </w:tc>
        <w:tc>
          <w:tcPr>
            <w:tcW w:w="1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960" w:type="dxa"/>
            <w:vAlign w:val="bottom"/>
            <w:shd w:val="clear" w:color="auto" w:fill="DBDBDB"/>
          </w:tcPr>
          <w:p>
            <w:pPr>
              <w:jc w:val="right"/>
              <w:spacing w:after="0" w:line="210" w:lineRule="exact"/>
              <w:rPr>
                <w:sz w:val="20"/>
                <w:szCs w:val="20"/>
                <w:color w:val="auto"/>
              </w:rPr>
            </w:pPr>
            <w:r>
              <w:rPr>
                <w:rFonts w:ascii="Times New Roman" w:cs="Times New Roman" w:eastAsia="Times New Roman" w:hAnsi="Times New Roman"/>
                <w:sz w:val="20"/>
                <w:szCs w:val="20"/>
                <w:color w:val="auto"/>
              </w:rPr>
              <w:t>18.8%</w:t>
            </w:r>
          </w:p>
        </w:tc>
        <w:tc>
          <w:tcPr>
            <w:tcW w:w="260" w:type="dxa"/>
            <w:vAlign w:val="bottom"/>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line="210"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960" w:type="dxa"/>
            <w:vAlign w:val="bottom"/>
            <w:shd w:val="clear" w:color="auto" w:fill="DBDBDB"/>
          </w:tcPr>
          <w:p>
            <w:pPr>
              <w:jc w:val="right"/>
              <w:spacing w:after="0" w:line="210" w:lineRule="exact"/>
              <w:rPr>
                <w:sz w:val="20"/>
                <w:szCs w:val="20"/>
                <w:color w:val="auto"/>
              </w:rPr>
            </w:pPr>
            <w:r>
              <w:rPr>
                <w:rFonts w:ascii="Times New Roman" w:cs="Times New Roman" w:eastAsia="Times New Roman" w:hAnsi="Times New Roman"/>
                <w:sz w:val="20"/>
                <w:szCs w:val="20"/>
                <w:color w:val="auto"/>
              </w:rPr>
              <w:t>54,955</w:t>
            </w:r>
          </w:p>
        </w:tc>
        <w:tc>
          <w:tcPr>
            <w:tcW w:w="180" w:type="dxa"/>
            <w:vAlign w:val="bottom"/>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940" w:type="dxa"/>
            <w:vAlign w:val="bottom"/>
            <w:shd w:val="clear" w:color="auto" w:fill="DBDBDB"/>
          </w:tcPr>
          <w:p>
            <w:pPr>
              <w:jc w:val="right"/>
              <w:spacing w:after="0" w:line="210" w:lineRule="exact"/>
              <w:rPr>
                <w:sz w:val="20"/>
                <w:szCs w:val="20"/>
                <w:color w:val="auto"/>
              </w:rPr>
            </w:pPr>
            <w:r>
              <w:rPr>
                <w:rFonts w:ascii="Times New Roman" w:cs="Times New Roman" w:eastAsia="Times New Roman" w:hAnsi="Times New Roman"/>
                <w:sz w:val="20"/>
                <w:szCs w:val="20"/>
                <w:color w:val="auto"/>
              </w:rPr>
              <w:t>22.0%</w:t>
            </w:r>
          </w:p>
        </w:tc>
        <w:tc>
          <w:tcPr>
            <w:tcW w:w="260" w:type="dxa"/>
            <w:vAlign w:val="bottom"/>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100" w:type="dxa"/>
            <w:vAlign w:val="bottom"/>
            <w:shd w:val="clear" w:color="auto" w:fill="DBDBDB"/>
          </w:tcPr>
          <w:p>
            <w:pPr>
              <w:jc w:val="right"/>
              <w:spacing w:after="0" w:line="210"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960" w:type="dxa"/>
            <w:vAlign w:val="bottom"/>
            <w:shd w:val="clear" w:color="auto" w:fill="DBDBDB"/>
          </w:tcPr>
          <w:p>
            <w:pPr>
              <w:jc w:val="right"/>
              <w:spacing w:after="0" w:line="210" w:lineRule="exact"/>
              <w:rPr>
                <w:sz w:val="20"/>
                <w:szCs w:val="20"/>
                <w:color w:val="auto"/>
              </w:rPr>
            </w:pPr>
            <w:r>
              <w:rPr>
                <w:rFonts w:ascii="Times New Roman" w:cs="Times New Roman" w:eastAsia="Times New Roman" w:hAnsi="Times New Roman"/>
                <w:sz w:val="20"/>
                <w:szCs w:val="20"/>
                <w:color w:val="auto"/>
              </w:rPr>
              <w:t>30,552</w:t>
            </w:r>
          </w:p>
        </w:tc>
        <w:tc>
          <w:tcPr>
            <w:tcW w:w="180" w:type="dxa"/>
            <w:vAlign w:val="bottom"/>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740" w:type="dxa"/>
            <w:vAlign w:val="bottom"/>
            <w:shd w:val="clear" w:color="auto" w:fill="DBDBDB"/>
          </w:tcPr>
          <w:p>
            <w:pPr>
              <w:ind w:left="220"/>
              <w:spacing w:after="0" w:line="210" w:lineRule="exact"/>
              <w:rPr>
                <w:sz w:val="20"/>
                <w:szCs w:val="20"/>
                <w:color w:val="auto"/>
              </w:rPr>
            </w:pPr>
            <w:r>
              <w:rPr>
                <w:rFonts w:ascii="Times New Roman" w:cs="Times New Roman" w:eastAsia="Times New Roman" w:hAnsi="Times New Roman"/>
                <w:sz w:val="20"/>
                <w:szCs w:val="20"/>
                <w:color w:val="auto"/>
                <w:w w:val="96"/>
              </w:rPr>
              <w:t>55.6%</w:t>
            </w:r>
          </w:p>
        </w:tc>
        <w:tc>
          <w:tcPr>
            <w:tcW w:w="0" w:type="dxa"/>
            <w:vAlign w:val="bottom"/>
          </w:tcPr>
          <w:p>
            <w:pPr>
              <w:spacing w:after="0"/>
              <w:rPr>
                <w:sz w:val="1"/>
                <w:szCs w:val="1"/>
                <w:color w:val="auto"/>
              </w:rPr>
            </w:pPr>
          </w:p>
        </w:tc>
      </w:tr>
      <w:tr>
        <w:trPr>
          <w:trHeight w:val="235"/>
        </w:trPr>
        <w:tc>
          <w:tcPr>
            <w:tcW w:w="3100" w:type="dxa"/>
            <w:vAlign w:val="bottom"/>
            <w:tcBorders>
              <w:bottom w:val="single" w:sz="8" w:color="DBDBDB"/>
            </w:tcBorders>
            <w:gridSpan w:val="2"/>
          </w:tcPr>
          <w:p>
            <w:pPr>
              <w:ind w:left="20"/>
              <w:spacing w:after="0"/>
              <w:rPr>
                <w:sz w:val="20"/>
                <w:szCs w:val="20"/>
                <w:color w:val="auto"/>
              </w:rPr>
            </w:pPr>
            <w:r>
              <w:rPr>
                <w:rFonts w:ascii="Times New Roman" w:cs="Times New Roman" w:eastAsia="Times New Roman" w:hAnsi="Times New Roman"/>
                <w:sz w:val="20"/>
                <w:szCs w:val="20"/>
                <w:color w:val="auto"/>
              </w:rPr>
              <w:t>Sales and marketing</w:t>
            </w:r>
          </w:p>
        </w:tc>
        <w:tc>
          <w:tcPr>
            <w:tcW w:w="120" w:type="dxa"/>
            <w:vAlign w:val="bottom"/>
            <w:tcBorders>
              <w:bottom w:val="single" w:sz="8" w:color="DBDBDB"/>
            </w:tcBorders>
          </w:tcPr>
          <w:p>
            <w:pPr>
              <w:spacing w:after="0"/>
              <w:rPr>
                <w:sz w:val="20"/>
                <w:szCs w:val="20"/>
                <w:color w:val="auto"/>
              </w:rPr>
            </w:pPr>
          </w:p>
        </w:tc>
        <w:tc>
          <w:tcPr>
            <w:tcW w:w="960" w:type="dxa"/>
            <w:vAlign w:val="bottom"/>
            <w:tcBorders>
              <w:bottom w:val="single" w:sz="8" w:color="DBDBDB"/>
            </w:tcBorders>
          </w:tcPr>
          <w:p>
            <w:pPr>
              <w:ind w:left="400"/>
              <w:spacing w:after="0"/>
              <w:rPr>
                <w:sz w:val="20"/>
                <w:szCs w:val="20"/>
                <w:color w:val="auto"/>
              </w:rPr>
            </w:pPr>
            <w:r>
              <w:rPr>
                <w:rFonts w:ascii="Times New Roman" w:cs="Times New Roman" w:eastAsia="Times New Roman" w:hAnsi="Times New Roman"/>
                <w:sz w:val="20"/>
                <w:szCs w:val="20"/>
                <w:color w:val="auto"/>
                <w:w w:val="98"/>
              </w:rPr>
              <w:t>30,267</w:t>
            </w:r>
          </w:p>
        </w:tc>
        <w:tc>
          <w:tcPr>
            <w:tcW w:w="180" w:type="dxa"/>
            <w:vAlign w:val="bottom"/>
            <w:tcBorders>
              <w:bottom w:val="single" w:sz="8" w:color="DBDBDB"/>
            </w:tcBorders>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960" w:type="dxa"/>
            <w:vAlign w:val="bottom"/>
            <w:tcBorders>
              <w:bottom w:val="single" w:sz="8" w:color="DBDBDB"/>
            </w:tcBorders>
          </w:tcPr>
          <w:p>
            <w:pPr>
              <w:jc w:val="right"/>
              <w:spacing w:after="0"/>
              <w:rPr>
                <w:sz w:val="20"/>
                <w:szCs w:val="20"/>
                <w:color w:val="auto"/>
              </w:rPr>
            </w:pPr>
            <w:r>
              <w:rPr>
                <w:rFonts w:ascii="Times New Roman" w:cs="Times New Roman" w:eastAsia="Times New Roman" w:hAnsi="Times New Roman"/>
                <w:sz w:val="20"/>
                <w:szCs w:val="20"/>
                <w:color w:val="auto"/>
              </w:rPr>
              <w:t>6.6%</w:t>
            </w:r>
          </w:p>
        </w:tc>
        <w:tc>
          <w:tcPr>
            <w:tcW w:w="260" w:type="dxa"/>
            <w:vAlign w:val="bottom"/>
            <w:tcBorders>
              <w:bottom w:val="single" w:sz="8" w:color="DBDBDB"/>
            </w:tcBorders>
          </w:tcPr>
          <w:p>
            <w:pPr>
              <w:spacing w:after="0"/>
              <w:rPr>
                <w:sz w:val="20"/>
                <w:szCs w:val="20"/>
                <w:color w:val="auto"/>
              </w:rPr>
            </w:pPr>
          </w:p>
        </w:tc>
        <w:tc>
          <w:tcPr>
            <w:tcW w:w="20" w:type="dxa"/>
            <w:vAlign w:val="bottom"/>
            <w:tcBorders>
              <w:bottom w:val="single" w:sz="8" w:color="DBDBDB"/>
            </w:tcBorders>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960" w:type="dxa"/>
            <w:vAlign w:val="bottom"/>
            <w:tcBorders>
              <w:bottom w:val="single" w:sz="8" w:color="DBDBDB"/>
            </w:tcBorders>
          </w:tcPr>
          <w:p>
            <w:pPr>
              <w:jc w:val="right"/>
              <w:spacing w:after="0"/>
              <w:rPr>
                <w:sz w:val="20"/>
                <w:szCs w:val="20"/>
                <w:color w:val="auto"/>
              </w:rPr>
            </w:pPr>
            <w:r>
              <w:rPr>
                <w:rFonts w:ascii="Times New Roman" w:cs="Times New Roman" w:eastAsia="Times New Roman" w:hAnsi="Times New Roman"/>
                <w:sz w:val="20"/>
                <w:szCs w:val="20"/>
                <w:color w:val="auto"/>
              </w:rPr>
              <w:t>18,154</w:t>
            </w:r>
          </w:p>
        </w:tc>
        <w:tc>
          <w:tcPr>
            <w:tcW w:w="180" w:type="dxa"/>
            <w:vAlign w:val="bottom"/>
            <w:tcBorders>
              <w:bottom w:val="single" w:sz="8" w:color="DBDBDB"/>
            </w:tcBorders>
          </w:tcPr>
          <w:p>
            <w:pPr>
              <w:spacing w:after="0"/>
              <w:rPr>
                <w:sz w:val="20"/>
                <w:szCs w:val="20"/>
                <w:color w:val="auto"/>
              </w:rPr>
            </w:pPr>
          </w:p>
        </w:tc>
        <w:tc>
          <w:tcPr>
            <w:tcW w:w="20" w:type="dxa"/>
            <w:vAlign w:val="bottom"/>
            <w:tcBorders>
              <w:bottom w:val="single" w:sz="8" w:color="DBDBDB"/>
            </w:tcBorders>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940" w:type="dxa"/>
            <w:vAlign w:val="bottom"/>
            <w:tcBorders>
              <w:bottom w:val="single" w:sz="8" w:color="DBDBDB"/>
            </w:tcBorders>
          </w:tcPr>
          <w:p>
            <w:pPr>
              <w:jc w:val="right"/>
              <w:spacing w:after="0"/>
              <w:rPr>
                <w:sz w:val="20"/>
                <w:szCs w:val="20"/>
                <w:color w:val="auto"/>
              </w:rPr>
            </w:pPr>
            <w:r>
              <w:rPr>
                <w:rFonts w:ascii="Times New Roman" w:cs="Times New Roman" w:eastAsia="Times New Roman" w:hAnsi="Times New Roman"/>
                <w:sz w:val="20"/>
                <w:szCs w:val="20"/>
                <w:color w:val="auto"/>
              </w:rPr>
              <w:t>7.3%</w:t>
            </w:r>
          </w:p>
        </w:tc>
        <w:tc>
          <w:tcPr>
            <w:tcW w:w="260" w:type="dxa"/>
            <w:vAlign w:val="bottom"/>
            <w:tcBorders>
              <w:bottom w:val="single" w:sz="8" w:color="DBDBDB"/>
            </w:tcBorders>
          </w:tcPr>
          <w:p>
            <w:pPr>
              <w:spacing w:after="0"/>
              <w:rPr>
                <w:sz w:val="20"/>
                <w:szCs w:val="20"/>
                <w:color w:val="auto"/>
              </w:rPr>
            </w:pPr>
          </w:p>
        </w:tc>
        <w:tc>
          <w:tcPr>
            <w:tcW w:w="20" w:type="dxa"/>
            <w:vAlign w:val="bottom"/>
            <w:tcBorders>
              <w:bottom w:val="single" w:sz="8" w:color="DBDBDB"/>
            </w:tcBorders>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960" w:type="dxa"/>
            <w:vAlign w:val="bottom"/>
            <w:tcBorders>
              <w:bottom w:val="single" w:sz="8" w:color="DBDBDB"/>
            </w:tcBorders>
          </w:tcPr>
          <w:p>
            <w:pPr>
              <w:jc w:val="right"/>
              <w:spacing w:after="0"/>
              <w:rPr>
                <w:sz w:val="20"/>
                <w:szCs w:val="20"/>
                <w:color w:val="auto"/>
              </w:rPr>
            </w:pPr>
            <w:r>
              <w:rPr>
                <w:rFonts w:ascii="Times New Roman" w:cs="Times New Roman" w:eastAsia="Times New Roman" w:hAnsi="Times New Roman"/>
                <w:sz w:val="20"/>
                <w:szCs w:val="20"/>
                <w:color w:val="auto"/>
              </w:rPr>
              <w:t>12,113</w:t>
            </w:r>
          </w:p>
        </w:tc>
        <w:tc>
          <w:tcPr>
            <w:tcW w:w="180" w:type="dxa"/>
            <w:vAlign w:val="bottom"/>
            <w:tcBorders>
              <w:bottom w:val="single" w:sz="8" w:color="DBDBDB"/>
            </w:tcBorders>
          </w:tcPr>
          <w:p>
            <w:pPr>
              <w:spacing w:after="0"/>
              <w:rPr>
                <w:sz w:val="20"/>
                <w:szCs w:val="20"/>
                <w:color w:val="auto"/>
              </w:rPr>
            </w:pPr>
          </w:p>
        </w:tc>
        <w:tc>
          <w:tcPr>
            <w:tcW w:w="20" w:type="dxa"/>
            <w:vAlign w:val="bottom"/>
            <w:tcBorders>
              <w:bottom w:val="single" w:sz="8" w:color="DBDBDB"/>
            </w:tcBorders>
          </w:tcPr>
          <w:p>
            <w:pPr>
              <w:spacing w:after="0"/>
              <w:rPr>
                <w:sz w:val="20"/>
                <w:szCs w:val="20"/>
                <w:color w:val="auto"/>
              </w:rPr>
            </w:pPr>
          </w:p>
        </w:tc>
        <w:tc>
          <w:tcPr>
            <w:tcW w:w="320" w:type="dxa"/>
            <w:vAlign w:val="bottom"/>
            <w:tcBorders>
              <w:bottom w:val="single" w:sz="8" w:color="DBDBDB"/>
            </w:tcBorders>
          </w:tcPr>
          <w:p>
            <w:pPr>
              <w:spacing w:after="0"/>
              <w:rPr>
                <w:sz w:val="20"/>
                <w:szCs w:val="20"/>
                <w:color w:val="auto"/>
              </w:rPr>
            </w:pPr>
          </w:p>
        </w:tc>
        <w:tc>
          <w:tcPr>
            <w:tcW w:w="740" w:type="dxa"/>
            <w:vAlign w:val="bottom"/>
            <w:tcBorders>
              <w:bottom w:val="single" w:sz="8" w:color="DBDBDB"/>
            </w:tcBorders>
          </w:tcPr>
          <w:p>
            <w:pPr>
              <w:ind w:left="220"/>
              <w:spacing w:after="0"/>
              <w:rPr>
                <w:sz w:val="20"/>
                <w:szCs w:val="20"/>
                <w:color w:val="auto"/>
              </w:rPr>
            </w:pPr>
            <w:r>
              <w:rPr>
                <w:rFonts w:ascii="Times New Roman" w:cs="Times New Roman" w:eastAsia="Times New Roman" w:hAnsi="Times New Roman"/>
                <w:sz w:val="20"/>
                <w:szCs w:val="20"/>
                <w:color w:val="auto"/>
                <w:w w:val="96"/>
              </w:rPr>
              <w:t>66.7%</w:t>
            </w:r>
          </w:p>
        </w:tc>
        <w:tc>
          <w:tcPr>
            <w:tcW w:w="0" w:type="dxa"/>
            <w:vAlign w:val="bottom"/>
          </w:tcPr>
          <w:p>
            <w:pPr>
              <w:spacing w:after="0"/>
              <w:rPr>
                <w:sz w:val="1"/>
                <w:szCs w:val="1"/>
                <w:color w:val="auto"/>
              </w:rPr>
            </w:pPr>
          </w:p>
        </w:tc>
      </w:tr>
      <w:tr>
        <w:trPr>
          <w:trHeight w:val="236"/>
        </w:trPr>
        <w:tc>
          <w:tcPr>
            <w:tcW w:w="3010" w:type="dxa"/>
            <w:vAlign w:val="bottom"/>
            <w:tcBorders>
              <w:bottom w:val="single" w:sz="8" w:color="DBDBDB"/>
            </w:tcBorders>
            <w:shd w:val="clear" w:color="auto" w:fill="DBDBDB"/>
          </w:tcPr>
          <w:p>
            <w:pPr>
              <w:ind w:left="20"/>
              <w:spacing w:after="0" w:line="210" w:lineRule="exact"/>
              <w:rPr>
                <w:sz w:val="20"/>
                <w:szCs w:val="20"/>
                <w:color w:val="auto"/>
              </w:rPr>
            </w:pPr>
            <w:r>
              <w:rPr>
                <w:rFonts w:ascii="Times New Roman" w:cs="Times New Roman" w:eastAsia="Times New Roman" w:hAnsi="Times New Roman"/>
                <w:sz w:val="20"/>
                <w:szCs w:val="20"/>
                <w:color w:val="auto"/>
              </w:rPr>
              <w:t>General and administrative</w:t>
            </w:r>
          </w:p>
        </w:tc>
        <w:tc>
          <w:tcPr>
            <w:tcW w:w="90" w:type="dxa"/>
            <w:vAlign w:val="bottom"/>
            <w:tcBorders>
              <w:bottom w:val="single" w:sz="8" w:color="DBDBDB"/>
            </w:tcBorders>
            <w:shd w:val="clear" w:color="auto" w:fill="DBDBDB"/>
          </w:tcPr>
          <w:p>
            <w:pPr>
              <w:spacing w:after="0"/>
              <w:rPr>
                <w:sz w:val="20"/>
                <w:szCs w:val="20"/>
                <w:color w:val="auto"/>
              </w:rPr>
            </w:pPr>
          </w:p>
        </w:tc>
        <w:tc>
          <w:tcPr>
            <w:tcW w:w="120" w:type="dxa"/>
            <w:vAlign w:val="bottom"/>
            <w:tcBorders>
              <w:bottom w:val="single" w:sz="8" w:color="auto"/>
            </w:tcBorders>
            <w:shd w:val="clear" w:color="auto" w:fill="DBDBDB"/>
          </w:tcPr>
          <w:p>
            <w:pPr>
              <w:spacing w:after="0"/>
              <w:rPr>
                <w:sz w:val="20"/>
                <w:szCs w:val="20"/>
                <w:color w:val="auto"/>
              </w:rPr>
            </w:pPr>
          </w:p>
        </w:tc>
        <w:tc>
          <w:tcPr>
            <w:tcW w:w="960" w:type="dxa"/>
            <w:vAlign w:val="bottom"/>
            <w:tcBorders>
              <w:bottom w:val="single" w:sz="8" w:color="auto"/>
            </w:tcBorders>
            <w:shd w:val="clear" w:color="auto" w:fill="DBDBDB"/>
          </w:tcPr>
          <w:p>
            <w:pPr>
              <w:ind w:left="400"/>
              <w:spacing w:after="0" w:line="210" w:lineRule="exact"/>
              <w:rPr>
                <w:sz w:val="20"/>
                <w:szCs w:val="20"/>
                <w:color w:val="auto"/>
              </w:rPr>
            </w:pPr>
            <w:r>
              <w:rPr>
                <w:rFonts w:ascii="Times New Roman" w:cs="Times New Roman" w:eastAsia="Times New Roman" w:hAnsi="Times New Roman"/>
                <w:sz w:val="20"/>
                <w:szCs w:val="20"/>
                <w:color w:val="auto"/>
                <w:w w:val="98"/>
              </w:rPr>
              <w:t>75,741</w:t>
            </w:r>
          </w:p>
        </w:tc>
        <w:tc>
          <w:tcPr>
            <w:tcW w:w="180" w:type="dxa"/>
            <w:vAlign w:val="bottom"/>
            <w:tcBorders>
              <w:bottom w:val="single" w:sz="8" w:color="DBDBDB"/>
            </w:tcBorders>
            <w:shd w:val="clear" w:color="auto" w:fill="DBDBDB"/>
          </w:tcPr>
          <w:p>
            <w:pPr>
              <w:spacing w:after="0"/>
              <w:rPr>
                <w:sz w:val="20"/>
                <w:szCs w:val="20"/>
                <w:color w:val="auto"/>
              </w:rPr>
            </w:pPr>
          </w:p>
        </w:tc>
        <w:tc>
          <w:tcPr>
            <w:tcW w:w="100" w:type="dxa"/>
            <w:vAlign w:val="bottom"/>
            <w:tcBorders>
              <w:bottom w:val="single" w:sz="8" w:color="auto"/>
            </w:tcBorders>
            <w:shd w:val="clear" w:color="auto" w:fill="DBDBDB"/>
          </w:tcPr>
          <w:p>
            <w:pPr>
              <w:spacing w:after="0"/>
              <w:rPr>
                <w:sz w:val="20"/>
                <w:szCs w:val="20"/>
                <w:color w:val="auto"/>
              </w:rPr>
            </w:pPr>
          </w:p>
        </w:tc>
        <w:tc>
          <w:tcPr>
            <w:tcW w:w="960" w:type="dxa"/>
            <w:vAlign w:val="bottom"/>
            <w:tcBorders>
              <w:bottom w:val="single" w:sz="8" w:color="auto"/>
            </w:tcBorders>
            <w:shd w:val="clear" w:color="auto" w:fill="DBDBDB"/>
          </w:tcPr>
          <w:p>
            <w:pPr>
              <w:jc w:val="right"/>
              <w:spacing w:after="0" w:line="210" w:lineRule="exact"/>
              <w:rPr>
                <w:sz w:val="20"/>
                <w:szCs w:val="20"/>
                <w:color w:val="auto"/>
              </w:rPr>
            </w:pPr>
            <w:r>
              <w:rPr>
                <w:rFonts w:ascii="Times New Roman" w:cs="Times New Roman" w:eastAsia="Times New Roman" w:hAnsi="Times New Roman"/>
                <w:sz w:val="20"/>
                <w:szCs w:val="20"/>
                <w:color w:val="auto"/>
              </w:rPr>
              <w:t>16.6%</w:t>
            </w:r>
          </w:p>
        </w:tc>
        <w:tc>
          <w:tcPr>
            <w:tcW w:w="260" w:type="dxa"/>
            <w:vAlign w:val="bottom"/>
            <w:tcBorders>
              <w:bottom w:val="single" w:sz="8" w:color="DBDBDB"/>
            </w:tcBorders>
            <w:shd w:val="clear" w:color="auto" w:fill="DBDBDB"/>
          </w:tcPr>
          <w:p>
            <w:pPr>
              <w:spacing w:after="0"/>
              <w:rPr>
                <w:sz w:val="20"/>
                <w:szCs w:val="20"/>
                <w:color w:val="auto"/>
              </w:rPr>
            </w:pPr>
          </w:p>
        </w:tc>
        <w:tc>
          <w:tcPr>
            <w:tcW w:w="20" w:type="dxa"/>
            <w:vAlign w:val="bottom"/>
            <w:tcBorders>
              <w:bottom w:val="single" w:sz="8" w:color="DBDBDB"/>
            </w:tcBorders>
            <w:shd w:val="clear" w:color="auto" w:fill="DBDBDB"/>
          </w:tcPr>
          <w:p>
            <w:pPr>
              <w:spacing w:after="0"/>
              <w:rPr>
                <w:sz w:val="20"/>
                <w:szCs w:val="20"/>
                <w:color w:val="auto"/>
              </w:rPr>
            </w:pPr>
          </w:p>
        </w:tc>
        <w:tc>
          <w:tcPr>
            <w:tcW w:w="100" w:type="dxa"/>
            <w:vAlign w:val="bottom"/>
            <w:tcBorders>
              <w:bottom w:val="single" w:sz="8" w:color="auto"/>
            </w:tcBorders>
            <w:shd w:val="clear" w:color="auto" w:fill="DBDBDB"/>
          </w:tcPr>
          <w:p>
            <w:pPr>
              <w:spacing w:after="0"/>
              <w:rPr>
                <w:sz w:val="20"/>
                <w:szCs w:val="20"/>
                <w:color w:val="auto"/>
              </w:rPr>
            </w:pPr>
          </w:p>
        </w:tc>
        <w:tc>
          <w:tcPr>
            <w:tcW w:w="960" w:type="dxa"/>
            <w:vAlign w:val="bottom"/>
            <w:tcBorders>
              <w:bottom w:val="single" w:sz="8" w:color="auto"/>
            </w:tcBorders>
            <w:shd w:val="clear" w:color="auto" w:fill="DBDBDB"/>
          </w:tcPr>
          <w:p>
            <w:pPr>
              <w:jc w:val="right"/>
              <w:spacing w:after="0" w:line="210" w:lineRule="exact"/>
              <w:rPr>
                <w:sz w:val="20"/>
                <w:szCs w:val="20"/>
                <w:color w:val="auto"/>
              </w:rPr>
            </w:pPr>
            <w:r>
              <w:rPr>
                <w:rFonts w:ascii="Times New Roman" w:cs="Times New Roman" w:eastAsia="Times New Roman" w:hAnsi="Times New Roman"/>
                <w:sz w:val="20"/>
                <w:szCs w:val="20"/>
                <w:color w:val="auto"/>
              </w:rPr>
              <w:t>59,599</w:t>
            </w:r>
          </w:p>
        </w:tc>
        <w:tc>
          <w:tcPr>
            <w:tcW w:w="180" w:type="dxa"/>
            <w:vAlign w:val="bottom"/>
            <w:tcBorders>
              <w:bottom w:val="single" w:sz="8" w:color="DBDBDB"/>
            </w:tcBorders>
            <w:shd w:val="clear" w:color="auto" w:fill="DBDBDB"/>
          </w:tcPr>
          <w:p>
            <w:pPr>
              <w:spacing w:after="0"/>
              <w:rPr>
                <w:sz w:val="20"/>
                <w:szCs w:val="20"/>
                <w:color w:val="auto"/>
              </w:rPr>
            </w:pPr>
          </w:p>
        </w:tc>
        <w:tc>
          <w:tcPr>
            <w:tcW w:w="20" w:type="dxa"/>
            <w:vAlign w:val="bottom"/>
            <w:tcBorders>
              <w:bottom w:val="single" w:sz="8" w:color="DBDBDB"/>
            </w:tcBorders>
            <w:shd w:val="clear" w:color="auto" w:fill="DBDBDB"/>
          </w:tcPr>
          <w:p>
            <w:pPr>
              <w:spacing w:after="0"/>
              <w:rPr>
                <w:sz w:val="20"/>
                <w:szCs w:val="20"/>
                <w:color w:val="auto"/>
              </w:rPr>
            </w:pPr>
          </w:p>
        </w:tc>
        <w:tc>
          <w:tcPr>
            <w:tcW w:w="100" w:type="dxa"/>
            <w:vAlign w:val="bottom"/>
            <w:tcBorders>
              <w:bottom w:val="single" w:sz="8" w:color="auto"/>
            </w:tcBorders>
            <w:shd w:val="clear" w:color="auto" w:fill="DBDBDB"/>
          </w:tcPr>
          <w:p>
            <w:pPr>
              <w:spacing w:after="0"/>
              <w:rPr>
                <w:sz w:val="20"/>
                <w:szCs w:val="20"/>
                <w:color w:val="auto"/>
              </w:rPr>
            </w:pPr>
          </w:p>
        </w:tc>
        <w:tc>
          <w:tcPr>
            <w:tcW w:w="940" w:type="dxa"/>
            <w:vAlign w:val="bottom"/>
            <w:tcBorders>
              <w:bottom w:val="single" w:sz="8" w:color="auto"/>
            </w:tcBorders>
            <w:shd w:val="clear" w:color="auto" w:fill="DBDBDB"/>
          </w:tcPr>
          <w:p>
            <w:pPr>
              <w:jc w:val="right"/>
              <w:spacing w:after="0" w:line="210" w:lineRule="exact"/>
              <w:rPr>
                <w:sz w:val="20"/>
                <w:szCs w:val="20"/>
                <w:color w:val="auto"/>
              </w:rPr>
            </w:pPr>
            <w:r>
              <w:rPr>
                <w:rFonts w:ascii="Times New Roman" w:cs="Times New Roman" w:eastAsia="Times New Roman" w:hAnsi="Times New Roman"/>
                <w:sz w:val="20"/>
                <w:szCs w:val="20"/>
                <w:color w:val="auto"/>
              </w:rPr>
              <w:t>23.9%</w:t>
            </w:r>
          </w:p>
        </w:tc>
        <w:tc>
          <w:tcPr>
            <w:tcW w:w="260" w:type="dxa"/>
            <w:vAlign w:val="bottom"/>
            <w:tcBorders>
              <w:bottom w:val="single" w:sz="8" w:color="DBDBDB"/>
            </w:tcBorders>
            <w:shd w:val="clear" w:color="auto" w:fill="DBDBDB"/>
          </w:tcPr>
          <w:p>
            <w:pPr>
              <w:spacing w:after="0"/>
              <w:rPr>
                <w:sz w:val="20"/>
                <w:szCs w:val="20"/>
                <w:color w:val="auto"/>
              </w:rPr>
            </w:pPr>
          </w:p>
        </w:tc>
        <w:tc>
          <w:tcPr>
            <w:tcW w:w="20" w:type="dxa"/>
            <w:vAlign w:val="bottom"/>
            <w:tcBorders>
              <w:bottom w:val="single" w:sz="8" w:color="DBDBDB"/>
            </w:tcBorders>
            <w:shd w:val="clear" w:color="auto" w:fill="DBDBDB"/>
          </w:tcPr>
          <w:p>
            <w:pPr>
              <w:spacing w:after="0"/>
              <w:rPr>
                <w:sz w:val="20"/>
                <w:szCs w:val="20"/>
                <w:color w:val="auto"/>
              </w:rPr>
            </w:pPr>
          </w:p>
        </w:tc>
        <w:tc>
          <w:tcPr>
            <w:tcW w:w="100" w:type="dxa"/>
            <w:vAlign w:val="bottom"/>
            <w:tcBorders>
              <w:bottom w:val="single" w:sz="8" w:color="auto"/>
            </w:tcBorders>
            <w:shd w:val="clear" w:color="auto" w:fill="DBDBDB"/>
          </w:tcPr>
          <w:p>
            <w:pPr>
              <w:spacing w:after="0"/>
              <w:rPr>
                <w:sz w:val="20"/>
                <w:szCs w:val="20"/>
                <w:color w:val="auto"/>
              </w:rPr>
            </w:pPr>
          </w:p>
        </w:tc>
        <w:tc>
          <w:tcPr>
            <w:tcW w:w="960" w:type="dxa"/>
            <w:vAlign w:val="bottom"/>
            <w:tcBorders>
              <w:bottom w:val="single" w:sz="8" w:color="auto"/>
            </w:tcBorders>
            <w:shd w:val="clear" w:color="auto" w:fill="DBDBDB"/>
          </w:tcPr>
          <w:p>
            <w:pPr>
              <w:jc w:val="right"/>
              <w:spacing w:after="0" w:line="210" w:lineRule="exact"/>
              <w:rPr>
                <w:sz w:val="20"/>
                <w:szCs w:val="20"/>
                <w:color w:val="auto"/>
              </w:rPr>
            </w:pPr>
            <w:r>
              <w:rPr>
                <w:rFonts w:ascii="Times New Roman" w:cs="Times New Roman" w:eastAsia="Times New Roman" w:hAnsi="Times New Roman"/>
                <w:sz w:val="20"/>
                <w:szCs w:val="20"/>
                <w:color w:val="auto"/>
              </w:rPr>
              <w:t>16,142</w:t>
            </w:r>
          </w:p>
        </w:tc>
        <w:tc>
          <w:tcPr>
            <w:tcW w:w="180" w:type="dxa"/>
            <w:vAlign w:val="bottom"/>
            <w:tcBorders>
              <w:bottom w:val="single" w:sz="8" w:color="DBDBDB"/>
            </w:tcBorders>
            <w:shd w:val="clear" w:color="auto" w:fill="DBDBDB"/>
          </w:tcPr>
          <w:p>
            <w:pPr>
              <w:spacing w:after="0"/>
              <w:rPr>
                <w:sz w:val="20"/>
                <w:szCs w:val="20"/>
                <w:color w:val="auto"/>
              </w:rPr>
            </w:pPr>
          </w:p>
        </w:tc>
        <w:tc>
          <w:tcPr>
            <w:tcW w:w="20" w:type="dxa"/>
            <w:vAlign w:val="bottom"/>
            <w:tcBorders>
              <w:bottom w:val="single" w:sz="8" w:color="DBDBDB"/>
            </w:tcBorders>
            <w:shd w:val="clear" w:color="auto" w:fill="DBDBDB"/>
          </w:tcPr>
          <w:p>
            <w:pPr>
              <w:spacing w:after="0"/>
              <w:rPr>
                <w:sz w:val="20"/>
                <w:szCs w:val="20"/>
                <w:color w:val="auto"/>
              </w:rPr>
            </w:pPr>
          </w:p>
        </w:tc>
        <w:tc>
          <w:tcPr>
            <w:tcW w:w="320" w:type="dxa"/>
            <w:vAlign w:val="bottom"/>
            <w:tcBorders>
              <w:bottom w:val="single" w:sz="8" w:color="auto"/>
            </w:tcBorders>
            <w:shd w:val="clear" w:color="auto" w:fill="DBDBDB"/>
          </w:tcPr>
          <w:p>
            <w:pPr>
              <w:spacing w:after="0"/>
              <w:rPr>
                <w:sz w:val="20"/>
                <w:szCs w:val="20"/>
                <w:color w:val="auto"/>
              </w:rPr>
            </w:pPr>
          </w:p>
        </w:tc>
        <w:tc>
          <w:tcPr>
            <w:tcW w:w="740" w:type="dxa"/>
            <w:vAlign w:val="bottom"/>
            <w:tcBorders>
              <w:bottom w:val="single" w:sz="8" w:color="auto"/>
            </w:tcBorders>
            <w:shd w:val="clear" w:color="auto" w:fill="DBDBDB"/>
          </w:tcPr>
          <w:p>
            <w:pPr>
              <w:ind w:left="220"/>
              <w:spacing w:after="0" w:line="210" w:lineRule="exact"/>
              <w:rPr>
                <w:sz w:val="20"/>
                <w:szCs w:val="20"/>
                <w:color w:val="auto"/>
              </w:rPr>
            </w:pPr>
            <w:r>
              <w:rPr>
                <w:rFonts w:ascii="Times New Roman" w:cs="Times New Roman" w:eastAsia="Times New Roman" w:hAnsi="Times New Roman"/>
                <w:sz w:val="20"/>
                <w:szCs w:val="20"/>
                <w:color w:val="auto"/>
                <w:w w:val="96"/>
              </w:rPr>
              <w:t>27.1%</w:t>
            </w:r>
          </w:p>
        </w:tc>
        <w:tc>
          <w:tcPr>
            <w:tcW w:w="0" w:type="dxa"/>
            <w:vAlign w:val="bottom"/>
          </w:tcPr>
          <w:p>
            <w:pPr>
              <w:spacing w:after="0"/>
              <w:rPr>
                <w:sz w:val="1"/>
                <w:szCs w:val="1"/>
                <w:color w:val="auto"/>
              </w:rPr>
            </w:pPr>
          </w:p>
        </w:tc>
      </w:tr>
      <w:tr>
        <w:trPr>
          <w:trHeight w:val="227"/>
        </w:trPr>
        <w:tc>
          <w:tcPr>
            <w:tcW w:w="3100" w:type="dxa"/>
            <w:vAlign w:val="bottom"/>
            <w:gridSpan w:val="2"/>
          </w:tcPr>
          <w:p>
            <w:pPr>
              <w:ind w:left="20"/>
              <w:spacing w:after="0" w:line="227" w:lineRule="exact"/>
              <w:rPr>
                <w:sz w:val="20"/>
                <w:szCs w:val="20"/>
                <w:color w:val="auto"/>
              </w:rPr>
            </w:pPr>
            <w:r>
              <w:rPr>
                <w:rFonts w:ascii="Times New Roman" w:cs="Times New Roman" w:eastAsia="Times New Roman" w:hAnsi="Times New Roman"/>
                <w:sz w:val="20"/>
                <w:szCs w:val="20"/>
                <w:color w:val="auto"/>
              </w:rPr>
              <w:t>Total operating expenses</w:t>
            </w:r>
          </w:p>
        </w:tc>
        <w:tc>
          <w:tcPr>
            <w:tcW w:w="120" w:type="dxa"/>
            <w:vAlign w:val="bottom"/>
            <w:tcBorders>
              <w:bottom w:val="single" w:sz="8" w:color="auto"/>
            </w:tcBorders>
          </w:tcPr>
          <w:p>
            <w:pPr>
              <w:jc w:val="right"/>
              <w:spacing w:after="0" w:line="227" w:lineRule="exact"/>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tcBorders>
              <w:bottom w:val="single" w:sz="8" w:color="auto"/>
            </w:tcBorders>
          </w:tcPr>
          <w:p>
            <w:pPr>
              <w:ind w:left="320"/>
              <w:spacing w:after="0" w:line="227" w:lineRule="exact"/>
              <w:rPr>
                <w:sz w:val="20"/>
                <w:szCs w:val="20"/>
                <w:color w:val="auto"/>
              </w:rPr>
            </w:pPr>
            <w:r>
              <w:rPr>
                <w:rFonts w:ascii="Times New Roman" w:cs="Times New Roman" w:eastAsia="Times New Roman" w:hAnsi="Times New Roman"/>
                <w:sz w:val="20"/>
                <w:szCs w:val="20"/>
                <w:color w:val="auto"/>
                <w:w w:val="95"/>
              </w:rPr>
              <w:t>191,515</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line="227" w:lineRule="exact"/>
              <w:rPr>
                <w:sz w:val="20"/>
                <w:szCs w:val="20"/>
                <w:color w:val="auto"/>
              </w:rPr>
            </w:pPr>
            <w:r>
              <w:rPr>
                <w:rFonts w:ascii="Times New Roman" w:cs="Times New Roman" w:eastAsia="Times New Roman" w:hAnsi="Times New Roman"/>
                <w:sz w:val="20"/>
                <w:szCs w:val="20"/>
                <w:color w:val="auto"/>
              </w:rPr>
              <w:t>42.0%</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line="227"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bottom w:val="single" w:sz="8" w:color="auto"/>
            </w:tcBorders>
          </w:tcPr>
          <w:p>
            <w:pPr>
              <w:jc w:val="right"/>
              <w:spacing w:after="0" w:line="227" w:lineRule="exact"/>
              <w:rPr>
                <w:sz w:val="20"/>
                <w:szCs w:val="20"/>
                <w:color w:val="auto"/>
              </w:rPr>
            </w:pPr>
            <w:r>
              <w:rPr>
                <w:rFonts w:ascii="Times New Roman" w:cs="Times New Roman" w:eastAsia="Times New Roman" w:hAnsi="Times New Roman"/>
                <w:sz w:val="20"/>
                <w:szCs w:val="20"/>
                <w:color w:val="auto"/>
              </w:rPr>
              <w:t>132,708</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line="227" w:lineRule="exact"/>
              <w:rPr>
                <w:sz w:val="20"/>
                <w:szCs w:val="20"/>
                <w:color w:val="auto"/>
              </w:rPr>
            </w:pPr>
            <w:r>
              <w:rPr>
                <w:rFonts w:ascii="Times New Roman" w:cs="Times New Roman" w:eastAsia="Times New Roman" w:hAnsi="Times New Roman"/>
                <w:sz w:val="20"/>
                <w:szCs w:val="20"/>
                <w:color w:val="auto"/>
              </w:rPr>
              <w:t>53.2%</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line="227"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bottom w:val="single" w:sz="8" w:color="auto"/>
            </w:tcBorders>
          </w:tcPr>
          <w:p>
            <w:pPr>
              <w:jc w:val="right"/>
              <w:spacing w:after="0" w:line="227" w:lineRule="exact"/>
              <w:rPr>
                <w:sz w:val="20"/>
                <w:szCs w:val="20"/>
                <w:color w:val="auto"/>
              </w:rPr>
            </w:pPr>
            <w:r>
              <w:rPr>
                <w:rFonts w:ascii="Times New Roman" w:cs="Times New Roman" w:eastAsia="Times New Roman" w:hAnsi="Times New Roman"/>
                <w:sz w:val="20"/>
                <w:szCs w:val="20"/>
                <w:color w:val="auto"/>
              </w:rPr>
              <w:t>58,807</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220"/>
              <w:spacing w:after="0" w:line="227" w:lineRule="exact"/>
              <w:rPr>
                <w:sz w:val="20"/>
                <w:szCs w:val="20"/>
                <w:color w:val="auto"/>
              </w:rPr>
            </w:pPr>
            <w:r>
              <w:rPr>
                <w:rFonts w:ascii="Times New Roman" w:cs="Times New Roman" w:eastAsia="Times New Roman" w:hAnsi="Times New Roman"/>
                <w:sz w:val="20"/>
                <w:szCs w:val="20"/>
                <w:color w:val="auto"/>
                <w:w w:val="96"/>
              </w:rPr>
              <w:t>44.3%</w:t>
            </w:r>
          </w:p>
        </w:tc>
        <w:tc>
          <w:tcPr>
            <w:tcW w:w="0" w:type="dxa"/>
            <w:vAlign w:val="bottom"/>
          </w:tcPr>
          <w:p>
            <w:pPr>
              <w:spacing w:after="0"/>
              <w:rPr>
                <w:sz w:val="1"/>
                <w:szCs w:val="1"/>
                <w:color w:val="auto"/>
              </w:rPr>
            </w:pPr>
          </w:p>
        </w:tc>
      </w:tr>
      <w:tr>
        <w:trPr>
          <w:trHeight w:val="20"/>
        </w:trPr>
        <w:tc>
          <w:tcPr>
            <w:tcW w:w="3010" w:type="dxa"/>
            <w:vAlign w:val="bottom"/>
          </w:tcPr>
          <w:p>
            <w:pPr>
              <w:spacing w:after="0" w:line="20" w:lineRule="exact"/>
              <w:rPr>
                <w:sz w:val="1"/>
                <w:szCs w:val="1"/>
                <w:color w:val="auto"/>
              </w:rPr>
            </w:pPr>
          </w:p>
        </w:tc>
        <w:tc>
          <w:tcPr>
            <w:tcW w:w="9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Research and development expense</w:t>
      </w:r>
    </w:p>
    <w:p>
      <w:pPr>
        <w:spacing w:after="0" w:line="218" w:lineRule="exact"/>
        <w:rPr>
          <w:sz w:val="20"/>
          <w:szCs w:val="20"/>
          <w:color w:val="auto"/>
        </w:rPr>
      </w:pPr>
    </w:p>
    <w:p>
      <w:pPr>
        <w:jc w:val="both"/>
        <w:ind w:firstLine="706"/>
        <w:spacing w:after="0" w:line="239" w:lineRule="auto"/>
        <w:rPr>
          <w:sz w:val="20"/>
          <w:szCs w:val="20"/>
          <w:color w:val="auto"/>
        </w:rPr>
      </w:pPr>
      <w:r>
        <w:rPr>
          <w:rFonts w:ascii="Times New Roman" w:cs="Times New Roman" w:eastAsia="Times New Roman" w:hAnsi="Times New Roman"/>
          <w:sz w:val="20"/>
          <w:szCs w:val="20"/>
          <w:color w:val="auto"/>
        </w:rPr>
        <w:t>Research and development expense increased $30.6 million, or 55.6%, from 2024 to 2025. Research and development costs consist of R&amp;D work orders, R&amp;D material usage and other project related costs related to 100 Gbps, 200/400/800/1,600 Gbps data center products, DOCSIS 4.0 capable CATV products, including 1.8 GHz-capable amplifier products, and other new product development, and depreciation expense resulting from R&amp;D equipment investments. The expenses increased due to a higher volume of internal work orders and headcount increase. During 2025, we experienced increased interest in new technologies like 800G and 1.6T among our data center customers. Supporting customer testing and qualification for these new opportunities materially increased our R&amp;D expenditures, and to the extent that we continue to see elevated customer interest in these new technologies we also expect continued elevated R&amp;D expenditures relative to historical averages. We continue to place a high degree of strategic focus on innovation and product development to support future growth.</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Sales and marketing expense</w:t>
      </w:r>
    </w:p>
    <w:p>
      <w:pPr>
        <w:spacing w:after="0" w:line="218" w:lineRule="exact"/>
        <w:rPr>
          <w:sz w:val="20"/>
          <w:szCs w:val="20"/>
          <w:color w:val="auto"/>
        </w:rPr>
      </w:pPr>
    </w:p>
    <w:p>
      <w:pPr>
        <w:jc w:val="both"/>
        <w:ind w:right="20" w:firstLine="706"/>
        <w:spacing w:after="0" w:line="268" w:lineRule="auto"/>
        <w:rPr>
          <w:sz w:val="20"/>
          <w:szCs w:val="20"/>
          <w:color w:val="auto"/>
        </w:rPr>
      </w:pPr>
      <w:r>
        <w:rPr>
          <w:rFonts w:ascii="Times New Roman" w:cs="Times New Roman" w:eastAsia="Times New Roman" w:hAnsi="Times New Roman"/>
          <w:sz w:val="20"/>
          <w:szCs w:val="20"/>
          <w:color w:val="auto"/>
        </w:rPr>
        <w:t>Sales and marketing expense increased by $12.1 million, or 66.7%, from 2024 to 2025. These increases were primarily due to more sales effort for our Quantum Bandwidth™ products and higher shipping expenses, including tariffs.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General and administrative expense</w:t>
      </w:r>
    </w:p>
    <w:p>
      <w:pPr>
        <w:spacing w:after="0" w:line="218" w:lineRule="exact"/>
        <w:rPr>
          <w:sz w:val="20"/>
          <w:szCs w:val="20"/>
          <w:color w:val="auto"/>
        </w:rPr>
      </w:pPr>
    </w:p>
    <w:p>
      <w:pPr>
        <w:jc w:val="both"/>
        <w:ind w:firstLine="706"/>
        <w:spacing w:after="0" w:line="268" w:lineRule="auto"/>
        <w:rPr>
          <w:sz w:val="20"/>
          <w:szCs w:val="20"/>
          <w:color w:val="auto"/>
        </w:rPr>
      </w:pPr>
      <w:r>
        <w:rPr>
          <w:rFonts w:ascii="Times New Roman" w:cs="Times New Roman" w:eastAsia="Times New Roman" w:hAnsi="Times New Roman"/>
          <w:sz w:val="20"/>
          <w:szCs w:val="20"/>
          <w:color w:val="auto"/>
        </w:rPr>
        <w:t>General and administrative expense increased by $16.1 million, or 27.1%, from 2024 to 2025. These increases were primarily due to the higher professional service fees and increased headcount and offset by decreased share-based compensation.</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100" w:type="dxa"/>
            <w:vAlign w:val="bottom"/>
            <w:gridSpan w:val="2"/>
          </w:tcPr>
          <w:p>
            <w:pPr>
              <w:spacing w:after="0"/>
              <w:rPr>
                <w:sz w:val="20"/>
                <w:szCs w:val="20"/>
                <w:color w:val="auto"/>
              </w:rPr>
            </w:pPr>
            <w:r>
              <w:rPr>
                <w:rFonts w:ascii="Times New Roman" w:cs="Times New Roman" w:eastAsia="Times New Roman" w:hAnsi="Times New Roman"/>
                <w:sz w:val="20"/>
                <w:szCs w:val="20"/>
                <w:i w:val="1"/>
                <w:iCs w:val="1"/>
                <w:color w:val="auto"/>
              </w:rPr>
              <w:t>Other income (expense), net</w:t>
            </w: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0"/>
        </w:trPr>
        <w:tc>
          <w:tcPr>
            <w:tcW w:w="3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7"/>
          </w:tcPr>
          <w:p>
            <w:pPr>
              <w:jc w:val="center"/>
              <w:ind w:right="360"/>
              <w:spacing w:after="0"/>
              <w:rPr>
                <w:sz w:val="20"/>
                <w:szCs w:val="20"/>
                <w:color w:val="auto"/>
              </w:rPr>
            </w:pPr>
            <w:r>
              <w:rPr>
                <w:rFonts w:ascii="Times New Roman" w:cs="Times New Roman" w:eastAsia="Times New Roman" w:hAnsi="Times New Roman"/>
                <w:sz w:val="20"/>
                <w:szCs w:val="20"/>
                <w:b w:val="1"/>
                <w:bCs w:val="1"/>
                <w:color w:val="auto"/>
                <w:w w:val="98"/>
              </w:rPr>
              <w:t>Years ended December 31,</w:t>
            </w:r>
          </w:p>
        </w:tc>
        <w:tc>
          <w:tcPr>
            <w:tcW w:w="88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gridSpan w:val="6"/>
            <w:vMerge w:val="restart"/>
          </w:tcPr>
          <w:p>
            <w:pPr>
              <w:ind w:left="700"/>
              <w:spacing w:after="0"/>
              <w:rPr>
                <w:sz w:val="20"/>
                <w:szCs w:val="20"/>
                <w:color w:val="auto"/>
              </w:rPr>
            </w:pPr>
            <w:r>
              <w:rPr>
                <w:rFonts w:ascii="Times New Roman" w:cs="Times New Roman" w:eastAsia="Times New Roman" w:hAnsi="Times New Roman"/>
                <w:sz w:val="20"/>
                <w:szCs w:val="20"/>
                <w:b w:val="1"/>
                <w:bCs w:val="1"/>
                <w:color w:val="auto"/>
              </w:rPr>
              <w:t>Change</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3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4"/>
          </w:tcPr>
          <w:p>
            <w:pPr>
              <w:jc w:val="right"/>
              <w:ind w:right="842"/>
              <w:spacing w:after="0" w:line="227" w:lineRule="exact"/>
              <w:rPr>
                <w:sz w:val="20"/>
                <w:szCs w:val="20"/>
                <w:color w:val="auto"/>
              </w:rPr>
            </w:pPr>
            <w:r>
              <w:rPr>
                <w:rFonts w:ascii="Times New Roman" w:cs="Times New Roman" w:eastAsia="Times New Roman" w:hAnsi="Times New Roman"/>
                <w:sz w:val="20"/>
                <w:szCs w:val="20"/>
                <w:b w:val="1"/>
                <w:bCs w:val="1"/>
                <w:color w:val="auto"/>
              </w:rPr>
              <w:t>2025</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ind w:right="60"/>
              <w:spacing w:after="0" w:line="227" w:lineRule="exact"/>
              <w:rPr>
                <w:sz w:val="20"/>
                <w:szCs w:val="20"/>
                <w:color w:val="auto"/>
              </w:rPr>
            </w:pPr>
            <w:r>
              <w:rPr>
                <w:rFonts w:ascii="Times New Roman" w:cs="Times New Roman" w:eastAsia="Times New Roman" w:hAnsi="Times New Roman"/>
                <w:sz w:val="20"/>
                <w:szCs w:val="20"/>
                <w:b w:val="1"/>
                <w:bCs w:val="1"/>
                <w:color w:val="auto"/>
              </w:rPr>
              <w:t>2024</w:t>
            </w:r>
          </w:p>
        </w:tc>
        <w:tc>
          <w:tcPr>
            <w:tcW w:w="88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6"/>
            <w:vMerge w:val="continue"/>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jc w:val="right"/>
              <w:ind w:right="222"/>
              <w:spacing w:after="0" w:line="207" w:lineRule="exact"/>
              <w:rPr>
                <w:sz w:val="20"/>
                <w:szCs w:val="20"/>
                <w:color w:val="auto"/>
              </w:rPr>
            </w:pPr>
            <w:r>
              <w:rPr>
                <w:rFonts w:ascii="Times New Roman" w:cs="Times New Roman" w:eastAsia="Times New Roman" w:hAnsi="Times New Roman"/>
                <w:sz w:val="20"/>
                <w:szCs w:val="20"/>
                <w:b w:val="1"/>
                <w:bCs w:val="1"/>
                <w:color w:val="auto"/>
              </w:rPr>
              <w:t>% of</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202"/>
              <w:spacing w:after="0" w:line="207" w:lineRule="exact"/>
              <w:rPr>
                <w:sz w:val="20"/>
                <w:szCs w:val="20"/>
                <w:color w:val="auto"/>
              </w:rPr>
            </w:pPr>
            <w:r>
              <w:rPr>
                <w:rFonts w:ascii="Times New Roman" w:cs="Times New Roman" w:eastAsia="Times New Roman" w:hAnsi="Times New Roman"/>
                <w:sz w:val="20"/>
                <w:szCs w:val="20"/>
                <w:b w:val="1"/>
                <w:bCs w:val="1"/>
                <w:color w:val="auto"/>
              </w:rPr>
              <w:t>% of</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30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b w:val="1"/>
                <w:bCs w:val="1"/>
                <w:color w:val="auto"/>
              </w:rPr>
              <w:t>Amount</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b w:val="1"/>
                <w:bCs w:val="1"/>
                <w:color w:val="auto"/>
              </w:rPr>
              <w:t>revenue</w:t>
            </w:r>
          </w:p>
        </w:tc>
        <w:tc>
          <w:tcPr>
            <w:tcW w:w="3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20"/>
                <w:szCs w:val="20"/>
                <w:b w:val="1"/>
                <w:bCs w:val="1"/>
                <w:color w:val="auto"/>
                <w:w w:val="94"/>
              </w:rPr>
              <w:t>(in</w:t>
            </w: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20"/>
                <w:szCs w:val="20"/>
                <w:b w:val="1"/>
                <w:bCs w:val="1"/>
                <w:color w:val="auto"/>
              </w:rPr>
              <w:t>Amount</w:t>
            </w:r>
          </w:p>
        </w:tc>
        <w:tc>
          <w:tcPr>
            <w:tcW w:w="1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b w:val="1"/>
                <w:bCs w:val="1"/>
                <w:color w:val="auto"/>
              </w:rPr>
              <w:t>revenue</w:t>
            </w:r>
          </w:p>
        </w:tc>
        <w:tc>
          <w:tcPr>
            <w:tcW w:w="340" w:type="dxa"/>
            <w:vAlign w:val="bottom"/>
            <w:gridSpan w:val="2"/>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20"/>
                <w:szCs w:val="20"/>
                <w:b w:val="1"/>
                <w:bCs w:val="1"/>
                <w:color w:val="auto"/>
              </w:rPr>
              <w:t>Amount</w:t>
            </w:r>
          </w:p>
        </w:tc>
        <w:tc>
          <w:tcPr>
            <w:tcW w:w="180" w:type="dxa"/>
            <w:vAlign w:val="bottom"/>
            <w:gridSpan w:val="4"/>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20"/>
                <w:szCs w:val="20"/>
                <w:b w:val="1"/>
                <w:bCs w:val="1"/>
                <w:color w:val="auto"/>
              </w:rPr>
              <w:t>%</w:t>
            </w:r>
          </w:p>
        </w:tc>
        <w:tc>
          <w:tcPr>
            <w:tcW w:w="0" w:type="dxa"/>
            <w:vAlign w:val="bottom"/>
          </w:tcPr>
          <w:p>
            <w:pPr>
              <w:spacing w:after="0"/>
              <w:rPr>
                <w:sz w:val="1"/>
                <w:szCs w:val="1"/>
                <w:color w:val="auto"/>
              </w:rPr>
            </w:pPr>
          </w:p>
        </w:tc>
      </w:tr>
      <w:tr>
        <w:trPr>
          <w:trHeight w:val="227"/>
        </w:trPr>
        <w:tc>
          <w:tcPr>
            <w:tcW w:w="3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gridSpan w:val="2"/>
            <w:vMerge w:val="continue"/>
          </w:tcPr>
          <w:p>
            <w:pPr>
              <w:spacing w:after="0"/>
              <w:rPr>
                <w:sz w:val="19"/>
                <w:szCs w:val="19"/>
                <w:color w:val="auto"/>
              </w:rPr>
            </w:pPr>
          </w:p>
        </w:tc>
        <w:tc>
          <w:tcPr>
            <w:tcW w:w="2600" w:type="dxa"/>
            <w:vAlign w:val="bottom"/>
            <w:gridSpan w:val="7"/>
          </w:tcPr>
          <w:p>
            <w:pPr>
              <w:spacing w:after="0" w:line="227" w:lineRule="exact"/>
              <w:rPr>
                <w:sz w:val="20"/>
                <w:szCs w:val="20"/>
                <w:color w:val="auto"/>
              </w:rPr>
            </w:pPr>
            <w:r>
              <w:rPr>
                <w:rFonts w:ascii="Times New Roman" w:cs="Times New Roman" w:eastAsia="Times New Roman" w:hAnsi="Times New Roman"/>
                <w:sz w:val="20"/>
                <w:szCs w:val="20"/>
                <w:b w:val="1"/>
                <w:bCs w:val="1"/>
                <w:color w:val="auto"/>
                <w:w w:val="97"/>
              </w:rPr>
              <w:t>thousands, except percentages)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3080" w:type="dxa"/>
            <w:vAlign w:val="bottom"/>
            <w:tcBorders>
              <w:bottom w:val="single" w:sz="8" w:color="DBDBDB"/>
            </w:tcBorders>
            <w:shd w:val="clear" w:color="auto" w:fill="DBDBDB"/>
          </w:tcPr>
          <w:p>
            <w:pPr>
              <w:ind w:left="20"/>
              <w:spacing w:after="0" w:line="229" w:lineRule="exact"/>
              <w:rPr>
                <w:sz w:val="20"/>
                <w:szCs w:val="20"/>
                <w:color w:val="auto"/>
              </w:rPr>
            </w:pPr>
            <w:r>
              <w:rPr>
                <w:rFonts w:ascii="Times New Roman" w:cs="Times New Roman" w:eastAsia="Times New Roman" w:hAnsi="Times New Roman"/>
                <w:sz w:val="20"/>
                <w:szCs w:val="20"/>
                <w:color w:val="auto"/>
              </w:rPr>
              <w:t>Interest income</w:t>
            </w:r>
          </w:p>
        </w:tc>
        <w:tc>
          <w:tcPr>
            <w:tcW w:w="20" w:type="dxa"/>
            <w:vAlign w:val="bottom"/>
            <w:tcBorders>
              <w:bottom w:val="single" w:sz="8" w:color="DBDBDB"/>
            </w:tcBorders>
            <w:shd w:val="clear" w:color="auto" w:fill="DBDBDB"/>
          </w:tcPr>
          <w:p>
            <w:pPr>
              <w:spacing w:after="0"/>
              <w:rPr>
                <w:sz w:val="20"/>
                <w:szCs w:val="20"/>
                <w:color w:val="auto"/>
              </w:rPr>
            </w:pPr>
          </w:p>
        </w:tc>
        <w:tc>
          <w:tcPr>
            <w:tcW w:w="100" w:type="dxa"/>
            <w:vAlign w:val="bottom"/>
            <w:tcBorders>
              <w:bottom w:val="single" w:sz="8" w:color="DBDBDB"/>
            </w:tcBorders>
            <w:shd w:val="clear" w:color="auto" w:fill="DBDBDB"/>
          </w:tcPr>
          <w:p>
            <w:pPr>
              <w:jc w:val="right"/>
              <w:spacing w:after="0" w:line="229"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960" w:type="dxa"/>
            <w:vAlign w:val="bottom"/>
            <w:tcBorders>
              <w:bottom w:val="single" w:sz="8" w:color="DBDBDB"/>
            </w:tcBorders>
            <w:shd w:val="clear" w:color="auto" w:fill="DBDBDB"/>
          </w:tcPr>
          <w:p>
            <w:pPr>
              <w:jc w:val="right"/>
              <w:spacing w:after="0" w:line="229" w:lineRule="exact"/>
              <w:rPr>
                <w:sz w:val="20"/>
                <w:szCs w:val="20"/>
                <w:color w:val="auto"/>
              </w:rPr>
            </w:pPr>
            <w:r>
              <w:rPr>
                <w:rFonts w:ascii="Times New Roman" w:cs="Times New Roman" w:eastAsia="Times New Roman" w:hAnsi="Times New Roman"/>
                <w:sz w:val="20"/>
                <w:szCs w:val="20"/>
                <w:color w:val="auto"/>
              </w:rPr>
              <w:t>1,792</w:t>
            </w:r>
          </w:p>
        </w:tc>
        <w:tc>
          <w:tcPr>
            <w:tcW w:w="160" w:type="dxa"/>
            <w:vAlign w:val="bottom"/>
            <w:tcBorders>
              <w:bottom w:val="single" w:sz="8" w:color="DBDBDB"/>
            </w:tcBorders>
            <w:shd w:val="clear" w:color="auto" w:fill="DBDBDB"/>
          </w:tcPr>
          <w:p>
            <w:pPr>
              <w:spacing w:after="0"/>
              <w:rPr>
                <w:sz w:val="20"/>
                <w:szCs w:val="20"/>
                <w:color w:val="auto"/>
              </w:rPr>
            </w:pPr>
          </w:p>
        </w:tc>
        <w:tc>
          <w:tcPr>
            <w:tcW w:w="20" w:type="dxa"/>
            <w:vAlign w:val="bottom"/>
            <w:tcBorders>
              <w:bottom w:val="single" w:sz="8" w:color="DBDBDB"/>
            </w:tcBorders>
            <w:shd w:val="clear" w:color="auto" w:fill="DBDBDB"/>
          </w:tcPr>
          <w:p>
            <w:pPr>
              <w:spacing w:after="0"/>
              <w:rPr>
                <w:sz w:val="20"/>
                <w:szCs w:val="20"/>
                <w:color w:val="auto"/>
              </w:rPr>
            </w:pPr>
          </w:p>
        </w:tc>
        <w:tc>
          <w:tcPr>
            <w:tcW w:w="1040" w:type="dxa"/>
            <w:vAlign w:val="bottom"/>
            <w:tcBorders>
              <w:bottom w:val="single" w:sz="8" w:color="DBDBDB"/>
            </w:tcBorders>
            <w:shd w:val="clear" w:color="auto" w:fill="DBDBDB"/>
          </w:tcPr>
          <w:p>
            <w:pPr>
              <w:jc w:val="right"/>
              <w:spacing w:after="0" w:line="229" w:lineRule="exact"/>
              <w:rPr>
                <w:sz w:val="20"/>
                <w:szCs w:val="20"/>
                <w:color w:val="auto"/>
              </w:rPr>
            </w:pPr>
            <w:r>
              <w:rPr>
                <w:rFonts w:ascii="Times New Roman" w:cs="Times New Roman" w:eastAsia="Times New Roman" w:hAnsi="Times New Roman"/>
                <w:sz w:val="20"/>
                <w:szCs w:val="20"/>
                <w:color w:val="auto"/>
              </w:rPr>
              <w:t>0.4%</w:t>
            </w:r>
          </w:p>
        </w:tc>
        <w:tc>
          <w:tcPr>
            <w:tcW w:w="320" w:type="dxa"/>
            <w:vAlign w:val="bottom"/>
            <w:tcBorders>
              <w:bottom w:val="single" w:sz="8" w:color="DBDBDB"/>
            </w:tcBorders>
            <w:shd w:val="clear" w:color="auto" w:fill="DBDBDB"/>
          </w:tcPr>
          <w:p>
            <w:pPr>
              <w:spacing w:after="0"/>
              <w:rPr>
                <w:sz w:val="20"/>
                <w:szCs w:val="20"/>
                <w:color w:val="auto"/>
              </w:rPr>
            </w:pPr>
          </w:p>
        </w:tc>
        <w:tc>
          <w:tcPr>
            <w:tcW w:w="20" w:type="dxa"/>
            <w:vAlign w:val="bottom"/>
            <w:tcBorders>
              <w:bottom w:val="single" w:sz="8" w:color="DBDBDB"/>
            </w:tcBorders>
            <w:shd w:val="clear" w:color="auto" w:fill="DBDBDB"/>
          </w:tcPr>
          <w:p>
            <w:pPr>
              <w:spacing w:after="0"/>
              <w:rPr>
                <w:sz w:val="20"/>
                <w:szCs w:val="20"/>
                <w:color w:val="auto"/>
              </w:rPr>
            </w:pPr>
          </w:p>
        </w:tc>
        <w:tc>
          <w:tcPr>
            <w:tcW w:w="100" w:type="dxa"/>
            <w:vAlign w:val="bottom"/>
            <w:tcBorders>
              <w:bottom w:val="single" w:sz="8" w:color="DBDBDB"/>
            </w:tcBorders>
            <w:shd w:val="clear" w:color="auto" w:fill="DBDBDB"/>
          </w:tcPr>
          <w:p>
            <w:pPr>
              <w:spacing w:after="0" w:line="229"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960" w:type="dxa"/>
            <w:vAlign w:val="bottom"/>
            <w:tcBorders>
              <w:bottom w:val="single" w:sz="8" w:color="DBDBDB"/>
            </w:tcBorders>
            <w:shd w:val="clear" w:color="auto" w:fill="DBDBDB"/>
          </w:tcPr>
          <w:p>
            <w:pPr>
              <w:jc w:val="right"/>
              <w:spacing w:after="0" w:line="229" w:lineRule="exact"/>
              <w:rPr>
                <w:sz w:val="20"/>
                <w:szCs w:val="20"/>
                <w:color w:val="auto"/>
              </w:rPr>
            </w:pPr>
            <w:r>
              <w:rPr>
                <w:rFonts w:ascii="Times New Roman" w:cs="Times New Roman" w:eastAsia="Times New Roman" w:hAnsi="Times New Roman"/>
                <w:sz w:val="20"/>
                <w:szCs w:val="20"/>
                <w:color w:val="auto"/>
              </w:rPr>
              <w:t>874</w:t>
            </w:r>
          </w:p>
        </w:tc>
        <w:tc>
          <w:tcPr>
            <w:tcW w:w="160" w:type="dxa"/>
            <w:vAlign w:val="bottom"/>
            <w:tcBorders>
              <w:bottom w:val="single" w:sz="8" w:color="DBDBDB"/>
            </w:tcBorders>
            <w:shd w:val="clear" w:color="auto" w:fill="DBDBDB"/>
          </w:tcPr>
          <w:p>
            <w:pPr>
              <w:spacing w:after="0"/>
              <w:rPr>
                <w:sz w:val="20"/>
                <w:szCs w:val="20"/>
                <w:color w:val="auto"/>
              </w:rPr>
            </w:pPr>
          </w:p>
        </w:tc>
        <w:tc>
          <w:tcPr>
            <w:tcW w:w="160" w:type="dxa"/>
            <w:vAlign w:val="bottom"/>
            <w:tcBorders>
              <w:bottom w:val="single" w:sz="8" w:color="DBDBDB"/>
            </w:tcBorders>
            <w:shd w:val="clear" w:color="auto" w:fill="DBDBDB"/>
          </w:tcPr>
          <w:p>
            <w:pPr>
              <w:spacing w:after="0"/>
              <w:rPr>
                <w:sz w:val="20"/>
                <w:szCs w:val="20"/>
                <w:color w:val="auto"/>
              </w:rPr>
            </w:pPr>
          </w:p>
        </w:tc>
        <w:tc>
          <w:tcPr>
            <w:tcW w:w="880" w:type="dxa"/>
            <w:vAlign w:val="bottom"/>
            <w:tcBorders>
              <w:bottom w:val="single" w:sz="8" w:color="DBDBDB"/>
            </w:tcBorders>
            <w:shd w:val="clear" w:color="auto" w:fill="DBDBDB"/>
          </w:tcPr>
          <w:p>
            <w:pPr>
              <w:jc w:val="right"/>
              <w:spacing w:after="0" w:line="229" w:lineRule="exact"/>
              <w:rPr>
                <w:sz w:val="20"/>
                <w:szCs w:val="20"/>
                <w:color w:val="auto"/>
              </w:rPr>
            </w:pPr>
            <w:r>
              <w:rPr>
                <w:rFonts w:ascii="Times New Roman" w:cs="Times New Roman" w:eastAsia="Times New Roman" w:hAnsi="Times New Roman"/>
                <w:sz w:val="20"/>
                <w:szCs w:val="20"/>
                <w:color w:val="auto"/>
              </w:rPr>
              <w:t>0.4%</w:t>
            </w:r>
          </w:p>
        </w:tc>
        <w:tc>
          <w:tcPr>
            <w:tcW w:w="320" w:type="dxa"/>
            <w:vAlign w:val="bottom"/>
            <w:tcBorders>
              <w:bottom w:val="single" w:sz="8" w:color="DBDBDB"/>
            </w:tcBorders>
            <w:shd w:val="clear" w:color="auto" w:fill="DBDBDB"/>
          </w:tcPr>
          <w:p>
            <w:pPr>
              <w:spacing w:after="0"/>
              <w:rPr>
                <w:sz w:val="20"/>
                <w:szCs w:val="20"/>
                <w:color w:val="auto"/>
              </w:rPr>
            </w:pPr>
          </w:p>
        </w:tc>
        <w:tc>
          <w:tcPr>
            <w:tcW w:w="20" w:type="dxa"/>
            <w:vAlign w:val="bottom"/>
            <w:tcBorders>
              <w:bottom w:val="single" w:sz="8" w:color="DBDBDB"/>
            </w:tcBorders>
            <w:shd w:val="clear" w:color="auto" w:fill="DBDBDB"/>
          </w:tcPr>
          <w:p>
            <w:pPr>
              <w:spacing w:after="0"/>
              <w:rPr>
                <w:sz w:val="20"/>
                <w:szCs w:val="20"/>
                <w:color w:val="auto"/>
              </w:rPr>
            </w:pPr>
          </w:p>
        </w:tc>
        <w:tc>
          <w:tcPr>
            <w:tcW w:w="100" w:type="dxa"/>
            <w:vAlign w:val="bottom"/>
            <w:tcBorders>
              <w:bottom w:val="single" w:sz="8" w:color="DBDBDB"/>
            </w:tcBorders>
            <w:shd w:val="clear" w:color="auto" w:fill="DBDBDB"/>
          </w:tcPr>
          <w:p>
            <w:pPr>
              <w:jc w:val="right"/>
              <w:spacing w:after="0" w:line="229"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20" w:type="dxa"/>
            <w:vAlign w:val="bottom"/>
            <w:shd w:val="clear" w:color="auto" w:fill="DBDBDB"/>
          </w:tcPr>
          <w:p>
            <w:pPr>
              <w:spacing w:after="0"/>
              <w:rPr>
                <w:sz w:val="20"/>
                <w:szCs w:val="20"/>
                <w:color w:val="auto"/>
              </w:rPr>
            </w:pPr>
          </w:p>
        </w:tc>
        <w:tc>
          <w:tcPr>
            <w:tcW w:w="940" w:type="dxa"/>
            <w:vAlign w:val="bottom"/>
            <w:tcBorders>
              <w:bottom w:val="single" w:sz="8" w:color="DBDBDB"/>
            </w:tcBorders>
            <w:shd w:val="clear" w:color="auto" w:fill="DBDBDB"/>
          </w:tcPr>
          <w:p>
            <w:pPr>
              <w:jc w:val="right"/>
              <w:spacing w:after="0" w:line="229" w:lineRule="exact"/>
              <w:rPr>
                <w:sz w:val="20"/>
                <w:szCs w:val="20"/>
                <w:color w:val="auto"/>
              </w:rPr>
            </w:pPr>
            <w:r>
              <w:rPr>
                <w:rFonts w:ascii="Times New Roman" w:cs="Times New Roman" w:eastAsia="Times New Roman" w:hAnsi="Times New Roman"/>
                <w:sz w:val="20"/>
                <w:szCs w:val="20"/>
                <w:color w:val="auto"/>
              </w:rPr>
              <w:t>918</w:t>
            </w:r>
          </w:p>
        </w:tc>
        <w:tc>
          <w:tcPr>
            <w:tcW w:w="80" w:type="dxa"/>
            <w:vAlign w:val="bottom"/>
            <w:tcBorders>
              <w:bottom w:val="single" w:sz="8" w:color="DBDBDB"/>
            </w:tcBorders>
            <w:shd w:val="clear" w:color="auto" w:fill="DBDBDB"/>
          </w:tcPr>
          <w:p>
            <w:pPr>
              <w:spacing w:after="0"/>
              <w:rPr>
                <w:sz w:val="20"/>
                <w:szCs w:val="20"/>
                <w:color w:val="auto"/>
              </w:rPr>
            </w:pPr>
          </w:p>
        </w:tc>
        <w:tc>
          <w:tcPr>
            <w:tcW w:w="20" w:type="dxa"/>
            <w:vAlign w:val="bottom"/>
            <w:shd w:val="clear" w:color="auto" w:fill="DBDBDB"/>
          </w:tcPr>
          <w:p>
            <w:pPr>
              <w:spacing w:after="0"/>
              <w:rPr>
                <w:sz w:val="20"/>
                <w:szCs w:val="20"/>
                <w:color w:val="auto"/>
              </w:rPr>
            </w:pPr>
          </w:p>
        </w:tc>
        <w:tc>
          <w:tcPr>
            <w:tcW w:w="60" w:type="dxa"/>
            <w:vAlign w:val="bottom"/>
            <w:tcBorders>
              <w:bottom w:val="single" w:sz="8" w:color="DBDBDB"/>
            </w:tcBorders>
            <w:shd w:val="clear" w:color="auto" w:fill="DBDBDB"/>
          </w:tcPr>
          <w:p>
            <w:pPr>
              <w:spacing w:after="0"/>
              <w:rPr>
                <w:sz w:val="20"/>
                <w:szCs w:val="20"/>
                <w:color w:val="auto"/>
              </w:rPr>
            </w:pPr>
          </w:p>
        </w:tc>
        <w:tc>
          <w:tcPr>
            <w:tcW w:w="20" w:type="dxa"/>
            <w:vAlign w:val="bottom"/>
            <w:tcBorders>
              <w:bottom w:val="single" w:sz="8" w:color="DBDBDB"/>
            </w:tcBorders>
            <w:shd w:val="clear" w:color="auto" w:fill="DBDBDB"/>
          </w:tcPr>
          <w:p>
            <w:pPr>
              <w:spacing w:after="0"/>
              <w:rPr>
                <w:sz w:val="20"/>
                <w:szCs w:val="20"/>
                <w:color w:val="auto"/>
              </w:rPr>
            </w:pPr>
          </w:p>
        </w:tc>
        <w:tc>
          <w:tcPr>
            <w:tcW w:w="260" w:type="dxa"/>
            <w:vAlign w:val="bottom"/>
            <w:tcBorders>
              <w:bottom w:val="single" w:sz="8" w:color="DBDBDB"/>
            </w:tcBorders>
            <w:shd w:val="clear" w:color="auto" w:fill="DBDBDB"/>
          </w:tcPr>
          <w:p>
            <w:pPr>
              <w:spacing w:after="0"/>
              <w:rPr>
                <w:sz w:val="20"/>
                <w:szCs w:val="20"/>
                <w:color w:val="auto"/>
              </w:rPr>
            </w:pPr>
          </w:p>
        </w:tc>
        <w:tc>
          <w:tcPr>
            <w:tcW w:w="780" w:type="dxa"/>
            <w:vAlign w:val="bottom"/>
            <w:tcBorders>
              <w:bottom w:val="single" w:sz="8" w:color="DBDBDB"/>
            </w:tcBorders>
            <w:shd w:val="clear" w:color="auto" w:fill="DBDBDB"/>
          </w:tcPr>
          <w:p>
            <w:pPr>
              <w:jc w:val="right"/>
              <w:spacing w:after="0" w:line="229" w:lineRule="exact"/>
              <w:rPr>
                <w:sz w:val="20"/>
                <w:szCs w:val="20"/>
                <w:color w:val="auto"/>
              </w:rPr>
            </w:pPr>
            <w:r>
              <w:rPr>
                <w:rFonts w:ascii="Times New Roman" w:cs="Times New Roman" w:eastAsia="Times New Roman" w:hAnsi="Times New Roman"/>
                <w:sz w:val="20"/>
                <w:szCs w:val="20"/>
                <w:color w:val="auto"/>
              </w:rPr>
              <w:t>105.0%</w:t>
            </w:r>
          </w:p>
        </w:tc>
        <w:tc>
          <w:tcPr>
            <w:tcW w:w="0" w:type="dxa"/>
            <w:vAlign w:val="bottom"/>
          </w:tcPr>
          <w:p>
            <w:pPr>
              <w:spacing w:after="0"/>
              <w:rPr>
                <w:sz w:val="1"/>
                <w:szCs w:val="1"/>
                <w:color w:val="auto"/>
              </w:rPr>
            </w:pPr>
          </w:p>
        </w:tc>
      </w:tr>
      <w:tr>
        <w:trPr>
          <w:trHeight w:val="215"/>
        </w:trPr>
        <w:tc>
          <w:tcPr>
            <w:tcW w:w="3100" w:type="dxa"/>
            <w:vAlign w:val="bottom"/>
            <w:gridSpan w:val="2"/>
          </w:tcPr>
          <w:p>
            <w:pPr>
              <w:ind w:left="20"/>
              <w:spacing w:after="0" w:line="215" w:lineRule="exact"/>
              <w:rPr>
                <w:sz w:val="20"/>
                <w:szCs w:val="20"/>
                <w:color w:val="auto"/>
              </w:rPr>
            </w:pPr>
            <w:r>
              <w:rPr>
                <w:rFonts w:ascii="Times New Roman" w:cs="Times New Roman" w:eastAsia="Times New Roman" w:hAnsi="Times New Roman"/>
                <w:sz w:val="20"/>
                <w:szCs w:val="20"/>
                <w:color w:val="auto"/>
              </w:rPr>
              <w:t>Interest expense</w:t>
            </w:r>
          </w:p>
        </w:tc>
        <w:tc>
          <w:tcPr>
            <w:tcW w:w="100" w:type="dxa"/>
            <w:vAlign w:val="bottom"/>
          </w:tcPr>
          <w:p>
            <w:pPr>
              <w:spacing w:after="0"/>
              <w:rPr>
                <w:sz w:val="18"/>
                <w:szCs w:val="18"/>
                <w:color w:val="auto"/>
              </w:rPr>
            </w:pPr>
          </w:p>
        </w:tc>
        <w:tc>
          <w:tcPr>
            <w:tcW w:w="96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(3,497)</w:t>
            </w:r>
          </w:p>
        </w:tc>
        <w:tc>
          <w:tcPr>
            <w:tcW w:w="1220" w:type="dxa"/>
            <w:vAlign w:val="bottom"/>
            <w:gridSpan w:val="3"/>
          </w:tcPr>
          <w:p>
            <w:pPr>
              <w:jc w:val="right"/>
              <w:spacing w:after="0" w:line="215" w:lineRule="exact"/>
              <w:rPr>
                <w:sz w:val="20"/>
                <w:szCs w:val="20"/>
                <w:color w:val="auto"/>
              </w:rPr>
            </w:pPr>
            <w:r>
              <w:rPr>
                <w:rFonts w:ascii="Times New Roman" w:cs="Times New Roman" w:eastAsia="Times New Roman" w:hAnsi="Times New Roman"/>
                <w:sz w:val="20"/>
                <w:szCs w:val="20"/>
                <w:color w:val="auto"/>
              </w:rPr>
              <w:t>(0.8)%</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(6,826)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(2.7)%</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3,329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(48.8)%</w:t>
            </w:r>
          </w:p>
        </w:tc>
        <w:tc>
          <w:tcPr>
            <w:tcW w:w="0" w:type="dxa"/>
            <w:vAlign w:val="bottom"/>
          </w:tcPr>
          <w:p>
            <w:pPr>
              <w:spacing w:after="0"/>
              <w:rPr>
                <w:sz w:val="1"/>
                <w:szCs w:val="1"/>
                <w:color w:val="auto"/>
              </w:rPr>
            </w:pPr>
          </w:p>
        </w:tc>
      </w:tr>
      <w:tr>
        <w:trPr>
          <w:trHeight w:val="256"/>
        </w:trPr>
        <w:tc>
          <w:tcPr>
            <w:tcW w:w="308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20"/>
                <w:szCs w:val="20"/>
                <w:color w:val="auto"/>
              </w:rPr>
              <w:t>Other income (expense), net</w:t>
            </w:r>
          </w:p>
        </w:tc>
        <w:tc>
          <w:tcPr>
            <w:tcW w:w="20" w:type="dxa"/>
            <w:vAlign w:val="bottom"/>
            <w:tcBorders>
              <w:bottom w:val="single" w:sz="8" w:color="DBDBDB"/>
            </w:tcBorders>
            <w:shd w:val="clear" w:color="auto" w:fill="DBDBDB"/>
          </w:tcPr>
          <w:p>
            <w:pPr>
              <w:spacing w:after="0"/>
              <w:rPr>
                <w:sz w:val="22"/>
                <w:szCs w:val="22"/>
                <w:color w:val="auto"/>
              </w:rPr>
            </w:pPr>
          </w:p>
        </w:tc>
        <w:tc>
          <w:tcPr>
            <w:tcW w:w="100" w:type="dxa"/>
            <w:vAlign w:val="bottom"/>
            <w:tcBorders>
              <w:bottom w:val="single" w:sz="8" w:color="auto"/>
            </w:tcBorders>
            <w:shd w:val="clear" w:color="auto" w:fill="DBDBDB"/>
          </w:tcPr>
          <w:p>
            <w:pPr>
              <w:spacing w:after="0"/>
              <w:rPr>
                <w:sz w:val="22"/>
                <w:szCs w:val="22"/>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9,603</w:t>
            </w:r>
          </w:p>
        </w:tc>
        <w:tc>
          <w:tcPr>
            <w:tcW w:w="160" w:type="dxa"/>
            <w:vAlign w:val="bottom"/>
            <w:tcBorders>
              <w:bottom w:val="single" w:sz="8" w:color="DBDBDB"/>
            </w:tcBorders>
            <w:shd w:val="clear" w:color="auto" w:fill="DBDBDB"/>
          </w:tcPr>
          <w:p>
            <w:pPr>
              <w:spacing w:after="0"/>
              <w:rPr>
                <w:sz w:val="22"/>
                <w:szCs w:val="22"/>
                <w:color w:val="auto"/>
              </w:rPr>
            </w:pPr>
          </w:p>
        </w:tc>
        <w:tc>
          <w:tcPr>
            <w:tcW w:w="20" w:type="dxa"/>
            <w:vAlign w:val="bottom"/>
            <w:tcBorders>
              <w:bottom w:val="single" w:sz="8" w:color="DBDBDB"/>
            </w:tcBorders>
            <w:shd w:val="clear" w:color="auto" w:fill="DBDBDB"/>
          </w:tcPr>
          <w:p>
            <w:pPr>
              <w:spacing w:after="0"/>
              <w:rPr>
                <w:sz w:val="22"/>
                <w:szCs w:val="22"/>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320" w:type="dxa"/>
            <w:vAlign w:val="bottom"/>
            <w:tcBorders>
              <w:bottom w:val="single" w:sz="8" w:color="DBDBDB"/>
            </w:tcBorders>
            <w:shd w:val="clear" w:color="auto" w:fill="DBDBDB"/>
          </w:tcPr>
          <w:p>
            <w:pPr>
              <w:spacing w:after="0"/>
              <w:rPr>
                <w:sz w:val="22"/>
                <w:szCs w:val="22"/>
                <w:color w:val="auto"/>
              </w:rPr>
            </w:pPr>
          </w:p>
        </w:tc>
        <w:tc>
          <w:tcPr>
            <w:tcW w:w="20" w:type="dxa"/>
            <w:vAlign w:val="bottom"/>
            <w:tcBorders>
              <w:bottom w:val="single" w:sz="8" w:color="DBDBDB"/>
            </w:tcBorders>
            <w:shd w:val="clear" w:color="auto" w:fill="DBDBDB"/>
          </w:tcPr>
          <w:p>
            <w:pPr>
              <w:spacing w:after="0"/>
              <w:rPr>
                <w:sz w:val="22"/>
                <w:szCs w:val="22"/>
                <w:color w:val="auto"/>
              </w:rPr>
            </w:pPr>
          </w:p>
        </w:tc>
        <w:tc>
          <w:tcPr>
            <w:tcW w:w="100" w:type="dxa"/>
            <w:vAlign w:val="bottom"/>
            <w:tcBorders>
              <w:bottom w:val="single" w:sz="8" w:color="auto"/>
            </w:tcBorders>
            <w:shd w:val="clear" w:color="auto" w:fill="DBDBDB"/>
          </w:tcPr>
          <w:p>
            <w:pPr>
              <w:spacing w:after="0"/>
              <w:rPr>
                <w:sz w:val="22"/>
                <w:szCs w:val="22"/>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(109,871)</w:t>
            </w:r>
          </w:p>
        </w:tc>
        <w:tc>
          <w:tcPr>
            <w:tcW w:w="160" w:type="dxa"/>
            <w:vAlign w:val="bottom"/>
            <w:tcBorders>
              <w:bottom w:val="single" w:sz="8" w:color="DBDBDB"/>
            </w:tcBorders>
            <w:shd w:val="clear" w:color="auto" w:fill="DBDBDB"/>
          </w:tcPr>
          <w:p>
            <w:pPr>
              <w:spacing w:after="0"/>
              <w:rPr>
                <w:sz w:val="22"/>
                <w:szCs w:val="22"/>
                <w:color w:val="auto"/>
              </w:rPr>
            </w:pPr>
          </w:p>
        </w:tc>
        <w:tc>
          <w:tcPr>
            <w:tcW w:w="160" w:type="dxa"/>
            <w:vAlign w:val="bottom"/>
            <w:tcBorders>
              <w:bottom w:val="single" w:sz="8" w:color="auto"/>
            </w:tcBorders>
            <w:shd w:val="clear" w:color="auto" w:fill="DBDBDB"/>
          </w:tcPr>
          <w:p>
            <w:pPr>
              <w:spacing w:after="0"/>
              <w:rPr>
                <w:sz w:val="22"/>
                <w:szCs w:val="22"/>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highlight w:val="lightGray"/>
              </w:rPr>
              <w:t>(44.</w:t>
            </w:r>
            <w:r>
              <w:rPr>
                <w:rFonts w:ascii="Times New Roman" w:cs="Times New Roman" w:eastAsia="Times New Roman" w:hAnsi="Times New Roman"/>
                <w:sz w:val="20"/>
                <w:szCs w:val="20"/>
                <w:u w:val="single" w:color="auto"/>
                <w:color w:val="auto"/>
                <w:highlight w:val="lightGray"/>
              </w:rPr>
              <w:t>1)%</w:t>
            </w:r>
          </w:p>
        </w:tc>
        <w:tc>
          <w:tcPr>
            <w:tcW w:w="320" w:type="dxa"/>
            <w:vAlign w:val="bottom"/>
            <w:tcBorders>
              <w:bottom w:val="single" w:sz="8" w:color="DBDBDB"/>
            </w:tcBorders>
            <w:shd w:val="clear" w:color="auto" w:fill="DBDBDB"/>
          </w:tcPr>
          <w:p>
            <w:pPr>
              <w:spacing w:after="0"/>
              <w:rPr>
                <w:sz w:val="22"/>
                <w:szCs w:val="22"/>
                <w:color w:val="auto"/>
              </w:rPr>
            </w:pPr>
          </w:p>
        </w:tc>
        <w:tc>
          <w:tcPr>
            <w:tcW w:w="20" w:type="dxa"/>
            <w:vAlign w:val="bottom"/>
            <w:tcBorders>
              <w:bottom w:val="single" w:sz="8" w:color="DBDBDB"/>
            </w:tcBorders>
            <w:shd w:val="clear" w:color="auto" w:fill="DBDBDB"/>
          </w:tcPr>
          <w:p>
            <w:pPr>
              <w:spacing w:after="0"/>
              <w:rPr>
                <w:sz w:val="22"/>
                <w:szCs w:val="22"/>
                <w:color w:val="auto"/>
              </w:rPr>
            </w:pPr>
          </w:p>
        </w:tc>
        <w:tc>
          <w:tcPr>
            <w:tcW w:w="100" w:type="dxa"/>
            <w:vAlign w:val="bottom"/>
            <w:tcBorders>
              <w:bottom w:val="single" w:sz="8" w:color="auto"/>
            </w:tcBorders>
            <w:shd w:val="clear" w:color="auto" w:fill="DBDBDB"/>
          </w:tcPr>
          <w:p>
            <w:pPr>
              <w:spacing w:after="0"/>
              <w:rPr>
                <w:sz w:val="22"/>
                <w:szCs w:val="22"/>
                <w:color w:val="auto"/>
              </w:rPr>
            </w:pPr>
          </w:p>
        </w:tc>
        <w:tc>
          <w:tcPr>
            <w:tcW w:w="20" w:type="dxa"/>
            <w:vAlign w:val="bottom"/>
            <w:tcBorders>
              <w:bottom w:val="single" w:sz="8" w:color="auto"/>
            </w:tcBorders>
            <w:shd w:val="clear" w:color="auto" w:fill="DBDBDB"/>
          </w:tcPr>
          <w:p>
            <w:pPr>
              <w:spacing w:after="0"/>
              <w:rPr>
                <w:sz w:val="22"/>
                <w:szCs w:val="22"/>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highlight w:val="lightGray"/>
              </w:rPr>
              <w:t>119,474</w:t>
            </w:r>
          </w:p>
        </w:tc>
        <w:tc>
          <w:tcPr>
            <w:tcW w:w="80" w:type="dxa"/>
            <w:vAlign w:val="bottom"/>
            <w:tcBorders>
              <w:bottom w:val="single" w:sz="8" w:color="DBDBDB"/>
            </w:tcBorders>
            <w:shd w:val="clear" w:color="auto" w:fill="DBDBDB"/>
          </w:tcPr>
          <w:p>
            <w:pPr>
              <w:spacing w:after="0"/>
              <w:rPr>
                <w:sz w:val="22"/>
                <w:szCs w:val="22"/>
                <w:color w:val="auto"/>
              </w:rPr>
            </w:pPr>
          </w:p>
        </w:tc>
        <w:tc>
          <w:tcPr>
            <w:tcW w:w="20" w:type="dxa"/>
            <w:vAlign w:val="bottom"/>
            <w:shd w:val="clear" w:color="auto" w:fill="DBDBDB"/>
          </w:tcPr>
          <w:p>
            <w:pPr>
              <w:spacing w:after="0"/>
              <w:rPr>
                <w:sz w:val="22"/>
                <w:szCs w:val="22"/>
                <w:color w:val="auto"/>
              </w:rPr>
            </w:pPr>
          </w:p>
        </w:tc>
        <w:tc>
          <w:tcPr>
            <w:tcW w:w="60" w:type="dxa"/>
            <w:vAlign w:val="bottom"/>
            <w:tcBorders>
              <w:bottom w:val="single" w:sz="8" w:color="DBDBDB"/>
            </w:tcBorders>
            <w:shd w:val="clear" w:color="auto" w:fill="DBDBDB"/>
          </w:tcPr>
          <w:p>
            <w:pPr>
              <w:spacing w:after="0"/>
              <w:rPr>
                <w:sz w:val="22"/>
                <w:szCs w:val="22"/>
                <w:color w:val="auto"/>
              </w:rPr>
            </w:pPr>
          </w:p>
        </w:tc>
        <w:tc>
          <w:tcPr>
            <w:tcW w:w="20" w:type="dxa"/>
            <w:vAlign w:val="bottom"/>
            <w:tcBorders>
              <w:bottom w:val="single" w:sz="8" w:color="DBDBDB"/>
            </w:tcBorders>
            <w:shd w:val="clear" w:color="auto" w:fill="DBDBDB"/>
          </w:tcPr>
          <w:p>
            <w:pPr>
              <w:spacing w:after="0"/>
              <w:rPr>
                <w:sz w:val="22"/>
                <w:szCs w:val="22"/>
                <w:color w:val="auto"/>
              </w:rPr>
            </w:pPr>
          </w:p>
        </w:tc>
        <w:tc>
          <w:tcPr>
            <w:tcW w:w="260" w:type="dxa"/>
            <w:vAlign w:val="bottom"/>
            <w:tcBorders>
              <w:bottom w:val="single" w:sz="8" w:color="auto"/>
            </w:tcBorders>
            <w:shd w:val="clear" w:color="auto" w:fill="DBDBDB"/>
          </w:tcPr>
          <w:p>
            <w:pPr>
              <w:spacing w:after="0"/>
              <w:rPr>
                <w:sz w:val="22"/>
                <w:szCs w:val="22"/>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w w:val="98"/>
              </w:rPr>
              <w:t>(108.7)%</w:t>
            </w:r>
          </w:p>
        </w:tc>
        <w:tc>
          <w:tcPr>
            <w:tcW w:w="0" w:type="dxa"/>
            <w:vAlign w:val="bottom"/>
          </w:tcPr>
          <w:p>
            <w:pPr>
              <w:spacing w:after="0"/>
              <w:rPr>
                <w:sz w:val="1"/>
                <w:szCs w:val="1"/>
                <w:color w:val="auto"/>
              </w:rPr>
            </w:pPr>
          </w:p>
        </w:tc>
      </w:tr>
      <w:tr>
        <w:trPr>
          <w:trHeight w:val="227"/>
        </w:trPr>
        <w:tc>
          <w:tcPr>
            <w:tcW w:w="3100" w:type="dxa"/>
            <w:vAlign w:val="bottom"/>
            <w:gridSpan w:val="2"/>
          </w:tcPr>
          <w:p>
            <w:pPr>
              <w:ind w:left="20"/>
              <w:spacing w:after="0" w:line="227" w:lineRule="exact"/>
              <w:rPr>
                <w:sz w:val="20"/>
                <w:szCs w:val="20"/>
                <w:color w:val="auto"/>
              </w:rPr>
            </w:pPr>
            <w:r>
              <w:rPr>
                <w:rFonts w:ascii="Times New Roman" w:cs="Times New Roman" w:eastAsia="Times New Roman" w:hAnsi="Times New Roman"/>
                <w:sz w:val="20"/>
                <w:szCs w:val="20"/>
                <w:color w:val="auto"/>
              </w:rPr>
              <w:t>Total other income (expense), net</w:t>
            </w:r>
          </w:p>
        </w:tc>
        <w:tc>
          <w:tcPr>
            <w:tcW w:w="10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7,898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1.7%</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line="227"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(115,823)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(46.4)%</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w w:val="79"/>
              </w:rPr>
              <w:t>$</w:t>
            </w:r>
          </w:p>
        </w:tc>
        <w:tc>
          <w:tcPr>
            <w:tcW w:w="20" w:type="dxa"/>
            <w:vAlign w:val="bottom"/>
          </w:tcPr>
          <w:p>
            <w:pPr>
              <w:spacing w:after="0"/>
              <w:rPr>
                <w:sz w:val="19"/>
                <w:szCs w:val="19"/>
                <w:color w:val="auto"/>
              </w:rPr>
            </w:pPr>
          </w:p>
        </w:tc>
        <w:tc>
          <w:tcPr>
            <w:tcW w:w="94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123,721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(106.8)%</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jc w:val="both"/>
        <w:ind w:firstLine="706"/>
        <w:spacing w:after="0" w:line="268" w:lineRule="auto"/>
        <w:rPr>
          <w:sz w:val="20"/>
          <w:szCs w:val="20"/>
          <w:color w:val="auto"/>
        </w:rPr>
      </w:pPr>
      <w:r>
        <w:rPr>
          <w:rFonts w:ascii="Times New Roman" w:cs="Times New Roman" w:eastAsia="Times New Roman" w:hAnsi="Times New Roman"/>
          <w:sz w:val="20"/>
          <w:szCs w:val="20"/>
          <w:color w:val="auto"/>
        </w:rPr>
        <w:t>Interest income increased by $0.9 million, or 105.0%, from 2024 to 2025. The increase was primarily due to higher savings balance in 2025.</w:t>
      </w:r>
    </w:p>
    <w:p>
      <w:pPr>
        <w:spacing w:after="0" w:line="164" w:lineRule="exact"/>
        <w:rPr>
          <w:sz w:val="20"/>
          <w:szCs w:val="20"/>
          <w:color w:val="auto"/>
        </w:rPr>
      </w:pPr>
    </w:p>
    <w:p>
      <w:pPr>
        <w:jc w:val="both"/>
        <w:ind w:firstLine="706"/>
        <w:spacing w:after="0" w:line="251" w:lineRule="auto"/>
        <w:rPr>
          <w:sz w:val="20"/>
          <w:szCs w:val="20"/>
          <w:color w:val="auto"/>
        </w:rPr>
      </w:pPr>
      <w:r>
        <w:rPr>
          <w:rFonts w:ascii="Times New Roman" w:cs="Times New Roman" w:eastAsia="Times New Roman" w:hAnsi="Times New Roman"/>
          <w:sz w:val="20"/>
          <w:szCs w:val="20"/>
          <w:color w:val="auto"/>
        </w:rPr>
        <w:t>Interest expense decreased by $3.3 million, or 48.8%, from 2024 to 2025. The decrease was primarily due to a lower effective interest rate on the 2030 Notes in 2025 and the absence of loss on extinguishment, which was recognized in 2024 in connection with the exchange of the 2030 Notes with the 2026 Notes.</w:t>
      </w:r>
    </w:p>
    <w:p>
      <w:pPr>
        <w:sectPr>
          <w:pgSz w:w="11880" w:h="15480" w:orient="portrait"/>
          <w:cols w:equalWidth="0" w:num="1">
            <w:col w:w="10600"/>
          </w:cols>
          <w:pgMar w:left="640" w:top="410" w:right="640" w:bottom="0" w:gutter="0" w:footer="0" w:header="0"/>
        </w:sect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1880" w:h="15480" w:orient="portrait"/>
          <w:cols w:equalWidth="0" w:num="1">
            <w:col w:w="10600"/>
          </w:cols>
          <w:pgMar w:left="640" w:top="410" w:right="640" w:bottom="0" w:gutter="0" w:footer="0" w:header="0"/>
          <w:type w:val="continuous"/>
        </w:sectPr>
      </w:pPr>
    </w:p>
    <w:bookmarkStart w:id="42" w:name="page43"/>
    <w:bookmarkEnd w:id="42"/>
    <w:p>
      <w:pPr>
        <w:jc w:val="both"/>
        <w:ind w:firstLine="706"/>
        <w:spacing w:after="0" w:line="243" w:lineRule="auto"/>
        <w:rPr>
          <w:sz w:val="20"/>
          <w:szCs w:val="20"/>
          <w:color w:val="auto"/>
        </w:rPr>
      </w:pPr>
      <w:r>
        <w:rPr>
          <w:rFonts w:ascii="Times New Roman" w:cs="Times New Roman" w:eastAsia="Times New Roman" w:hAnsi="Times New Roman"/>
          <w:sz w:val="20"/>
          <w:szCs w:val="20"/>
          <w:color w:val="auto"/>
        </w:rPr>
        <w:t>Other expense of $109.9 million in 2024 shifted to other income of $9.6 million in 2025. This favorable variance was primarily due to the absence of debt extinguishment costs related to the 2026 Notes, which in the prior period reflected the difference between the carrying value of the 2026 Notes and their fair value at the time of settlement. The settlement resulted in a one-time loss recognized in the prior period, which increased non-operating expenses. In 2025, the company recorded $1.9 million foreign currency exchange gains and $4.9 million of government subsidies in other income.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574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Benefit (expense) for income taxes</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50" w:type="dxa"/>
            <w:vAlign w:val="bottom"/>
          </w:tcPr>
          <w:p>
            <w:pPr>
              <w:spacing w:after="0"/>
              <w:rPr>
                <w:sz w:val="22"/>
                <w:szCs w:val="22"/>
                <w:color w:val="auto"/>
              </w:rPr>
            </w:pPr>
          </w:p>
        </w:tc>
        <w:tc>
          <w:tcPr>
            <w:tcW w:w="970" w:type="dxa"/>
            <w:vAlign w:val="bottom"/>
          </w:tcPr>
          <w:p>
            <w:pPr>
              <w:spacing w:after="0"/>
              <w:rPr>
                <w:sz w:val="22"/>
                <w:szCs w:val="22"/>
                <w:color w:val="auto"/>
              </w:rPr>
            </w:pPr>
          </w:p>
        </w:tc>
      </w:tr>
      <w:tr>
        <w:trPr>
          <w:trHeight w:val="448"/>
        </w:trPr>
        <w:tc>
          <w:tcPr>
            <w:tcW w:w="57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30" w:type="dxa"/>
            <w:vAlign w:val="bottom"/>
            <w:tcBorders>
              <w:bottom w:val="single" w:sz="8" w:color="auto"/>
            </w:tcBorders>
            <w:gridSpan w:val="4"/>
          </w:tcPr>
          <w:p>
            <w:pPr>
              <w:jc w:val="center"/>
              <w:ind w:right="212"/>
              <w:spacing w:after="0"/>
              <w:rPr>
                <w:sz w:val="20"/>
                <w:szCs w:val="20"/>
                <w:color w:val="auto"/>
              </w:rPr>
            </w:pPr>
            <w:r>
              <w:rPr>
                <w:rFonts w:ascii="Times New Roman" w:cs="Times New Roman" w:eastAsia="Times New Roman" w:hAnsi="Times New Roman"/>
                <w:sz w:val="20"/>
                <w:szCs w:val="20"/>
                <w:b w:val="1"/>
                <w:bCs w:val="1"/>
                <w:color w:val="auto"/>
                <w:w w:val="98"/>
              </w:rPr>
              <w:t>Years ended December 31,</w:t>
            </w:r>
          </w:p>
        </w:tc>
        <w:tc>
          <w:tcPr>
            <w:tcW w:w="970" w:type="dxa"/>
            <w:vAlign w:val="bottom"/>
            <w:tcBorders>
              <w:bottom w:val="single" w:sz="8" w:color="auto"/>
            </w:tcBorders>
          </w:tcPr>
          <w:p>
            <w:pPr>
              <w:spacing w:after="0"/>
              <w:rPr>
                <w:sz w:val="24"/>
                <w:szCs w:val="24"/>
                <w:color w:val="auto"/>
              </w:rPr>
            </w:pPr>
          </w:p>
        </w:tc>
      </w:tr>
      <w:tr>
        <w:trPr>
          <w:trHeight w:val="227"/>
        </w:trPr>
        <w:tc>
          <w:tcPr>
            <w:tcW w:w="5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62"/>
              <w:spacing w:after="0" w:line="227" w:lineRule="exact"/>
              <w:rPr>
                <w:sz w:val="20"/>
                <w:szCs w:val="20"/>
                <w:color w:val="auto"/>
              </w:rPr>
            </w:pPr>
            <w:r>
              <w:rPr>
                <w:rFonts w:ascii="Times New Roman" w:cs="Times New Roman" w:eastAsia="Times New Roman" w:hAnsi="Times New Roman"/>
                <w:sz w:val="20"/>
                <w:szCs w:val="20"/>
                <w:b w:val="1"/>
                <w:bCs w:val="1"/>
                <w:color w:val="auto"/>
              </w:rPr>
              <w:t>2025</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42"/>
              <w:spacing w:after="0" w:line="227" w:lineRule="exact"/>
              <w:rPr>
                <w:sz w:val="20"/>
                <w:szCs w:val="20"/>
                <w:color w:val="auto"/>
              </w:rPr>
            </w:pPr>
            <w:r>
              <w:rPr>
                <w:rFonts w:ascii="Times New Roman" w:cs="Times New Roman" w:eastAsia="Times New Roman" w:hAnsi="Times New Roman"/>
                <w:sz w:val="20"/>
                <w:szCs w:val="20"/>
                <w:b w:val="1"/>
                <w:bCs w:val="1"/>
                <w:color w:val="auto"/>
              </w:rPr>
              <w:t>2024</w:t>
            </w:r>
          </w:p>
        </w:tc>
        <w:tc>
          <w:tcPr>
            <w:tcW w:w="200" w:type="dxa"/>
            <w:vAlign w:val="bottom"/>
          </w:tcPr>
          <w:p>
            <w:pPr>
              <w:spacing w:after="0"/>
              <w:rPr>
                <w:sz w:val="19"/>
                <w:szCs w:val="19"/>
                <w:color w:val="auto"/>
              </w:rPr>
            </w:pPr>
          </w:p>
        </w:tc>
        <w:tc>
          <w:tcPr>
            <w:tcW w:w="2320" w:type="dxa"/>
            <w:vAlign w:val="bottom"/>
            <w:tcBorders>
              <w:bottom w:val="single" w:sz="8" w:color="auto"/>
            </w:tcBorders>
            <w:gridSpan w:val="2"/>
          </w:tcPr>
          <w:p>
            <w:pPr>
              <w:jc w:val="right"/>
              <w:ind w:right="742"/>
              <w:spacing w:after="0" w:line="227" w:lineRule="exact"/>
              <w:rPr>
                <w:sz w:val="20"/>
                <w:szCs w:val="20"/>
                <w:color w:val="auto"/>
              </w:rPr>
            </w:pPr>
            <w:r>
              <w:rPr>
                <w:rFonts w:ascii="Times New Roman" w:cs="Times New Roman" w:eastAsia="Times New Roman" w:hAnsi="Times New Roman"/>
                <w:sz w:val="20"/>
                <w:szCs w:val="20"/>
                <w:b w:val="1"/>
                <w:bCs w:val="1"/>
                <w:color w:val="auto"/>
              </w:rPr>
              <w:t>Change</w:t>
            </w:r>
          </w:p>
        </w:tc>
      </w:tr>
      <w:tr>
        <w:trPr>
          <w:trHeight w:val="225"/>
        </w:trPr>
        <w:tc>
          <w:tcPr>
            <w:tcW w:w="5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90" w:type="dxa"/>
            <w:vAlign w:val="bottom"/>
            <w:gridSpan w:val="6"/>
          </w:tcPr>
          <w:p>
            <w:pPr>
              <w:jc w:val="center"/>
              <w:ind w:left="772"/>
              <w:spacing w:after="0" w:line="225" w:lineRule="exact"/>
              <w:rPr>
                <w:sz w:val="20"/>
                <w:szCs w:val="20"/>
                <w:color w:val="auto"/>
              </w:rPr>
            </w:pPr>
            <w:r>
              <w:rPr>
                <w:rFonts w:ascii="Times New Roman" w:cs="Times New Roman" w:eastAsia="Times New Roman" w:hAnsi="Times New Roman"/>
                <w:sz w:val="20"/>
                <w:szCs w:val="20"/>
                <w:b w:val="1"/>
                <w:bCs w:val="1"/>
                <w:color w:val="auto"/>
                <w:w w:val="97"/>
              </w:rPr>
              <w:t>(in thousands, except percentages)</w:t>
            </w:r>
          </w:p>
        </w:tc>
        <w:tc>
          <w:tcPr>
            <w:tcW w:w="970" w:type="dxa"/>
            <w:vAlign w:val="bottom"/>
          </w:tcPr>
          <w:p>
            <w:pPr>
              <w:spacing w:after="0"/>
              <w:rPr>
                <w:sz w:val="19"/>
                <w:szCs w:val="19"/>
                <w:color w:val="auto"/>
              </w:rPr>
            </w:pPr>
          </w:p>
        </w:tc>
      </w:tr>
      <w:tr>
        <w:trPr>
          <w:trHeight w:val="235"/>
        </w:trPr>
        <w:tc>
          <w:tcPr>
            <w:tcW w:w="57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20"/>
                <w:szCs w:val="20"/>
                <w:color w:val="auto"/>
              </w:rPr>
              <w:t>Benefit (provision) for income taxes</w:t>
            </w:r>
          </w:p>
        </w:tc>
        <w:tc>
          <w:tcPr>
            <w:tcW w:w="1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highlight w:val="lightGray"/>
                <w:w w:val="79"/>
              </w:rPr>
              <w:t>$</w:t>
            </w:r>
          </w:p>
        </w:tc>
        <w:tc>
          <w:tcPr>
            <w:tcW w:w="9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8,476</w:t>
            </w:r>
          </w:p>
        </w:tc>
        <w:tc>
          <w:tcPr>
            <w:tcW w:w="180" w:type="dxa"/>
            <w:vAlign w:val="bottom"/>
            <w:shd w:val="clear" w:color="auto" w:fill="DBDBDB"/>
          </w:tcPr>
          <w:p>
            <w:pPr>
              <w:spacing w:after="0"/>
              <w:rPr>
                <w:sz w:val="20"/>
                <w:szCs w:val="20"/>
                <w:color w:val="auto"/>
              </w:rPr>
            </w:pPr>
          </w:p>
        </w:tc>
        <w:tc>
          <w:tcPr>
            <w:tcW w:w="1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highlight w:val="lightGray"/>
                <w:w w:val="79"/>
              </w:rPr>
              <w:t>$</w:t>
            </w:r>
          </w:p>
        </w:tc>
        <w:tc>
          <w:tcPr>
            <w:tcW w:w="9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200" w:type="dxa"/>
            <w:vAlign w:val="bottom"/>
            <w:shd w:val="clear" w:color="auto" w:fill="DBDBDB"/>
          </w:tcPr>
          <w:p>
            <w:pPr>
              <w:spacing w:after="0"/>
              <w:rPr>
                <w:sz w:val="20"/>
                <w:szCs w:val="20"/>
                <w:color w:val="auto"/>
              </w:rPr>
            </w:pPr>
          </w:p>
        </w:tc>
        <w:tc>
          <w:tcPr>
            <w:tcW w:w="1350" w:type="dxa"/>
            <w:vAlign w:val="bottom"/>
            <w:shd w:val="clear" w:color="auto" w:fill="DBDBDB"/>
          </w:tcPr>
          <w:p>
            <w:pPr>
              <w:jc w:val="right"/>
              <w:ind w:right="192"/>
              <w:spacing w:after="0"/>
              <w:rPr>
                <w:sz w:val="20"/>
                <w:szCs w:val="20"/>
                <w:color w:val="auto"/>
              </w:rPr>
            </w:pPr>
            <w:r>
              <w:rPr>
                <w:rFonts w:ascii="Times New Roman" w:cs="Times New Roman" w:eastAsia="Times New Roman" w:hAnsi="Times New Roman"/>
                <w:sz w:val="20"/>
                <w:szCs w:val="20"/>
                <w:color w:val="auto"/>
              </w:rPr>
              <w:t>8,478</w:t>
            </w:r>
          </w:p>
        </w:tc>
        <w:tc>
          <w:tcPr>
            <w:tcW w:w="97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highlight w:val="lightGray"/>
                <w:w w:val="96"/>
              </w:rPr>
              <w:t>(423,900)%</w:t>
            </w:r>
          </w:p>
        </w:tc>
      </w:tr>
    </w:tbl>
    <w:p>
      <w:pPr>
        <w:spacing w:after="0" w:line="206" w:lineRule="exact"/>
        <w:rPr>
          <w:sz w:val="20"/>
          <w:szCs w:val="20"/>
          <w:color w:val="auto"/>
        </w:rPr>
      </w:pPr>
    </w:p>
    <w:p>
      <w:pPr>
        <w:jc w:val="both"/>
        <w:ind w:firstLine="706"/>
        <w:spacing w:after="0" w:line="251" w:lineRule="auto"/>
        <w:rPr>
          <w:sz w:val="20"/>
          <w:szCs w:val="20"/>
          <w:color w:val="auto"/>
        </w:rPr>
      </w:pPr>
      <w:r>
        <w:rPr>
          <w:rFonts w:ascii="Times New Roman" w:cs="Times New Roman" w:eastAsia="Times New Roman" w:hAnsi="Times New Roman"/>
          <w:sz w:val="20"/>
          <w:szCs w:val="20"/>
          <w:color w:val="auto"/>
        </w:rPr>
        <w:t>Our income tax benefit (expense) consists of U.S. income tax, state taxes, and Taiwan and China income tax recorded during the periods. Our effective tax rate is affected by recurring items, such as tax rates in state and foreign jurisdictions, the relative amounts of income we earn in those jurisdictions, and valuation allowances on our deferred taxes.</w:t>
      </w:r>
    </w:p>
    <w:p>
      <w:pPr>
        <w:spacing w:after="0" w:line="180" w:lineRule="exact"/>
        <w:rPr>
          <w:sz w:val="20"/>
          <w:szCs w:val="20"/>
          <w:color w:val="auto"/>
        </w:rPr>
      </w:pPr>
    </w:p>
    <w:p>
      <w:pPr>
        <w:jc w:val="both"/>
        <w:ind w:firstLine="706"/>
        <w:spacing w:after="0" w:line="251" w:lineRule="auto"/>
        <w:rPr>
          <w:sz w:val="20"/>
          <w:szCs w:val="20"/>
          <w:color w:val="auto"/>
        </w:rPr>
      </w:pPr>
      <w:r>
        <w:rPr>
          <w:rFonts w:ascii="Times New Roman" w:cs="Times New Roman" w:eastAsia="Times New Roman" w:hAnsi="Times New Roman"/>
          <w:sz w:val="20"/>
          <w:szCs w:val="20"/>
          <w:color w:val="auto"/>
        </w:rPr>
        <w:t>The income tax benefit in the year ended December 31, 2025 was due primarily to the release of the valuation allowance on our wholly owned subsidiary, Global Technology, Inc. The income tax expense for the year ended December 31, 2024 was primarily related to the state tax provision and the recording of a valuation allowance on our deferred tax assets.</w:t>
      </w:r>
    </w:p>
    <w:p>
      <w:pPr>
        <w:spacing w:after="0" w:line="181" w:lineRule="exact"/>
        <w:rPr>
          <w:sz w:val="20"/>
          <w:szCs w:val="20"/>
          <w:color w:val="auto"/>
        </w:rPr>
      </w:pPr>
    </w:p>
    <w:p>
      <w:pPr>
        <w:jc w:val="both"/>
        <w:ind w:firstLine="706"/>
        <w:spacing w:after="0" w:line="250" w:lineRule="auto"/>
        <w:rPr>
          <w:sz w:val="20"/>
          <w:szCs w:val="20"/>
          <w:color w:val="auto"/>
        </w:rPr>
      </w:pPr>
      <w:r>
        <w:rPr>
          <w:rFonts w:ascii="Times New Roman" w:cs="Times New Roman" w:eastAsia="Times New Roman" w:hAnsi="Times New Roman"/>
          <w:sz w:val="20"/>
          <w:szCs w:val="20"/>
          <w:color w:val="auto"/>
        </w:rPr>
        <w:t>We recorded no federal tax expense for the years ended December 31, 2025 and December 31, 2024. The income tax expense in the years ended December 31, 2025 and December 31, 2024 was primarily related to the state tax provision and the recording of a valuation allowance on our deferred tax assets.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25" w:lineRule="exact"/>
        <w:rPr>
          <w:sz w:val="20"/>
          <w:szCs w:val="20"/>
          <w:color w:val="auto"/>
        </w:rPr>
      </w:pPr>
    </w:p>
    <w:p>
      <w:pPr>
        <w:jc w:val="both"/>
        <w:ind w:firstLine="706"/>
        <w:spacing w:after="0" w:line="250" w:lineRule="auto"/>
        <w:rPr>
          <w:sz w:val="20"/>
          <w:szCs w:val="20"/>
          <w:color w:val="auto"/>
        </w:rPr>
      </w:pPr>
      <w:r>
        <w:rPr>
          <w:rFonts w:ascii="Times New Roman" w:cs="Times New Roman" w:eastAsia="Times New Roman" w:hAnsi="Times New Roman"/>
          <w:sz w:val="20"/>
          <w:szCs w:val="20"/>
          <w:color w:val="auto"/>
        </w:rPr>
        <w:t>As of December 31, 2025, we had $60.7 million of unused borrowing capacity from all of our loan agreements. As of December 31, 2025, our cash, cash equivalents, restricted cash and short-term investments totaled $216.0 million. Cash and cash equivalents are held for working capital purposes and are invested primarily in money market or time deposit funds.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ATM Offerings</w:t>
      </w:r>
    </w:p>
    <w:p>
      <w:pPr>
        <w:spacing w:after="0" w:line="21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On December 18, 2024, the Company filed an automatic shelf registration statement on Form S-3ASR (Registration File No.</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333-283905) with the Securities and Exchange Commission, which became effective immediately upon filing.</w:t>
      </w:r>
    </w:p>
    <w:p>
      <w:pPr>
        <w:spacing w:after="0" w:line="222" w:lineRule="exact"/>
        <w:rPr>
          <w:sz w:val="20"/>
          <w:szCs w:val="20"/>
          <w:color w:val="auto"/>
        </w:rPr>
      </w:pPr>
    </w:p>
    <w:p>
      <w:pPr>
        <w:jc w:val="both"/>
        <w:ind w:firstLine="706"/>
        <w:spacing w:after="0" w:line="243" w:lineRule="auto"/>
        <w:rPr>
          <w:sz w:val="20"/>
          <w:szCs w:val="20"/>
          <w:color w:val="auto"/>
        </w:rPr>
      </w:pPr>
      <w:r>
        <w:rPr>
          <w:rFonts w:ascii="Times New Roman" w:cs="Times New Roman" w:eastAsia="Times New Roman" w:hAnsi="Times New Roman"/>
          <w:sz w:val="20"/>
          <w:szCs w:val="20"/>
          <w:color w:val="auto"/>
        </w:rPr>
        <w:t>On February 28, 2025, the Company entered into an Equity Distribution Agreement with Raymond James &amp; Associates ("Raymond James") pursuant to which the Company could issue and sell shares of the Company’s common stock, having an aggregate offering price of up to $100 million (the "First ATM Offering"), from time to time through Raymond James. On April 8, 2025, the Company completed the First ATM Offering and sold approximately 2.1 million shares at a weighted average price of $12.69 per share, providing proceeds of approximately $26 million, net of expenses and underwriting discounts and commissions.</w:t>
      </w:r>
    </w:p>
    <w:p>
      <w:pPr>
        <w:spacing w:after="0" w:line="189" w:lineRule="exact"/>
        <w:rPr>
          <w:sz w:val="20"/>
          <w:szCs w:val="20"/>
          <w:color w:val="auto"/>
        </w:rPr>
      </w:pPr>
    </w:p>
    <w:p>
      <w:pPr>
        <w:jc w:val="both"/>
        <w:ind w:firstLine="706"/>
        <w:spacing w:after="0" w:line="241" w:lineRule="auto"/>
        <w:rPr>
          <w:sz w:val="20"/>
          <w:szCs w:val="20"/>
          <w:color w:val="auto"/>
        </w:rPr>
      </w:pPr>
      <w:r>
        <w:rPr>
          <w:rFonts w:ascii="Times New Roman" w:cs="Times New Roman" w:eastAsia="Times New Roman" w:hAnsi="Times New Roman"/>
          <w:sz w:val="20"/>
          <w:szCs w:val="20"/>
          <w:color w:val="auto"/>
        </w:rPr>
        <w:t>On May 28, 2025, the Company entered into an Equity Distribution Agreement with Raymond James and Needham &amp; Company, LLC (collectively, the "Sales Agents" and each, a "Sales Agent") pursuant to which the Company could issue and sell shares of the Company's common stock having an aggregate offering price of up to $100 million (the "Second ATM Offering"), from time to time through the Sales Agents. On June 18, 2025, the Company completed the Second ATM Offering and sold approximately 5.7 million shares at a weighted average price of $17.46 per share, providing proceeds of approximately $98 million, net of expense and underwriting discounts and commissions.</w:t>
      </w:r>
    </w:p>
    <w:p>
      <w:pPr>
        <w:spacing w:after="0" w:line="193" w:lineRule="exact"/>
        <w:rPr>
          <w:sz w:val="20"/>
          <w:szCs w:val="20"/>
          <w:color w:val="auto"/>
        </w:rPr>
      </w:pPr>
    </w:p>
    <w:p>
      <w:pPr>
        <w:jc w:val="both"/>
        <w:ind w:firstLine="706"/>
        <w:spacing w:after="0" w:line="243" w:lineRule="auto"/>
        <w:rPr>
          <w:sz w:val="20"/>
          <w:szCs w:val="20"/>
          <w:color w:val="auto"/>
        </w:rPr>
      </w:pPr>
      <w:r>
        <w:rPr>
          <w:rFonts w:ascii="Times New Roman" w:cs="Times New Roman" w:eastAsia="Times New Roman" w:hAnsi="Times New Roman"/>
          <w:sz w:val="20"/>
          <w:szCs w:val="20"/>
          <w:color w:val="auto"/>
        </w:rPr>
        <w:t>On August 27, 2025, the Company entered into an Equity Distribution Agreement with the Sales Agents pursuant to which the Company could issue and sell shares of the Company's common stock having an aggregate offering price of up to $150 million (the "Third ATM Offering"), from time to time through the Sales Agents. On September 22, 2025, the Company completed the Third ATM Offering and sold approximately 5.7 million shares at a weighted average price of $26.41 per share, providing proceeds of approximately $147 million, net of expense and underwriting discounts and commissions.</w:t>
      </w:r>
    </w:p>
    <w:p>
      <w:pPr>
        <w:spacing w:after="0" w:line="189" w:lineRule="exact"/>
        <w:rPr>
          <w:sz w:val="20"/>
          <w:szCs w:val="20"/>
          <w:color w:val="auto"/>
        </w:rPr>
      </w:pPr>
    </w:p>
    <w:p>
      <w:pPr>
        <w:jc w:val="both"/>
        <w:ind w:firstLine="706"/>
        <w:spacing w:after="0" w:line="270" w:lineRule="auto"/>
        <w:rPr>
          <w:sz w:val="20"/>
          <w:szCs w:val="20"/>
          <w:color w:val="auto"/>
        </w:rPr>
      </w:pPr>
      <w:r>
        <w:rPr>
          <w:rFonts w:ascii="Times New Roman" w:cs="Times New Roman" w:eastAsia="Times New Roman" w:hAnsi="Times New Roman"/>
          <w:sz w:val="18"/>
          <w:szCs w:val="18"/>
          <w:color w:val="auto"/>
        </w:rPr>
        <w:t>On November 7, 2025, the Company entered into another Equity Distribution Agreement (the "Agreement") with the Sales Agents pursuant to which the Company could issue and sell shares of the Company's common stock, par value $0.001 per share (the "Shares") having an aggregate offering price of up to $180 million (the "Fourth ATM Offering"), from time to time through the Sales Agents. Upon delivery of a placement notice and subject to the terms and conditions of this Agreement, sales of the Shares were made through the Sales Agents in transactions that are deemed to be "at the market" offerings as defined in Rule 415 of the Securities Act of 1933, as amended (the "Securities Act"), including sales made through the facilities of the Nasdaq Global Market, the principal trading market for the Company's common stock, on any other existing trading market for the Company's common stock, to or through a market maker or as otherwise agreed by the Company and the Sales Agents. In the placement notice, the Company would designate the</w:t>
      </w:r>
    </w:p>
    <w:p>
      <w:pPr>
        <w:sectPr>
          <w:pgSz w:w="11880" w:h="15480" w:orient="portrait"/>
          <w:cols w:equalWidth="0" w:num="1">
            <w:col w:w="10600"/>
          </w:cols>
          <w:pgMar w:left="640" w:top="410" w:right="640" w:bottom="0" w:gutter="0" w:footer="0" w:header="0"/>
        </w:sectPr>
      </w:pP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1880" w:h="15480" w:orient="portrait"/>
          <w:cols w:equalWidth="0" w:num="1">
            <w:col w:w="10600"/>
          </w:cols>
          <w:pgMar w:left="640" w:top="410" w:right="640" w:bottom="0" w:gutter="0" w:footer="0" w:header="0"/>
          <w:type w:val="continuous"/>
        </w:sectPr>
      </w:pPr>
    </w:p>
    <w:bookmarkStart w:id="43" w:name="page44"/>
    <w:bookmarkEnd w:id="43"/>
    <w:p>
      <w:pPr>
        <w:jc w:val="both"/>
        <w:spacing w:after="0" w:line="245" w:lineRule="auto"/>
        <w:rPr>
          <w:sz w:val="20"/>
          <w:szCs w:val="20"/>
          <w:color w:val="auto"/>
        </w:rPr>
      </w:pPr>
      <w:r>
        <w:rPr>
          <w:rFonts w:ascii="Times New Roman" w:cs="Times New Roman" w:eastAsia="Times New Roman" w:hAnsi="Times New Roman"/>
          <w:sz w:val="20"/>
          <w:szCs w:val="20"/>
          <w:color w:val="auto"/>
        </w:rPr>
        <w:t>maximum number of Shares to be sold through the Sales Agents, the time period during which sales were requested to be made, the minimum price for the Shares to be sold, and any limitation on the number of Shares that could be sold in one day. Subject to the terms and conditions of the Agreement, the Sales Agents would use its commercially reasonable efforts to sell Shares on the Company's behalf up to the designated amount specified in the placement notice.</w:t>
      </w:r>
    </w:p>
    <w:p>
      <w:pPr>
        <w:spacing w:after="0" w:line="188" w:lineRule="exact"/>
        <w:rPr>
          <w:sz w:val="20"/>
          <w:szCs w:val="20"/>
          <w:color w:val="auto"/>
        </w:rPr>
      </w:pPr>
    </w:p>
    <w:p>
      <w:pPr>
        <w:jc w:val="both"/>
        <w:ind w:firstLine="706"/>
        <w:spacing w:after="0" w:line="241" w:lineRule="auto"/>
        <w:rPr>
          <w:sz w:val="20"/>
          <w:szCs w:val="20"/>
          <w:color w:val="auto"/>
        </w:rPr>
      </w:pPr>
      <w:r>
        <w:rPr>
          <w:rFonts w:ascii="Times New Roman" w:cs="Times New Roman" w:eastAsia="Times New Roman" w:hAnsi="Times New Roman"/>
          <w:sz w:val="20"/>
          <w:szCs w:val="20"/>
          <w:color w:val="auto"/>
        </w:rPr>
        <w:t>The Agreement provided that each of the Sales Agents would be entitled to compensation of up to 2% of the gross sales price of the Shares sold through such Sales Agent from time to time. The Company also agreed to reimburse the Sales Agents for certain specified expenses in connection with the registration of Shares under state blue sky laws and any filing with, and clearance of the offering by, the Financial Industry Regulatory Authority Inc., not to exceed $10,000 in the aggregate, and any associated application fees incurred. The Company agreed to indemnify the Sales Agents against certain liabilities, including liabilities under the Securities Act, or to contribute to payments that the Sales Agents could be required to make because of any of those liabilities.</w:t>
      </w:r>
    </w:p>
    <w:p>
      <w:pPr>
        <w:spacing w:after="0" w:line="193" w:lineRule="exact"/>
        <w:rPr>
          <w:sz w:val="20"/>
          <w:szCs w:val="20"/>
          <w:color w:val="auto"/>
        </w:rPr>
      </w:pPr>
    </w:p>
    <w:p>
      <w:pPr>
        <w:jc w:val="both"/>
        <w:ind w:firstLine="706"/>
        <w:spacing w:after="0" w:line="250" w:lineRule="auto"/>
        <w:rPr>
          <w:sz w:val="20"/>
          <w:szCs w:val="20"/>
          <w:color w:val="auto"/>
        </w:rPr>
      </w:pPr>
      <w:r>
        <w:rPr>
          <w:rFonts w:ascii="Times New Roman" w:cs="Times New Roman" w:eastAsia="Times New Roman" w:hAnsi="Times New Roman"/>
          <w:sz w:val="20"/>
          <w:szCs w:val="20"/>
          <w:color w:val="auto"/>
        </w:rPr>
        <w:t>By December 23, 2025, the Company completed the Fourth ATM Offering and sold approximately 6.7 million shares at a weighted average price of $26.87 per share, providing proceeds of $176 million, net of expenses and underwriting discounts and commissions.</w:t>
      </w:r>
    </w:p>
    <w:p>
      <w:pPr>
        <w:spacing w:after="0" w:line="181" w:lineRule="exact"/>
        <w:rPr>
          <w:sz w:val="20"/>
          <w:szCs w:val="20"/>
          <w:color w:val="auto"/>
        </w:rPr>
      </w:pPr>
    </w:p>
    <w:p>
      <w:pPr>
        <w:jc w:val="both"/>
        <w:ind w:firstLine="706"/>
        <w:spacing w:after="0" w:line="251" w:lineRule="auto"/>
        <w:rPr>
          <w:sz w:val="20"/>
          <w:szCs w:val="20"/>
          <w:color w:val="auto"/>
        </w:rPr>
      </w:pPr>
      <w:r>
        <w:rPr>
          <w:rFonts w:ascii="Times New Roman" w:cs="Times New Roman" w:eastAsia="Times New Roman" w:hAnsi="Times New Roman"/>
          <w:sz w:val="20"/>
          <w:szCs w:val="20"/>
          <w:color w:val="auto"/>
        </w:rPr>
        <w:t>The details of the shares of common stock sold through the First ATM Offering, the Second ATM Offering, the Third ATM Offering and the Fourth ATM Offering through December 31, 2025 are as follows (in thousands, except shares and weighted average per share price):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center"/>
              <w:ind w:right="22"/>
              <w:spacing w:after="0"/>
              <w:rPr>
                <w:sz w:val="20"/>
                <w:szCs w:val="20"/>
                <w:color w:val="auto"/>
              </w:rPr>
            </w:pPr>
            <w:r>
              <w:rPr>
                <w:rFonts w:ascii="Times New Roman" w:cs="Times New Roman" w:eastAsia="Times New Roman" w:hAnsi="Times New Roman"/>
                <w:sz w:val="20"/>
                <w:szCs w:val="20"/>
                <w:b w:val="1"/>
                <w:bCs w:val="1"/>
                <w:color w:val="auto"/>
                <w:w w:val="97"/>
              </w:rPr>
              <w:t>Weighted</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rPr>
              <w:t>Compensation</w:t>
            </w:r>
          </w:p>
        </w:tc>
      </w:tr>
      <w:tr>
        <w:trPr>
          <w:trHeight w:val="226"/>
        </w:trPr>
        <w:tc>
          <w:tcPr>
            <w:tcW w:w="3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center"/>
              <w:spacing w:after="0" w:line="226" w:lineRule="exact"/>
              <w:rPr>
                <w:sz w:val="20"/>
                <w:szCs w:val="20"/>
                <w:color w:val="auto"/>
              </w:rPr>
            </w:pPr>
            <w:r>
              <w:rPr>
                <w:rFonts w:ascii="Times New Roman" w:cs="Times New Roman" w:eastAsia="Times New Roman" w:hAnsi="Times New Roman"/>
                <w:sz w:val="20"/>
                <w:szCs w:val="20"/>
                <w:b w:val="1"/>
                <w:bCs w:val="1"/>
                <w:color w:val="auto"/>
                <w:w w:val="98"/>
              </w:rPr>
              <w:t>Average Per</w:t>
            </w:r>
          </w:p>
        </w:tc>
        <w:tc>
          <w:tcPr>
            <w:tcW w:w="180" w:type="dxa"/>
            <w:vAlign w:val="bottom"/>
          </w:tcPr>
          <w:p>
            <w:pPr>
              <w:spacing w:after="0"/>
              <w:rPr>
                <w:sz w:val="19"/>
                <w:szCs w:val="19"/>
                <w:color w:val="auto"/>
              </w:rPr>
            </w:pPr>
          </w:p>
        </w:tc>
        <w:tc>
          <w:tcPr>
            <w:tcW w:w="104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b w:val="1"/>
                <w:bCs w:val="1"/>
                <w:color w:val="auto"/>
              </w:rPr>
              <w:t>Number of</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center"/>
              <w:ind w:right="260"/>
              <w:spacing w:after="0" w:line="226" w:lineRule="exact"/>
              <w:rPr>
                <w:sz w:val="20"/>
                <w:szCs w:val="20"/>
                <w:color w:val="auto"/>
              </w:rPr>
            </w:pPr>
            <w:r>
              <w:rPr>
                <w:rFonts w:ascii="Times New Roman" w:cs="Times New Roman" w:eastAsia="Times New Roman" w:hAnsi="Times New Roman"/>
                <w:sz w:val="20"/>
                <w:szCs w:val="20"/>
                <w:b w:val="1"/>
                <w:bCs w:val="1"/>
                <w:color w:val="auto"/>
                <w:w w:val="93"/>
              </w:rPr>
              <w:t>Net</w:t>
            </w:r>
          </w:p>
        </w:tc>
        <w:tc>
          <w:tcPr>
            <w:tcW w:w="1300" w:type="dxa"/>
            <w:vAlign w:val="bottom"/>
            <w:gridSpan w:val="2"/>
          </w:tcPr>
          <w:p>
            <w:pPr>
              <w:ind w:left="20"/>
              <w:spacing w:after="0" w:line="226" w:lineRule="exact"/>
              <w:rPr>
                <w:sz w:val="20"/>
                <w:szCs w:val="20"/>
                <w:color w:val="auto"/>
              </w:rPr>
            </w:pPr>
            <w:r>
              <w:rPr>
                <w:rFonts w:ascii="Times New Roman" w:cs="Times New Roman" w:eastAsia="Times New Roman" w:hAnsi="Times New Roman"/>
                <w:sz w:val="20"/>
                <w:szCs w:val="20"/>
                <w:b w:val="1"/>
                <w:bCs w:val="1"/>
                <w:color w:val="auto"/>
              </w:rPr>
              <w:t xml:space="preserve">to </w:t>
            </w:r>
            <w:r>
              <w:rPr>
                <w:rFonts w:ascii="Times New Roman" w:cs="Times New Roman" w:eastAsia="Times New Roman" w:hAnsi="Times New Roman"/>
                <w:sz w:val="19"/>
                <w:szCs w:val="19"/>
                <w:b w:val="1"/>
                <w:bCs w:val="1"/>
                <w:color w:val="auto"/>
              </w:rPr>
              <w:t>Distribution</w:t>
            </w:r>
          </w:p>
        </w:tc>
      </w:tr>
      <w:tr>
        <w:trPr>
          <w:trHeight w:val="256"/>
        </w:trPr>
        <w:tc>
          <w:tcPr>
            <w:tcW w:w="374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Distribution Agent</w:t>
            </w:r>
          </w:p>
        </w:tc>
        <w:tc>
          <w:tcPr>
            <w:tcW w:w="80" w:type="dxa"/>
            <w:vAlign w:val="bottom"/>
          </w:tcPr>
          <w:p>
            <w:pPr>
              <w:spacing w:after="0"/>
              <w:rPr>
                <w:sz w:val="22"/>
                <w:szCs w:val="22"/>
                <w:color w:val="auto"/>
              </w:rPr>
            </w:pPr>
          </w:p>
        </w:tc>
        <w:tc>
          <w:tcPr>
            <w:tcW w:w="1700" w:type="dxa"/>
            <w:vAlign w:val="bottom"/>
          </w:tcPr>
          <w:p>
            <w:pPr>
              <w:ind w:left="560"/>
              <w:spacing w:after="0"/>
              <w:rPr>
                <w:sz w:val="20"/>
                <w:szCs w:val="20"/>
                <w:color w:val="auto"/>
              </w:rPr>
            </w:pPr>
            <w:r>
              <w:rPr>
                <w:rFonts w:ascii="Times New Roman" w:cs="Times New Roman" w:eastAsia="Times New Roman" w:hAnsi="Times New Roman"/>
                <w:sz w:val="20"/>
                <w:szCs w:val="20"/>
                <w:b w:val="1"/>
                <w:bCs w:val="1"/>
                <w:color w:val="auto"/>
              </w:rPr>
              <w:t>Month</w:t>
            </w:r>
          </w:p>
        </w:tc>
        <w:tc>
          <w:tcPr>
            <w:tcW w:w="100" w:type="dxa"/>
            <w:vAlign w:val="bottom"/>
          </w:tcPr>
          <w:p>
            <w:pPr>
              <w:spacing w:after="0"/>
              <w:rPr>
                <w:sz w:val="22"/>
                <w:szCs w:val="22"/>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6"/>
              </w:rPr>
              <w:t>Share Price</w:t>
            </w:r>
          </w:p>
        </w:tc>
        <w:tc>
          <w:tcPr>
            <w:tcW w:w="1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Shares Sold</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20"/>
                <w:szCs w:val="20"/>
                <w:b w:val="1"/>
                <w:bCs w:val="1"/>
                <w:color w:val="auto"/>
                <w:w w:val="99"/>
              </w:rPr>
              <w:t>Proceeds</w:t>
            </w:r>
          </w:p>
        </w:tc>
        <w:tc>
          <w:tcPr>
            <w:tcW w:w="180" w:type="dxa"/>
            <w:vAlign w:val="bottom"/>
          </w:tcPr>
          <w:p>
            <w:pPr>
              <w:spacing w:after="0"/>
              <w:rPr>
                <w:sz w:val="22"/>
                <w:szCs w:val="22"/>
                <w:color w:val="auto"/>
              </w:rPr>
            </w:pPr>
          </w:p>
        </w:tc>
        <w:tc>
          <w:tcPr>
            <w:tcW w:w="1120" w:type="dxa"/>
            <w:vAlign w:val="bottom"/>
          </w:tcPr>
          <w:p>
            <w:pPr>
              <w:ind w:left="220"/>
              <w:spacing w:after="0"/>
              <w:rPr>
                <w:sz w:val="20"/>
                <w:szCs w:val="20"/>
                <w:color w:val="auto"/>
              </w:rPr>
            </w:pPr>
            <w:r>
              <w:rPr>
                <w:rFonts w:ascii="Times New Roman" w:cs="Times New Roman" w:eastAsia="Times New Roman" w:hAnsi="Times New Roman"/>
                <w:sz w:val="20"/>
                <w:szCs w:val="20"/>
                <w:b w:val="1"/>
                <w:bCs w:val="1"/>
                <w:color w:val="auto"/>
              </w:rPr>
              <w:t>Agent</w:t>
            </w:r>
          </w:p>
        </w:tc>
      </w:tr>
      <w:tr>
        <w:trPr>
          <w:trHeight w:val="227"/>
        </w:trPr>
        <w:tc>
          <w:tcPr>
            <w:tcW w:w="3740" w:type="dxa"/>
            <w:vAlign w:val="bottom"/>
            <w:tcBorders>
              <w:top w:val="single" w:sz="8" w:color="auto"/>
            </w:tcBorders>
            <w:shd w:val="clear" w:color="auto" w:fill="DBDBDB"/>
          </w:tcPr>
          <w:p>
            <w:pPr>
              <w:ind w:left="20"/>
              <w:spacing w:after="0" w:line="226" w:lineRule="exact"/>
              <w:rPr>
                <w:sz w:val="20"/>
                <w:szCs w:val="20"/>
                <w:color w:val="auto"/>
              </w:rPr>
            </w:pPr>
            <w:r>
              <w:rPr>
                <w:rFonts w:ascii="Times New Roman" w:cs="Times New Roman" w:eastAsia="Times New Roman" w:hAnsi="Times New Roman"/>
                <w:sz w:val="20"/>
                <w:szCs w:val="20"/>
                <w:color w:val="auto"/>
              </w:rPr>
              <w:t>Raymond James &amp; Associates, Inc.</w:t>
            </w:r>
          </w:p>
        </w:tc>
        <w:tc>
          <w:tcPr>
            <w:tcW w:w="80" w:type="dxa"/>
            <w:vAlign w:val="bottom"/>
            <w:tcBorders>
              <w:top w:val="single" w:sz="8" w:color="DBDBDB"/>
            </w:tcBorders>
            <w:shd w:val="clear" w:color="auto" w:fill="DBDBDB"/>
          </w:tcPr>
          <w:p>
            <w:pPr>
              <w:spacing w:after="0"/>
              <w:rPr>
                <w:sz w:val="19"/>
                <w:szCs w:val="19"/>
                <w:color w:val="auto"/>
              </w:rPr>
            </w:pPr>
          </w:p>
        </w:tc>
        <w:tc>
          <w:tcPr>
            <w:tcW w:w="1700" w:type="dxa"/>
            <w:vAlign w:val="bottom"/>
            <w:tcBorders>
              <w:top w:val="single" w:sz="8" w:color="auto"/>
            </w:tcBorders>
            <w:shd w:val="clear" w:color="auto" w:fill="DBDBDB"/>
          </w:tcPr>
          <w:p>
            <w:pPr>
              <w:ind w:left="560"/>
              <w:spacing w:after="0" w:line="226" w:lineRule="exact"/>
              <w:rPr>
                <w:sz w:val="20"/>
                <w:szCs w:val="20"/>
                <w:color w:val="auto"/>
              </w:rPr>
            </w:pPr>
            <w:r>
              <w:rPr>
                <w:rFonts w:ascii="Times New Roman" w:cs="Times New Roman" w:eastAsia="Times New Roman" w:hAnsi="Times New Roman"/>
                <w:sz w:val="20"/>
                <w:szCs w:val="20"/>
                <w:color w:val="auto"/>
              </w:rPr>
              <w:t>Mar-25</w:t>
            </w:r>
          </w:p>
        </w:tc>
        <w:tc>
          <w:tcPr>
            <w:tcW w:w="100" w:type="dxa"/>
            <w:vAlign w:val="bottom"/>
            <w:tcBorders>
              <w:top w:val="single" w:sz="8" w:color="DBDBDB"/>
            </w:tcBorders>
            <w:shd w:val="clear" w:color="auto" w:fill="DBDBDB"/>
          </w:tcPr>
          <w:p>
            <w:pPr>
              <w:spacing w:after="0"/>
              <w:rPr>
                <w:sz w:val="19"/>
                <w:szCs w:val="19"/>
                <w:color w:val="auto"/>
              </w:rPr>
            </w:pPr>
          </w:p>
        </w:tc>
        <w:tc>
          <w:tcPr>
            <w:tcW w:w="100" w:type="dxa"/>
            <w:vAlign w:val="bottom"/>
            <w:tcBorders>
              <w:top w:val="single" w:sz="8" w:color="auto"/>
            </w:tcBorders>
            <w:shd w:val="clear" w:color="auto" w:fill="DBDBDB"/>
          </w:tcPr>
          <w:p>
            <w:pPr>
              <w:jc w:val="right"/>
              <w:spacing w:after="0" w:line="226"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960" w:type="dxa"/>
            <w:vAlign w:val="bottom"/>
            <w:tcBorders>
              <w:top w:val="single" w:sz="8" w:color="auto"/>
            </w:tcBorders>
            <w:shd w:val="clear" w:color="auto" w:fill="DBDBDB"/>
          </w:tcPr>
          <w:p>
            <w:pPr>
              <w:ind w:left="500"/>
              <w:spacing w:after="0" w:line="226" w:lineRule="exact"/>
              <w:rPr>
                <w:sz w:val="20"/>
                <w:szCs w:val="20"/>
                <w:color w:val="auto"/>
              </w:rPr>
            </w:pPr>
            <w:r>
              <w:rPr>
                <w:rFonts w:ascii="Times New Roman" w:cs="Times New Roman" w:eastAsia="Times New Roman" w:hAnsi="Times New Roman"/>
                <w:sz w:val="20"/>
                <w:szCs w:val="20"/>
                <w:color w:val="auto"/>
                <w:w w:val="97"/>
              </w:rPr>
              <w:t>20.71</w:t>
            </w:r>
          </w:p>
        </w:tc>
        <w:tc>
          <w:tcPr>
            <w:tcW w:w="180" w:type="dxa"/>
            <w:vAlign w:val="bottom"/>
            <w:tcBorders>
              <w:top w:val="single" w:sz="8" w:color="DBDBDB"/>
              <w:right w:val="single" w:sz="8" w:color="DBDBDB"/>
            </w:tcBorders>
            <w:shd w:val="clear" w:color="auto" w:fill="DBDBDB"/>
          </w:tcPr>
          <w:p>
            <w:pPr>
              <w:spacing w:after="0"/>
              <w:rPr>
                <w:sz w:val="19"/>
                <w:szCs w:val="19"/>
                <w:color w:val="auto"/>
              </w:rPr>
            </w:pPr>
          </w:p>
        </w:tc>
        <w:tc>
          <w:tcPr>
            <w:tcW w:w="1040" w:type="dxa"/>
            <w:vAlign w:val="bottom"/>
            <w:tcBorders>
              <w:top w:val="single" w:sz="8" w:color="auto"/>
            </w:tcBorders>
            <w:shd w:val="clear" w:color="auto" w:fill="DBDBDB"/>
          </w:tcPr>
          <w:p>
            <w:pPr>
              <w:jc w:val="right"/>
              <w:spacing w:after="0" w:line="226" w:lineRule="exact"/>
              <w:rPr>
                <w:sz w:val="20"/>
                <w:szCs w:val="20"/>
                <w:color w:val="auto"/>
              </w:rPr>
            </w:pPr>
            <w:r>
              <w:rPr>
                <w:rFonts w:ascii="Times New Roman" w:cs="Times New Roman" w:eastAsia="Times New Roman" w:hAnsi="Times New Roman"/>
                <w:sz w:val="20"/>
                <w:szCs w:val="20"/>
                <w:color w:val="auto"/>
              </w:rPr>
              <w:t>3,535,650</w:t>
            </w:r>
          </w:p>
        </w:tc>
        <w:tc>
          <w:tcPr>
            <w:tcW w:w="180" w:type="dxa"/>
            <w:vAlign w:val="bottom"/>
            <w:tcBorders>
              <w:top w:val="single" w:sz="8" w:color="DBDBDB"/>
            </w:tcBorders>
            <w:shd w:val="clear" w:color="auto" w:fill="DBDBDB"/>
          </w:tcPr>
          <w:p>
            <w:pPr>
              <w:spacing w:after="0"/>
              <w:rPr>
                <w:sz w:val="19"/>
                <w:szCs w:val="19"/>
                <w:color w:val="auto"/>
              </w:rPr>
            </w:pPr>
          </w:p>
        </w:tc>
        <w:tc>
          <w:tcPr>
            <w:tcW w:w="120" w:type="dxa"/>
            <w:vAlign w:val="bottom"/>
            <w:tcBorders>
              <w:top w:val="single" w:sz="8" w:color="auto"/>
            </w:tcBorders>
            <w:shd w:val="clear" w:color="auto" w:fill="DBDBDB"/>
          </w:tcPr>
          <w:p>
            <w:pPr>
              <w:jc w:val="right"/>
              <w:spacing w:after="0" w:line="226" w:lineRule="exact"/>
              <w:rPr>
                <w:sz w:val="20"/>
                <w:szCs w:val="20"/>
                <w:color w:val="auto"/>
              </w:rPr>
            </w:pPr>
            <w:r>
              <w:rPr>
                <w:rFonts w:ascii="Times New Roman" w:cs="Times New Roman" w:eastAsia="Times New Roman" w:hAnsi="Times New Roman"/>
                <w:sz w:val="20"/>
                <w:szCs w:val="20"/>
                <w:color w:val="auto"/>
                <w:highlight w:val="lightGray"/>
                <w:w w:val="99"/>
              </w:rPr>
              <w:t>$</w:t>
            </w:r>
          </w:p>
        </w:tc>
        <w:tc>
          <w:tcPr>
            <w:tcW w:w="940" w:type="dxa"/>
            <w:vAlign w:val="bottom"/>
            <w:tcBorders>
              <w:top w:val="single" w:sz="8" w:color="auto"/>
            </w:tcBorders>
            <w:shd w:val="clear" w:color="auto" w:fill="DBDBDB"/>
          </w:tcPr>
          <w:p>
            <w:pPr>
              <w:jc w:val="right"/>
              <w:spacing w:after="0" w:line="226" w:lineRule="exact"/>
              <w:rPr>
                <w:sz w:val="20"/>
                <w:szCs w:val="20"/>
                <w:color w:val="auto"/>
              </w:rPr>
            </w:pPr>
            <w:r>
              <w:rPr>
                <w:rFonts w:ascii="Times New Roman" w:cs="Times New Roman" w:eastAsia="Times New Roman" w:hAnsi="Times New Roman"/>
                <w:sz w:val="20"/>
                <w:szCs w:val="20"/>
                <w:color w:val="auto"/>
              </w:rPr>
              <w:t>71,755</w:t>
            </w:r>
          </w:p>
        </w:tc>
        <w:tc>
          <w:tcPr>
            <w:tcW w:w="160" w:type="dxa"/>
            <w:vAlign w:val="bottom"/>
            <w:tcBorders>
              <w:top w:val="single" w:sz="8" w:color="DBDBDB"/>
              <w:right w:val="single" w:sz="8" w:color="DBDBDB"/>
            </w:tcBorders>
            <w:shd w:val="clear" w:color="auto" w:fill="DBDBDB"/>
          </w:tcPr>
          <w:p>
            <w:pPr>
              <w:spacing w:after="0"/>
              <w:rPr>
                <w:sz w:val="19"/>
                <w:szCs w:val="19"/>
                <w:color w:val="auto"/>
              </w:rPr>
            </w:pPr>
          </w:p>
        </w:tc>
        <w:tc>
          <w:tcPr>
            <w:tcW w:w="180" w:type="dxa"/>
            <w:vAlign w:val="bottom"/>
            <w:tcBorders>
              <w:top w:val="single" w:sz="8" w:color="auto"/>
            </w:tcBorders>
            <w:shd w:val="clear" w:color="auto" w:fill="DBDBDB"/>
          </w:tcPr>
          <w:p>
            <w:pPr>
              <w:spacing w:after="0" w:line="226" w:lineRule="exact"/>
              <w:rPr>
                <w:sz w:val="20"/>
                <w:szCs w:val="20"/>
                <w:color w:val="auto"/>
              </w:rPr>
            </w:pPr>
            <w:r>
              <w:rPr>
                <w:rFonts w:ascii="Times New Roman" w:cs="Times New Roman" w:eastAsia="Times New Roman" w:hAnsi="Times New Roman"/>
                <w:sz w:val="20"/>
                <w:szCs w:val="20"/>
                <w:color w:val="auto"/>
                <w:highlight w:val="lightGray"/>
              </w:rPr>
              <w:t>$</w:t>
            </w:r>
          </w:p>
        </w:tc>
        <w:tc>
          <w:tcPr>
            <w:tcW w:w="1120" w:type="dxa"/>
            <w:vAlign w:val="bottom"/>
            <w:tcBorders>
              <w:top w:val="single" w:sz="8" w:color="auto"/>
            </w:tcBorders>
            <w:shd w:val="clear" w:color="auto" w:fill="DBDBDB"/>
          </w:tcPr>
          <w:p>
            <w:pPr>
              <w:ind w:left="660"/>
              <w:spacing w:after="0" w:line="226" w:lineRule="exact"/>
              <w:rPr>
                <w:sz w:val="20"/>
                <w:szCs w:val="20"/>
                <w:color w:val="auto"/>
              </w:rPr>
            </w:pPr>
            <w:r>
              <w:rPr>
                <w:rFonts w:ascii="Times New Roman" w:cs="Times New Roman" w:eastAsia="Times New Roman" w:hAnsi="Times New Roman"/>
                <w:sz w:val="20"/>
                <w:szCs w:val="20"/>
                <w:color w:val="auto"/>
                <w:w w:val="97"/>
              </w:rPr>
              <w:t>1,464</w:t>
            </w:r>
          </w:p>
        </w:tc>
      </w:tr>
      <w:tr>
        <w:trPr>
          <w:trHeight w:val="235"/>
        </w:trPr>
        <w:tc>
          <w:tcPr>
            <w:tcW w:w="37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Raymond James &amp; Associates, Inc.</w:t>
            </w:r>
          </w:p>
        </w:tc>
        <w:tc>
          <w:tcPr>
            <w:tcW w:w="80" w:type="dxa"/>
            <w:vAlign w:val="bottom"/>
          </w:tcPr>
          <w:p>
            <w:pPr>
              <w:spacing w:after="0"/>
              <w:rPr>
                <w:sz w:val="20"/>
                <w:szCs w:val="20"/>
                <w:color w:val="auto"/>
              </w:rPr>
            </w:pPr>
          </w:p>
        </w:tc>
        <w:tc>
          <w:tcPr>
            <w:tcW w:w="170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Apr-25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ind w:left="500"/>
              <w:spacing w:after="0"/>
              <w:rPr>
                <w:sz w:val="20"/>
                <w:szCs w:val="20"/>
                <w:color w:val="auto"/>
              </w:rPr>
            </w:pPr>
            <w:r>
              <w:rPr>
                <w:rFonts w:ascii="Times New Roman" w:cs="Times New Roman" w:eastAsia="Times New Roman" w:hAnsi="Times New Roman"/>
                <w:sz w:val="20"/>
                <w:szCs w:val="20"/>
                <w:color w:val="auto"/>
                <w:w w:val="97"/>
              </w:rPr>
              <w:t>12.69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2,110,057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26,245</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ind w:left="820"/>
              <w:spacing w:after="0"/>
              <w:rPr>
                <w:sz w:val="20"/>
                <w:szCs w:val="20"/>
                <w:color w:val="auto"/>
              </w:rPr>
            </w:pPr>
            <w:r>
              <w:rPr>
                <w:rFonts w:ascii="Times New Roman" w:cs="Times New Roman" w:eastAsia="Times New Roman" w:hAnsi="Times New Roman"/>
                <w:sz w:val="20"/>
                <w:szCs w:val="20"/>
                <w:color w:val="auto"/>
                <w:w w:val="93"/>
              </w:rPr>
              <w:t>536</w:t>
            </w:r>
          </w:p>
        </w:tc>
      </w:tr>
      <w:tr>
        <w:trPr>
          <w:trHeight w:val="209"/>
        </w:trPr>
        <w:tc>
          <w:tcPr>
            <w:tcW w:w="3740" w:type="dxa"/>
            <w:vAlign w:val="bottom"/>
            <w:shd w:val="clear" w:color="auto" w:fill="DBDBDB"/>
          </w:tcPr>
          <w:p>
            <w:pPr>
              <w:ind w:left="20"/>
              <w:spacing w:after="0" w:line="208" w:lineRule="exact"/>
              <w:rPr>
                <w:sz w:val="20"/>
                <w:szCs w:val="20"/>
                <w:color w:val="auto"/>
              </w:rPr>
            </w:pPr>
            <w:r>
              <w:rPr>
                <w:rFonts w:ascii="Times New Roman" w:cs="Times New Roman" w:eastAsia="Times New Roman" w:hAnsi="Times New Roman"/>
                <w:sz w:val="20"/>
                <w:szCs w:val="20"/>
                <w:color w:val="auto"/>
                <w:highlight w:val="lightGray"/>
                <w:w w:val="97"/>
              </w:rPr>
              <w:t>Raymond James &amp; Associates and Needham &amp;</w:t>
            </w:r>
          </w:p>
        </w:tc>
        <w:tc>
          <w:tcPr>
            <w:tcW w:w="80" w:type="dxa"/>
            <w:vAlign w:val="bottom"/>
            <w:shd w:val="clear" w:color="auto" w:fill="DBDBDB"/>
          </w:tcPr>
          <w:p>
            <w:pPr>
              <w:spacing w:after="0"/>
              <w:rPr>
                <w:sz w:val="18"/>
                <w:szCs w:val="18"/>
                <w:color w:val="auto"/>
              </w:rPr>
            </w:pPr>
          </w:p>
        </w:tc>
        <w:tc>
          <w:tcPr>
            <w:tcW w:w="17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960" w:type="dxa"/>
            <w:vAlign w:val="bottom"/>
            <w:shd w:val="clear" w:color="auto" w:fill="DBDBDB"/>
          </w:tcPr>
          <w:p>
            <w:pPr>
              <w:spacing w:after="0"/>
              <w:rPr>
                <w:sz w:val="18"/>
                <w:szCs w:val="18"/>
                <w:color w:val="auto"/>
              </w:rPr>
            </w:pPr>
          </w:p>
        </w:tc>
        <w:tc>
          <w:tcPr>
            <w:tcW w:w="180" w:type="dxa"/>
            <w:vAlign w:val="bottom"/>
            <w:tcBorders>
              <w:right w:val="single" w:sz="8" w:color="DBDBDB"/>
            </w:tcBorders>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940" w:type="dxa"/>
            <w:vAlign w:val="bottom"/>
            <w:shd w:val="clear" w:color="auto" w:fill="DBDBDB"/>
          </w:tcPr>
          <w:p>
            <w:pPr>
              <w:spacing w:after="0"/>
              <w:rPr>
                <w:sz w:val="18"/>
                <w:szCs w:val="18"/>
                <w:color w:val="auto"/>
              </w:rPr>
            </w:pPr>
          </w:p>
        </w:tc>
        <w:tc>
          <w:tcPr>
            <w:tcW w:w="160" w:type="dxa"/>
            <w:vAlign w:val="bottom"/>
            <w:tcBorders>
              <w:right w:val="single" w:sz="8" w:color="DBDBDB"/>
            </w:tcBorders>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r>
      <w:tr>
        <w:trPr>
          <w:trHeight w:val="250"/>
        </w:trPr>
        <w:tc>
          <w:tcPr>
            <w:tcW w:w="37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20"/>
                <w:szCs w:val="20"/>
                <w:color w:val="auto"/>
              </w:rPr>
              <w:t>Company, LLC</w:t>
            </w:r>
          </w:p>
        </w:tc>
        <w:tc>
          <w:tcPr>
            <w:tcW w:w="80" w:type="dxa"/>
            <w:vAlign w:val="bottom"/>
            <w:shd w:val="clear" w:color="auto" w:fill="DBDBDB"/>
          </w:tcPr>
          <w:p>
            <w:pPr>
              <w:spacing w:after="0"/>
              <w:rPr>
                <w:sz w:val="21"/>
                <w:szCs w:val="21"/>
                <w:color w:val="auto"/>
              </w:rPr>
            </w:pPr>
          </w:p>
        </w:tc>
        <w:tc>
          <w:tcPr>
            <w:tcW w:w="1700" w:type="dxa"/>
            <w:vAlign w:val="bottom"/>
            <w:shd w:val="clear" w:color="auto" w:fill="DBDBDB"/>
          </w:tcPr>
          <w:p>
            <w:pPr>
              <w:ind w:left="580"/>
              <w:spacing w:after="0"/>
              <w:rPr>
                <w:sz w:val="20"/>
                <w:szCs w:val="20"/>
                <w:color w:val="auto"/>
              </w:rPr>
            </w:pPr>
            <w:r>
              <w:rPr>
                <w:rFonts w:ascii="Times New Roman" w:cs="Times New Roman" w:eastAsia="Times New Roman" w:hAnsi="Times New Roman"/>
                <w:sz w:val="20"/>
                <w:szCs w:val="20"/>
                <w:color w:val="auto"/>
              </w:rPr>
              <w:t>Jun-25</w:t>
            </w:r>
          </w:p>
        </w:tc>
        <w:tc>
          <w:tcPr>
            <w:tcW w:w="10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960" w:type="dxa"/>
            <w:vAlign w:val="bottom"/>
            <w:shd w:val="clear" w:color="auto" w:fill="DBDBDB"/>
          </w:tcPr>
          <w:p>
            <w:pPr>
              <w:ind w:left="500"/>
              <w:spacing w:after="0"/>
              <w:rPr>
                <w:sz w:val="20"/>
                <w:szCs w:val="20"/>
                <w:color w:val="auto"/>
              </w:rPr>
            </w:pPr>
            <w:r>
              <w:rPr>
                <w:rFonts w:ascii="Times New Roman" w:cs="Times New Roman" w:eastAsia="Times New Roman" w:hAnsi="Times New Roman"/>
                <w:sz w:val="20"/>
                <w:szCs w:val="20"/>
                <w:color w:val="auto"/>
                <w:w w:val="97"/>
              </w:rPr>
              <w:t>17.46</w:t>
            </w:r>
          </w:p>
        </w:tc>
        <w:tc>
          <w:tcPr>
            <w:tcW w:w="180" w:type="dxa"/>
            <w:vAlign w:val="bottom"/>
            <w:tcBorders>
              <w:right w:val="single" w:sz="8" w:color="DBDBDB"/>
            </w:tcBorders>
            <w:shd w:val="clear" w:color="auto" w:fill="DBDBDB"/>
          </w:tcPr>
          <w:p>
            <w:pPr>
              <w:spacing w:after="0"/>
              <w:rPr>
                <w:sz w:val="21"/>
                <w:szCs w:val="21"/>
                <w:color w:val="auto"/>
              </w:rPr>
            </w:pPr>
          </w:p>
        </w:tc>
        <w:tc>
          <w:tcPr>
            <w:tcW w:w="10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5,725,948</w:t>
            </w:r>
          </w:p>
        </w:tc>
        <w:tc>
          <w:tcPr>
            <w:tcW w:w="18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9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98,000</w:t>
            </w:r>
          </w:p>
        </w:tc>
        <w:tc>
          <w:tcPr>
            <w:tcW w:w="160" w:type="dxa"/>
            <w:vAlign w:val="bottom"/>
            <w:tcBorders>
              <w:right w:val="single" w:sz="8" w:color="DBDBDB"/>
            </w:tcBorders>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1120" w:type="dxa"/>
            <w:vAlign w:val="bottom"/>
            <w:shd w:val="clear" w:color="auto" w:fill="DBDBDB"/>
          </w:tcPr>
          <w:p>
            <w:pPr>
              <w:ind w:left="660"/>
              <w:spacing w:after="0"/>
              <w:rPr>
                <w:sz w:val="20"/>
                <w:szCs w:val="20"/>
                <w:color w:val="auto"/>
              </w:rPr>
            </w:pPr>
            <w:r>
              <w:rPr>
                <w:rFonts w:ascii="Times New Roman" w:cs="Times New Roman" w:eastAsia="Times New Roman" w:hAnsi="Times New Roman"/>
                <w:sz w:val="20"/>
                <w:szCs w:val="20"/>
                <w:color w:val="auto"/>
                <w:w w:val="97"/>
              </w:rPr>
              <w:t>2,000</w:t>
            </w:r>
          </w:p>
        </w:tc>
      </w:tr>
      <w:tr>
        <w:trPr>
          <w:trHeight w:val="211"/>
        </w:trPr>
        <w:tc>
          <w:tcPr>
            <w:tcW w:w="3740" w:type="dxa"/>
            <w:vAlign w:val="bottom"/>
          </w:tcPr>
          <w:p>
            <w:pPr>
              <w:ind w:left="20"/>
              <w:spacing w:after="0" w:line="211" w:lineRule="exact"/>
              <w:rPr>
                <w:sz w:val="20"/>
                <w:szCs w:val="20"/>
                <w:color w:val="auto"/>
              </w:rPr>
            </w:pPr>
            <w:r>
              <w:rPr>
                <w:rFonts w:ascii="Times New Roman" w:cs="Times New Roman" w:eastAsia="Times New Roman" w:hAnsi="Times New Roman"/>
                <w:sz w:val="20"/>
                <w:szCs w:val="20"/>
                <w:color w:val="auto"/>
                <w:w w:val="97"/>
              </w:rPr>
              <w:t>Raymond James &amp; Associates and Needham &amp;</w:t>
            </w: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50"/>
        </w:trPr>
        <w:tc>
          <w:tcPr>
            <w:tcW w:w="37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Company, LLC</w:t>
            </w:r>
          </w:p>
        </w:tc>
        <w:tc>
          <w:tcPr>
            <w:tcW w:w="80" w:type="dxa"/>
            <w:vAlign w:val="bottom"/>
          </w:tcPr>
          <w:p>
            <w:pPr>
              <w:spacing w:after="0"/>
              <w:rPr>
                <w:sz w:val="21"/>
                <w:szCs w:val="21"/>
                <w:color w:val="auto"/>
              </w:rPr>
            </w:pPr>
          </w:p>
        </w:tc>
        <w:tc>
          <w:tcPr>
            <w:tcW w:w="170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Sep-25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ind w:left="500"/>
              <w:spacing w:after="0"/>
              <w:rPr>
                <w:sz w:val="20"/>
                <w:szCs w:val="20"/>
                <w:color w:val="auto"/>
              </w:rPr>
            </w:pPr>
            <w:r>
              <w:rPr>
                <w:rFonts w:ascii="Times New Roman" w:cs="Times New Roman" w:eastAsia="Times New Roman" w:hAnsi="Times New Roman"/>
                <w:sz w:val="20"/>
                <w:szCs w:val="20"/>
                <w:color w:val="auto"/>
                <w:w w:val="97"/>
              </w:rPr>
              <w:t>26.41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5,680,235</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147,000</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ind w:left="660"/>
              <w:spacing w:after="0"/>
              <w:rPr>
                <w:sz w:val="20"/>
                <w:szCs w:val="20"/>
                <w:color w:val="auto"/>
              </w:rPr>
            </w:pPr>
            <w:r>
              <w:rPr>
                <w:rFonts w:ascii="Times New Roman" w:cs="Times New Roman" w:eastAsia="Times New Roman" w:hAnsi="Times New Roman"/>
                <w:sz w:val="20"/>
                <w:szCs w:val="20"/>
                <w:color w:val="auto"/>
                <w:w w:val="97"/>
              </w:rPr>
              <w:t>3,000</w:t>
            </w:r>
          </w:p>
        </w:tc>
      </w:tr>
      <w:tr>
        <w:trPr>
          <w:trHeight w:val="211"/>
        </w:trPr>
        <w:tc>
          <w:tcPr>
            <w:tcW w:w="3740" w:type="dxa"/>
            <w:vAlign w:val="bottom"/>
            <w:shd w:val="clear" w:color="auto" w:fill="DBDBDB"/>
          </w:tcPr>
          <w:p>
            <w:pPr>
              <w:ind w:left="20"/>
              <w:spacing w:after="0" w:line="211" w:lineRule="exact"/>
              <w:rPr>
                <w:sz w:val="20"/>
                <w:szCs w:val="20"/>
                <w:color w:val="auto"/>
              </w:rPr>
            </w:pPr>
            <w:r>
              <w:rPr>
                <w:rFonts w:ascii="Times New Roman" w:cs="Times New Roman" w:eastAsia="Times New Roman" w:hAnsi="Times New Roman"/>
                <w:sz w:val="20"/>
                <w:szCs w:val="20"/>
                <w:color w:val="auto"/>
                <w:highlight w:val="lightGray"/>
                <w:w w:val="97"/>
              </w:rPr>
              <w:t>Raymond James &amp; Associates and Needham &amp;</w:t>
            </w:r>
          </w:p>
        </w:tc>
        <w:tc>
          <w:tcPr>
            <w:tcW w:w="80" w:type="dxa"/>
            <w:vAlign w:val="bottom"/>
            <w:shd w:val="clear" w:color="auto" w:fill="DBDBDB"/>
          </w:tcPr>
          <w:p>
            <w:pPr>
              <w:spacing w:after="0"/>
              <w:rPr>
                <w:sz w:val="18"/>
                <w:szCs w:val="18"/>
                <w:color w:val="auto"/>
              </w:rPr>
            </w:pPr>
          </w:p>
        </w:tc>
        <w:tc>
          <w:tcPr>
            <w:tcW w:w="17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960" w:type="dxa"/>
            <w:vAlign w:val="bottom"/>
            <w:shd w:val="clear" w:color="auto" w:fill="DBDBDB"/>
          </w:tcPr>
          <w:p>
            <w:pPr>
              <w:spacing w:after="0"/>
              <w:rPr>
                <w:sz w:val="18"/>
                <w:szCs w:val="18"/>
                <w:color w:val="auto"/>
              </w:rPr>
            </w:pPr>
          </w:p>
        </w:tc>
        <w:tc>
          <w:tcPr>
            <w:tcW w:w="180" w:type="dxa"/>
            <w:vAlign w:val="bottom"/>
            <w:tcBorders>
              <w:right w:val="single" w:sz="8" w:color="DBDBDB"/>
            </w:tcBorders>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940" w:type="dxa"/>
            <w:vAlign w:val="bottom"/>
            <w:shd w:val="clear" w:color="auto" w:fill="DBDBDB"/>
          </w:tcPr>
          <w:p>
            <w:pPr>
              <w:spacing w:after="0"/>
              <w:rPr>
                <w:sz w:val="18"/>
                <w:szCs w:val="18"/>
                <w:color w:val="auto"/>
              </w:rPr>
            </w:pPr>
          </w:p>
        </w:tc>
        <w:tc>
          <w:tcPr>
            <w:tcW w:w="160" w:type="dxa"/>
            <w:vAlign w:val="bottom"/>
            <w:tcBorders>
              <w:right w:val="single" w:sz="8" w:color="DBDBDB"/>
            </w:tcBorders>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r>
      <w:tr>
        <w:trPr>
          <w:trHeight w:val="250"/>
        </w:trPr>
        <w:tc>
          <w:tcPr>
            <w:tcW w:w="37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20"/>
                <w:szCs w:val="20"/>
                <w:color w:val="auto"/>
              </w:rPr>
              <w:t>Company, LLC</w:t>
            </w:r>
          </w:p>
        </w:tc>
        <w:tc>
          <w:tcPr>
            <w:tcW w:w="80" w:type="dxa"/>
            <w:vAlign w:val="bottom"/>
            <w:shd w:val="clear" w:color="auto" w:fill="DBDBDB"/>
          </w:tcPr>
          <w:p>
            <w:pPr>
              <w:spacing w:after="0"/>
              <w:rPr>
                <w:sz w:val="21"/>
                <w:szCs w:val="21"/>
                <w:color w:val="auto"/>
              </w:rPr>
            </w:pPr>
          </w:p>
        </w:tc>
        <w:tc>
          <w:tcPr>
            <w:tcW w:w="1700" w:type="dxa"/>
            <w:vAlign w:val="bottom"/>
            <w:shd w:val="clear" w:color="auto" w:fill="DBDBDB"/>
          </w:tcPr>
          <w:p>
            <w:pPr>
              <w:ind w:left="560"/>
              <w:spacing w:after="0"/>
              <w:rPr>
                <w:sz w:val="20"/>
                <w:szCs w:val="20"/>
                <w:color w:val="auto"/>
              </w:rPr>
            </w:pPr>
            <w:r>
              <w:rPr>
                <w:rFonts w:ascii="Times New Roman" w:cs="Times New Roman" w:eastAsia="Times New Roman" w:hAnsi="Times New Roman"/>
                <w:sz w:val="20"/>
                <w:szCs w:val="20"/>
                <w:color w:val="auto"/>
              </w:rPr>
              <w:t>Nov-25</w:t>
            </w:r>
          </w:p>
        </w:tc>
        <w:tc>
          <w:tcPr>
            <w:tcW w:w="10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960" w:type="dxa"/>
            <w:vAlign w:val="bottom"/>
            <w:shd w:val="clear" w:color="auto" w:fill="DBDBDB"/>
          </w:tcPr>
          <w:p>
            <w:pPr>
              <w:ind w:left="500"/>
              <w:spacing w:after="0"/>
              <w:rPr>
                <w:sz w:val="20"/>
                <w:szCs w:val="20"/>
                <w:color w:val="auto"/>
              </w:rPr>
            </w:pPr>
            <w:r>
              <w:rPr>
                <w:rFonts w:ascii="Times New Roman" w:cs="Times New Roman" w:eastAsia="Times New Roman" w:hAnsi="Times New Roman"/>
                <w:sz w:val="20"/>
                <w:szCs w:val="20"/>
                <w:color w:val="auto"/>
                <w:w w:val="97"/>
              </w:rPr>
              <w:t>23.15</w:t>
            </w:r>
          </w:p>
        </w:tc>
        <w:tc>
          <w:tcPr>
            <w:tcW w:w="180" w:type="dxa"/>
            <w:vAlign w:val="bottom"/>
            <w:tcBorders>
              <w:right w:val="single" w:sz="8" w:color="DBDBDB"/>
            </w:tcBorders>
            <w:shd w:val="clear" w:color="auto" w:fill="DBDBDB"/>
          </w:tcPr>
          <w:p>
            <w:pPr>
              <w:spacing w:after="0"/>
              <w:rPr>
                <w:sz w:val="21"/>
                <w:szCs w:val="21"/>
                <w:color w:val="auto"/>
              </w:rPr>
            </w:pPr>
          </w:p>
        </w:tc>
        <w:tc>
          <w:tcPr>
            <w:tcW w:w="10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2,778,564</w:t>
            </w:r>
          </w:p>
        </w:tc>
        <w:tc>
          <w:tcPr>
            <w:tcW w:w="18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9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63,050</w:t>
            </w:r>
          </w:p>
        </w:tc>
        <w:tc>
          <w:tcPr>
            <w:tcW w:w="160" w:type="dxa"/>
            <w:vAlign w:val="bottom"/>
            <w:tcBorders>
              <w:right w:val="single" w:sz="8" w:color="DBDBDB"/>
            </w:tcBorders>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1120" w:type="dxa"/>
            <w:vAlign w:val="bottom"/>
            <w:shd w:val="clear" w:color="auto" w:fill="DBDBDB"/>
          </w:tcPr>
          <w:p>
            <w:pPr>
              <w:ind w:left="660"/>
              <w:spacing w:after="0"/>
              <w:rPr>
                <w:sz w:val="20"/>
                <w:szCs w:val="20"/>
                <w:color w:val="auto"/>
              </w:rPr>
            </w:pPr>
            <w:r>
              <w:rPr>
                <w:rFonts w:ascii="Times New Roman" w:cs="Times New Roman" w:eastAsia="Times New Roman" w:hAnsi="Times New Roman"/>
                <w:sz w:val="20"/>
                <w:szCs w:val="20"/>
                <w:color w:val="auto"/>
                <w:w w:val="97"/>
              </w:rPr>
              <w:t>1,287</w:t>
            </w:r>
          </w:p>
        </w:tc>
      </w:tr>
      <w:tr>
        <w:trPr>
          <w:trHeight w:val="211"/>
        </w:trPr>
        <w:tc>
          <w:tcPr>
            <w:tcW w:w="3740" w:type="dxa"/>
            <w:vAlign w:val="bottom"/>
          </w:tcPr>
          <w:p>
            <w:pPr>
              <w:ind w:left="20"/>
              <w:spacing w:after="0" w:line="211" w:lineRule="exact"/>
              <w:rPr>
                <w:sz w:val="20"/>
                <w:szCs w:val="20"/>
                <w:color w:val="auto"/>
              </w:rPr>
            </w:pPr>
            <w:r>
              <w:rPr>
                <w:rFonts w:ascii="Times New Roman" w:cs="Times New Roman" w:eastAsia="Times New Roman" w:hAnsi="Times New Roman"/>
                <w:sz w:val="20"/>
                <w:szCs w:val="20"/>
                <w:color w:val="auto"/>
                <w:w w:val="97"/>
              </w:rPr>
              <w:t>Raymond James &amp; Associates and Needham &amp;</w:t>
            </w: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52"/>
        </w:trPr>
        <w:tc>
          <w:tcPr>
            <w:tcW w:w="37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Company, LLC</w:t>
            </w:r>
          </w:p>
        </w:tc>
        <w:tc>
          <w:tcPr>
            <w:tcW w:w="80" w:type="dxa"/>
            <w:vAlign w:val="bottom"/>
          </w:tcPr>
          <w:p>
            <w:pPr>
              <w:spacing w:after="0"/>
              <w:rPr>
                <w:sz w:val="21"/>
                <w:szCs w:val="21"/>
                <w:color w:val="auto"/>
              </w:rPr>
            </w:pPr>
          </w:p>
        </w:tc>
        <w:tc>
          <w:tcPr>
            <w:tcW w:w="170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Dec-25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ind w:left="500"/>
              <w:spacing w:after="0"/>
              <w:rPr>
                <w:sz w:val="20"/>
                <w:szCs w:val="20"/>
                <w:color w:val="auto"/>
              </w:rPr>
            </w:pPr>
            <w:r>
              <w:rPr>
                <w:rFonts w:ascii="Times New Roman" w:cs="Times New Roman" w:eastAsia="Times New Roman" w:hAnsi="Times New Roman"/>
                <w:sz w:val="20"/>
                <w:szCs w:val="20"/>
                <w:color w:val="auto"/>
                <w:w w:val="97"/>
              </w:rPr>
              <w:t>29.51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3,919,517</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113,350</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ind w:left="660"/>
              <w:spacing w:after="0"/>
              <w:rPr>
                <w:sz w:val="20"/>
                <w:szCs w:val="20"/>
                <w:color w:val="auto"/>
              </w:rPr>
            </w:pPr>
            <w:r>
              <w:rPr>
                <w:rFonts w:ascii="Times New Roman" w:cs="Times New Roman" w:eastAsia="Times New Roman" w:hAnsi="Times New Roman"/>
                <w:sz w:val="20"/>
                <w:szCs w:val="20"/>
                <w:color w:val="auto"/>
                <w:w w:val="97"/>
              </w:rPr>
              <w:t>2,313</w:t>
            </w:r>
          </w:p>
        </w:tc>
      </w:tr>
      <w:tr>
        <w:trPr>
          <w:trHeight w:val="267"/>
        </w:trPr>
        <w:tc>
          <w:tcPr>
            <w:tcW w:w="3740" w:type="dxa"/>
            <w:vAlign w:val="bottom"/>
            <w:tcBorders>
              <w:top w:val="single" w:sz="8" w:color="DBDBDB"/>
              <w:bottom w:val="single" w:sz="8" w:color="DBDBDB"/>
            </w:tcBorders>
            <w:shd w:val="clear" w:color="auto" w:fill="DBDBDB"/>
          </w:tcPr>
          <w:p>
            <w:pPr>
              <w:ind w:left="20"/>
              <w:spacing w:after="0" w:line="220" w:lineRule="exact"/>
              <w:rPr>
                <w:sz w:val="20"/>
                <w:szCs w:val="20"/>
                <w:color w:val="auto"/>
              </w:rPr>
            </w:pPr>
            <w:r>
              <w:rPr>
                <w:rFonts w:ascii="Times New Roman" w:cs="Times New Roman" w:eastAsia="Times New Roman" w:hAnsi="Times New Roman"/>
                <w:sz w:val="20"/>
                <w:szCs w:val="20"/>
                <w:color w:val="auto"/>
              </w:rPr>
              <w:t>Total</w:t>
            </w:r>
          </w:p>
        </w:tc>
        <w:tc>
          <w:tcPr>
            <w:tcW w:w="80" w:type="dxa"/>
            <w:vAlign w:val="bottom"/>
            <w:tcBorders>
              <w:top w:val="single" w:sz="8" w:color="DBDBDB"/>
              <w:bottom w:val="single" w:sz="8" w:color="DBDBDB"/>
            </w:tcBorders>
            <w:shd w:val="clear" w:color="auto" w:fill="DBDBDB"/>
          </w:tcPr>
          <w:p>
            <w:pPr>
              <w:spacing w:after="0"/>
              <w:rPr>
                <w:sz w:val="22"/>
                <w:szCs w:val="22"/>
                <w:color w:val="auto"/>
              </w:rPr>
            </w:pPr>
          </w:p>
        </w:tc>
        <w:tc>
          <w:tcPr>
            <w:tcW w:w="1700" w:type="dxa"/>
            <w:vAlign w:val="bottom"/>
            <w:tcBorders>
              <w:top w:val="single" w:sz="8" w:color="DBDBDB"/>
              <w:bottom w:val="single" w:sz="8" w:color="DBDBDB"/>
            </w:tcBorders>
            <w:shd w:val="clear" w:color="auto" w:fill="DBDBDB"/>
          </w:tcPr>
          <w:p>
            <w:pPr>
              <w:spacing w:after="0"/>
              <w:rPr>
                <w:sz w:val="22"/>
                <w:szCs w:val="22"/>
                <w:color w:val="auto"/>
              </w:rPr>
            </w:pPr>
          </w:p>
        </w:tc>
        <w:tc>
          <w:tcPr>
            <w:tcW w:w="100" w:type="dxa"/>
            <w:vAlign w:val="bottom"/>
            <w:tcBorders>
              <w:top w:val="single" w:sz="8" w:color="DBDBDB"/>
              <w:bottom w:val="single" w:sz="8" w:color="DBDBDB"/>
            </w:tcBorders>
            <w:shd w:val="clear" w:color="auto" w:fill="DBDBDB"/>
          </w:tcPr>
          <w:p>
            <w:pPr>
              <w:spacing w:after="0"/>
              <w:rPr>
                <w:sz w:val="22"/>
                <w:szCs w:val="22"/>
                <w:color w:val="auto"/>
              </w:rPr>
            </w:pPr>
          </w:p>
        </w:tc>
        <w:tc>
          <w:tcPr>
            <w:tcW w:w="100" w:type="dxa"/>
            <w:vAlign w:val="bottom"/>
            <w:tcBorders>
              <w:top w:val="single" w:sz="8" w:color="DBDBDB"/>
              <w:bottom w:val="single" w:sz="8" w:color="DBDBDB"/>
            </w:tcBorders>
            <w:shd w:val="clear" w:color="auto" w:fill="DBDBDB"/>
          </w:tcPr>
          <w:p>
            <w:pPr>
              <w:spacing w:after="0"/>
              <w:rPr>
                <w:sz w:val="22"/>
                <w:szCs w:val="22"/>
                <w:color w:val="auto"/>
              </w:rPr>
            </w:pPr>
          </w:p>
        </w:tc>
        <w:tc>
          <w:tcPr>
            <w:tcW w:w="960" w:type="dxa"/>
            <w:vAlign w:val="bottom"/>
            <w:tcBorders>
              <w:top w:val="single" w:sz="8" w:color="DBDBDB"/>
              <w:bottom w:val="single" w:sz="8" w:color="DBDBDB"/>
            </w:tcBorders>
            <w:shd w:val="clear" w:color="auto" w:fill="DBDBDB"/>
          </w:tcPr>
          <w:p>
            <w:pPr>
              <w:spacing w:after="0"/>
              <w:rPr>
                <w:sz w:val="22"/>
                <w:szCs w:val="22"/>
                <w:color w:val="auto"/>
              </w:rPr>
            </w:pPr>
          </w:p>
        </w:tc>
        <w:tc>
          <w:tcPr>
            <w:tcW w:w="180" w:type="dxa"/>
            <w:vAlign w:val="bottom"/>
            <w:tcBorders>
              <w:top w:val="single" w:sz="8" w:color="DBDBDB"/>
              <w:bottom w:val="single" w:sz="8" w:color="DBDBDB"/>
              <w:right w:val="single" w:sz="8" w:color="DBDBDB"/>
            </w:tcBorders>
            <w:shd w:val="clear" w:color="auto" w:fill="DBDBDB"/>
          </w:tcPr>
          <w:p>
            <w:pPr>
              <w:spacing w:after="0"/>
              <w:rPr>
                <w:sz w:val="22"/>
                <w:szCs w:val="22"/>
                <w:color w:val="auto"/>
              </w:rPr>
            </w:pPr>
          </w:p>
        </w:tc>
        <w:tc>
          <w:tcPr>
            <w:tcW w:w="1040" w:type="dxa"/>
            <w:vAlign w:val="bottom"/>
            <w:tcBorders>
              <w:top w:val="single" w:sz="8" w:color="auto"/>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highlight w:val="lightGray"/>
              </w:rPr>
              <w:t>23,749,971</w:t>
            </w:r>
          </w:p>
        </w:tc>
        <w:tc>
          <w:tcPr>
            <w:tcW w:w="180" w:type="dxa"/>
            <w:vAlign w:val="bottom"/>
            <w:tcBorders>
              <w:top w:val="single" w:sz="8" w:color="DBDBDB"/>
              <w:bottom w:val="single" w:sz="8" w:color="DBDBDB"/>
            </w:tcBorders>
            <w:shd w:val="clear" w:color="auto" w:fill="DBDBDB"/>
          </w:tcPr>
          <w:p>
            <w:pPr>
              <w:spacing w:after="0"/>
              <w:rPr>
                <w:sz w:val="22"/>
                <w:szCs w:val="22"/>
                <w:color w:val="auto"/>
              </w:rPr>
            </w:pPr>
          </w:p>
        </w:tc>
        <w:tc>
          <w:tcPr>
            <w:tcW w:w="120" w:type="dxa"/>
            <w:vAlign w:val="bottom"/>
            <w:tcBorders>
              <w:top w:val="single" w:sz="8" w:color="auto"/>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highlight w:val="lightGray"/>
                <w:w w:val="99"/>
              </w:rPr>
              <w:t>$</w:t>
            </w:r>
          </w:p>
        </w:tc>
        <w:tc>
          <w:tcPr>
            <w:tcW w:w="940" w:type="dxa"/>
            <w:vAlign w:val="bottom"/>
            <w:tcBorders>
              <w:top w:val="single" w:sz="8" w:color="auto"/>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highlight w:val="lightGray"/>
              </w:rPr>
              <w:t>519,400</w:t>
            </w:r>
          </w:p>
        </w:tc>
        <w:tc>
          <w:tcPr>
            <w:tcW w:w="160" w:type="dxa"/>
            <w:vAlign w:val="bottom"/>
            <w:tcBorders>
              <w:top w:val="single" w:sz="8" w:color="DBDBDB"/>
              <w:bottom w:val="single" w:sz="8" w:color="DBDBDB"/>
              <w:right w:val="single" w:sz="8" w:color="DBDBDB"/>
            </w:tcBorders>
            <w:shd w:val="clear" w:color="auto" w:fill="DBDBDB"/>
          </w:tcPr>
          <w:p>
            <w:pPr>
              <w:spacing w:after="0"/>
              <w:rPr>
                <w:sz w:val="22"/>
                <w:szCs w:val="22"/>
                <w:color w:val="auto"/>
              </w:rPr>
            </w:pPr>
          </w:p>
        </w:tc>
        <w:tc>
          <w:tcPr>
            <w:tcW w:w="180" w:type="dxa"/>
            <w:vAlign w:val="bottom"/>
            <w:tcBorders>
              <w:top w:val="single" w:sz="8" w:color="auto"/>
              <w:bottom w:val="single" w:sz="8" w:color="DBDBDB"/>
            </w:tcBorders>
            <w:shd w:val="clear" w:color="auto" w:fill="DBDBDB"/>
          </w:tcPr>
          <w:p>
            <w:pPr>
              <w:spacing w:after="0" w:line="220" w:lineRule="exact"/>
              <w:rPr>
                <w:sz w:val="20"/>
                <w:szCs w:val="20"/>
                <w:color w:val="auto"/>
              </w:rPr>
            </w:pPr>
            <w:r>
              <w:rPr>
                <w:rFonts w:ascii="Times New Roman" w:cs="Times New Roman" w:eastAsia="Times New Roman" w:hAnsi="Times New Roman"/>
                <w:sz w:val="20"/>
                <w:szCs w:val="20"/>
                <w:color w:val="auto"/>
                <w:highlight w:val="lightGray"/>
              </w:rPr>
              <w:t>$</w:t>
            </w:r>
          </w:p>
        </w:tc>
        <w:tc>
          <w:tcPr>
            <w:tcW w:w="1120" w:type="dxa"/>
            <w:vAlign w:val="bottom"/>
            <w:tcBorders>
              <w:top w:val="single" w:sz="8" w:color="auto"/>
              <w:bottom w:val="single" w:sz="8" w:color="DBDBDB"/>
            </w:tcBorders>
            <w:shd w:val="clear" w:color="auto" w:fill="DBDBDB"/>
          </w:tcPr>
          <w:p>
            <w:pPr>
              <w:ind w:left="560"/>
              <w:spacing w:after="0" w:line="220" w:lineRule="exact"/>
              <w:rPr>
                <w:sz w:val="20"/>
                <w:szCs w:val="20"/>
                <w:color w:val="auto"/>
              </w:rPr>
            </w:pPr>
            <w:r>
              <w:rPr>
                <w:rFonts w:ascii="Times New Roman" w:cs="Times New Roman" w:eastAsia="Times New Roman" w:hAnsi="Times New Roman"/>
                <w:sz w:val="20"/>
                <w:szCs w:val="20"/>
                <w:color w:val="auto"/>
                <w:w w:val="98"/>
              </w:rPr>
              <w:t>10,600</w:t>
            </w:r>
          </w:p>
        </w:tc>
      </w:tr>
      <w:tr>
        <w:trPr>
          <w:trHeight w:val="20"/>
        </w:trPr>
        <w:tc>
          <w:tcPr>
            <w:tcW w:w="3740" w:type="dxa"/>
            <w:vAlign w:val="bottom"/>
            <w:tcBorders>
              <w:top w:val="single" w:sz="8" w:color="DBDBDB"/>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70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96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right w:val="single" w:sz="8" w:color="auto"/>
            </w:tcBorders>
          </w:tcPr>
          <w:p>
            <w:pPr>
              <w:spacing w:after="0" w:line="20" w:lineRule="exact"/>
              <w:rPr>
                <w:sz w:val="1"/>
                <w:szCs w:val="1"/>
                <w:color w:val="auto"/>
              </w:rPr>
            </w:pPr>
          </w:p>
        </w:tc>
        <w:tc>
          <w:tcPr>
            <w:tcW w:w="1040" w:type="dxa"/>
            <w:vAlign w:val="bottom"/>
            <w:tcBorders>
              <w:top w:val="single" w:sz="8" w:color="DBDBDB"/>
            </w:tcBorders>
            <w:shd w:val="clear" w:color="auto" w:fill="000000"/>
          </w:tcPr>
          <w:p>
            <w:pPr>
              <w:spacing w:after="0" w:line="20" w:lineRule="exact"/>
              <w:rPr>
                <w:sz w:val="1"/>
                <w:szCs w:val="1"/>
                <w:color w:val="auto"/>
              </w:rPr>
            </w:pPr>
          </w:p>
        </w:tc>
        <w:tc>
          <w:tcPr>
            <w:tcW w:w="18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DBDBDB"/>
              <w:right w:val="single" w:sz="8" w:color="auto"/>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Registered Direct Offering</w:t>
      </w:r>
    </w:p>
    <w:p>
      <w:pPr>
        <w:spacing w:after="0" w:line="216" w:lineRule="exact"/>
        <w:rPr>
          <w:sz w:val="20"/>
          <w:szCs w:val="20"/>
          <w:color w:val="auto"/>
        </w:rPr>
      </w:pPr>
    </w:p>
    <w:p>
      <w:pPr>
        <w:jc w:val="both"/>
        <w:ind w:firstLine="706"/>
        <w:spacing w:after="0" w:line="246" w:lineRule="auto"/>
        <w:rPr>
          <w:sz w:val="20"/>
          <w:szCs w:val="20"/>
          <w:color w:val="auto"/>
        </w:rPr>
      </w:pPr>
      <w:r>
        <w:rPr>
          <w:rFonts w:ascii="Times New Roman" w:cs="Times New Roman" w:eastAsia="Times New Roman" w:hAnsi="Times New Roman"/>
          <w:sz w:val="20"/>
          <w:szCs w:val="20"/>
          <w:color w:val="auto"/>
        </w:rPr>
        <w:t>On December 23, 2024, the Company issued an aggregate of 1,036,458 shares of the Company’s common stock, par value $0.001 per share, at a purchase price of $33.97 per share, in a registered direct offering (the "Registered Direct Offering"). The Registered Direct Offering was made pursuant to the Automatic Shelf Registration Statement. The Registered Direct Offering closed on December 23, 2024.</w:t>
      </w:r>
    </w:p>
    <w:p>
      <w:pPr>
        <w:spacing w:after="0" w:line="184" w:lineRule="exact"/>
        <w:rPr>
          <w:sz w:val="20"/>
          <w:szCs w:val="20"/>
          <w:color w:val="auto"/>
        </w:rPr>
      </w:pPr>
    </w:p>
    <w:p>
      <w:pPr>
        <w:jc w:val="both"/>
        <w:ind w:firstLine="706"/>
        <w:spacing w:after="0" w:line="246" w:lineRule="auto"/>
        <w:rPr>
          <w:sz w:val="20"/>
          <w:szCs w:val="20"/>
          <w:color w:val="auto"/>
        </w:rPr>
      </w:pPr>
      <w:r>
        <w:rPr>
          <w:rFonts w:ascii="Times New Roman" w:cs="Times New Roman" w:eastAsia="Times New Roman" w:hAnsi="Times New Roman"/>
          <w:sz w:val="20"/>
          <w:szCs w:val="20"/>
          <w:color w:val="auto"/>
        </w:rPr>
        <w:t>Raymond James and Associates, Inc. acted as the sole placement agent (the "Placement Agent") for the Company in connection with the Registered Direct Offering. Pursuant to that certain Placement Agency Agreement, dated as of December 18, 2024, between the Company and the Placement Agent, the Placement Agent is entitled to a fee equal to an aggregate of 3% of the aggregate principal amount of the Registered Direct Offering.</w:t>
      </w:r>
    </w:p>
    <w:p>
      <w:pPr>
        <w:spacing w:after="0" w:line="187" w:lineRule="exact"/>
        <w:rPr>
          <w:sz w:val="20"/>
          <w:szCs w:val="20"/>
          <w:color w:val="auto"/>
        </w:rPr>
      </w:pPr>
    </w:p>
    <w:p>
      <w:pPr>
        <w:jc w:val="both"/>
        <w:ind w:firstLine="706"/>
        <w:spacing w:after="0" w:line="243" w:lineRule="auto"/>
        <w:rPr>
          <w:sz w:val="20"/>
          <w:szCs w:val="20"/>
          <w:color w:val="auto"/>
        </w:rPr>
      </w:pPr>
      <w:r>
        <w:rPr>
          <w:rFonts w:ascii="Times New Roman" w:cs="Times New Roman" w:eastAsia="Times New Roman" w:hAnsi="Times New Roman"/>
          <w:sz w:val="20"/>
          <w:szCs w:val="20"/>
          <w:color w:val="auto"/>
        </w:rPr>
        <w:t>The Registered Direct Offering generated proceeds of approximately $33.7 million, after deducting placement agent fees and other estimated offering expenses payable by us. The Company intends to use the net proceeds from the Registered Direct Offering for general corporate purposes, which may include among other things, capital expenditures and working capital. The Company may also use such proceeds to fund acquisitions of businesses, technologies or product lines that complement its current business; however, the Company has no present plans, agreements or commitments with respect to any potential acquisition.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Note Offerings</w:t>
      </w:r>
    </w:p>
    <w:p>
      <w:pPr>
        <w:spacing w:after="0" w:line="215" w:lineRule="exact"/>
        <w:rPr>
          <w:sz w:val="20"/>
          <w:szCs w:val="20"/>
          <w:color w:val="auto"/>
        </w:rPr>
      </w:pPr>
    </w:p>
    <w:p>
      <w:pPr>
        <w:jc w:val="both"/>
        <w:ind w:firstLine="706"/>
        <w:spacing w:after="0"/>
        <w:rPr>
          <w:sz w:val="20"/>
          <w:szCs w:val="20"/>
          <w:color w:val="auto"/>
        </w:rPr>
      </w:pPr>
      <w:r>
        <w:rPr>
          <w:rFonts w:ascii="Times New Roman" w:cs="Times New Roman" w:eastAsia="Times New Roman" w:hAnsi="Times New Roman"/>
          <w:sz w:val="20"/>
          <w:szCs w:val="20"/>
          <w:color w:val="auto"/>
        </w:rPr>
        <w:t>On December 5, 2023, the Company issued approximately $ 80.2 million aggregate principal amount of 5.250% convertible senior notes due 2026 (the "2026 Notes"), bearing interest at a rate of 5.250% per year maturing on December 5, 2026, unless earlier repurchased, redeemed or converted in accordance with their terms. The sale of the 2026 Notes generated net proceeds of $76.2 million, after expenses. On July 30, 2025, the Company retired the final $3.5 million principal and accrued and unpaid interest on the 2026 Notes by exchanging such outstanding principal for 239,404 shares of the Company's common stock and by paying the accrued and outstanding interest in cash. Also refer to Note L “Convertible Senior Notes” to the consolidated financial statements for further discussion of the 2026 Notes.</w:t>
      </w:r>
    </w:p>
    <w:p>
      <w:pPr>
        <w:sectPr>
          <w:pgSz w:w="11880" w:h="15480" w:orient="portrait"/>
          <w:cols w:equalWidth="0" w:num="1">
            <w:col w:w="10600"/>
          </w:cols>
          <w:pgMar w:left="640" w:top="410" w:right="640" w:bottom="0" w:gutter="0" w:footer="0" w:header="0"/>
        </w:sect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1880" w:h="15480" w:orient="portrait"/>
          <w:cols w:equalWidth="0" w:num="1">
            <w:col w:w="10600"/>
          </w:cols>
          <w:pgMar w:left="640" w:top="410" w:right="640" w:bottom="0" w:gutter="0" w:footer="0" w:header="0"/>
          <w:type w:val="continuous"/>
        </w:sectPr>
      </w:pPr>
    </w:p>
    <w:bookmarkStart w:id="44" w:name="page45"/>
    <w:bookmarkEnd w:id="44"/>
    <w:p>
      <w:pPr>
        <w:jc w:val="both"/>
        <w:ind w:firstLine="706"/>
        <w:spacing w:after="0" w:line="241" w:lineRule="auto"/>
        <w:rPr>
          <w:sz w:val="20"/>
          <w:szCs w:val="20"/>
          <w:color w:val="auto"/>
        </w:rPr>
      </w:pPr>
      <w:r>
        <w:rPr>
          <w:rFonts w:ascii="Times New Roman" w:cs="Times New Roman" w:eastAsia="Times New Roman" w:hAnsi="Times New Roman"/>
          <w:sz w:val="20"/>
          <w:szCs w:val="20"/>
          <w:color w:val="auto"/>
        </w:rPr>
        <w:t>On December 23, 2024, the Company issued approximately $125.0 million aggregate principal amount of 2.750% convertible senior notes due 2030 (the "2030 Notes"), and on the same day consummated various separate, privately negotiated exchange agreements with certain holders of its 2026 Notes to exchange approximately $76.6 million principal amount of the 2026 Notes for aggregate consideration consisting of (i) $125.0 million aggregate principal amount of the 2030 Notes, (ii) 1,487,874 shares of the Company's common stock, par value $0.001 per share and (iii) approximately $0.9 million of cash in aggregate. Also refer to Note L "Convertible Senior Notes" to the consolidated financial statements for further discussion of the 2030 Notes.</w:t>
      </w:r>
    </w:p>
    <w:p>
      <w:pPr>
        <w:spacing w:after="0" w:line="19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table below sets forth selected cash flow data for the periods presented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60" w:type="dxa"/>
            <w:vAlign w:val="bottom"/>
            <w:tcBorders>
              <w:bottom w:val="single" w:sz="8" w:color="auto"/>
            </w:tcBorders>
            <w:gridSpan w:val="6"/>
          </w:tcPr>
          <w:p>
            <w:pPr>
              <w:jc w:val="right"/>
              <w:ind w:right="62"/>
              <w:spacing w:after="0"/>
              <w:rPr>
                <w:sz w:val="20"/>
                <w:szCs w:val="20"/>
                <w:color w:val="auto"/>
              </w:rPr>
            </w:pPr>
            <w:r>
              <w:rPr>
                <w:rFonts w:ascii="Times New Roman" w:cs="Times New Roman" w:eastAsia="Times New Roman" w:hAnsi="Times New Roman"/>
                <w:sz w:val="20"/>
                <w:szCs w:val="20"/>
                <w:b w:val="1"/>
                <w:bCs w:val="1"/>
                <w:color w:val="auto"/>
              </w:rPr>
              <w:t>Years ended December 31,</w:t>
            </w:r>
          </w:p>
        </w:tc>
        <w:tc>
          <w:tcPr>
            <w:tcW w:w="1040" w:type="dxa"/>
            <w:vAlign w:val="bottom"/>
            <w:tcBorders>
              <w:bottom w:val="single" w:sz="8" w:color="auto"/>
            </w:tcBorders>
          </w:tcPr>
          <w:p>
            <w:pPr>
              <w:spacing w:after="0"/>
              <w:rPr>
                <w:sz w:val="22"/>
                <w:szCs w:val="22"/>
                <w:color w:val="auto"/>
              </w:rPr>
            </w:pPr>
          </w:p>
        </w:tc>
      </w:tr>
      <w:tr>
        <w:trPr>
          <w:trHeight w:val="227"/>
        </w:trPr>
        <w:tc>
          <w:tcPr>
            <w:tcW w:w="5900" w:type="dxa"/>
            <w:vAlign w:val="bottom"/>
            <w:tcBorders>
              <w:bottom w:val="single" w:sz="8" w:color="DBDBDB"/>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02"/>
              <w:spacing w:after="0" w:line="227" w:lineRule="exact"/>
              <w:rPr>
                <w:sz w:val="20"/>
                <w:szCs w:val="20"/>
                <w:color w:val="auto"/>
              </w:rPr>
            </w:pPr>
            <w:r>
              <w:rPr>
                <w:rFonts w:ascii="Times New Roman" w:cs="Times New Roman" w:eastAsia="Times New Roman" w:hAnsi="Times New Roman"/>
                <w:sz w:val="20"/>
                <w:szCs w:val="20"/>
                <w:b w:val="1"/>
                <w:bCs w:val="1"/>
                <w:color w:val="auto"/>
              </w:rPr>
              <w:t>2025</w:t>
            </w:r>
          </w:p>
        </w:tc>
        <w:tc>
          <w:tcPr>
            <w:tcW w:w="220" w:type="dxa"/>
            <w:vAlign w:val="bottom"/>
            <w:tcBorders>
              <w:bottom w:val="single" w:sz="8" w:color="DBDBDB"/>
            </w:tcBorders>
          </w:tcPr>
          <w:p>
            <w:pPr>
              <w:spacing w:after="0"/>
              <w:rPr>
                <w:sz w:val="19"/>
                <w:szCs w:val="19"/>
                <w:color w:val="auto"/>
              </w:rPr>
            </w:pPr>
          </w:p>
        </w:tc>
        <w:tc>
          <w:tcPr>
            <w:tcW w:w="110" w:type="dxa"/>
            <w:vAlign w:val="bottom"/>
            <w:tcBorders>
              <w:bottom w:val="single" w:sz="8" w:color="auto"/>
            </w:tcBorders>
          </w:tcPr>
          <w:p>
            <w:pPr>
              <w:spacing w:after="0"/>
              <w:rPr>
                <w:sz w:val="19"/>
                <w:szCs w:val="19"/>
                <w:color w:val="auto"/>
              </w:rPr>
            </w:pPr>
          </w:p>
        </w:tc>
        <w:tc>
          <w:tcPr>
            <w:tcW w:w="1270" w:type="dxa"/>
            <w:vAlign w:val="bottom"/>
            <w:tcBorders>
              <w:bottom w:val="single" w:sz="8" w:color="auto"/>
            </w:tcBorders>
          </w:tcPr>
          <w:p>
            <w:pPr>
              <w:jc w:val="right"/>
              <w:ind w:right="382"/>
              <w:spacing w:after="0" w:line="227" w:lineRule="exact"/>
              <w:rPr>
                <w:sz w:val="20"/>
                <w:szCs w:val="20"/>
                <w:color w:val="auto"/>
              </w:rPr>
            </w:pPr>
            <w:r>
              <w:rPr>
                <w:rFonts w:ascii="Times New Roman" w:cs="Times New Roman" w:eastAsia="Times New Roman" w:hAnsi="Times New Roman"/>
                <w:sz w:val="20"/>
                <w:szCs w:val="20"/>
                <w:b w:val="1"/>
                <w:bCs w:val="1"/>
                <w:color w:val="auto"/>
              </w:rPr>
              <w:t>2024</w:t>
            </w:r>
          </w:p>
        </w:tc>
        <w:tc>
          <w:tcPr>
            <w:tcW w:w="22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02"/>
              <w:spacing w:after="0" w:line="227" w:lineRule="exact"/>
              <w:rPr>
                <w:sz w:val="20"/>
                <w:szCs w:val="20"/>
                <w:color w:val="auto"/>
              </w:rPr>
            </w:pPr>
            <w:r>
              <w:rPr>
                <w:rFonts w:ascii="Times New Roman" w:cs="Times New Roman" w:eastAsia="Times New Roman" w:hAnsi="Times New Roman"/>
                <w:sz w:val="20"/>
                <w:szCs w:val="20"/>
                <w:b w:val="1"/>
                <w:bCs w:val="1"/>
                <w:color w:val="auto"/>
              </w:rPr>
              <w:t>2023</w:t>
            </w:r>
          </w:p>
        </w:tc>
      </w:tr>
      <w:tr>
        <w:trPr>
          <w:trHeight w:val="225"/>
        </w:trPr>
        <w:tc>
          <w:tcPr>
            <w:tcW w:w="5900" w:type="dxa"/>
            <w:vAlign w:val="bottom"/>
            <w:shd w:val="clear" w:color="auto" w:fill="DBDBDB"/>
          </w:tcPr>
          <w:p>
            <w:pPr>
              <w:ind w:left="20"/>
              <w:spacing w:after="0" w:line="220" w:lineRule="exact"/>
              <w:rPr>
                <w:sz w:val="20"/>
                <w:szCs w:val="20"/>
                <w:color w:val="auto"/>
              </w:rPr>
            </w:pPr>
            <w:r>
              <w:rPr>
                <w:rFonts w:ascii="Times New Roman" w:cs="Times New Roman" w:eastAsia="Times New Roman" w:hAnsi="Times New Roman"/>
                <w:sz w:val="20"/>
                <w:szCs w:val="20"/>
                <w:color w:val="auto"/>
              </w:rPr>
              <w:t>Net cash used in operating activities</w:t>
            </w:r>
          </w:p>
        </w:tc>
        <w:tc>
          <w:tcPr>
            <w:tcW w:w="100" w:type="dxa"/>
            <w:vAlign w:val="bottom"/>
            <w:tcBorders>
              <w:right w:val="single" w:sz="8" w:color="DBDBDB"/>
            </w:tcBorders>
            <w:shd w:val="clear" w:color="auto" w:fill="DBDBDB"/>
          </w:tcPr>
          <w:p>
            <w:pPr>
              <w:spacing w:after="0"/>
              <w:rPr>
                <w:sz w:val="19"/>
                <w:szCs w:val="19"/>
                <w:color w:val="auto"/>
              </w:rPr>
            </w:pPr>
          </w:p>
        </w:tc>
        <w:tc>
          <w:tcPr>
            <w:tcW w:w="100" w:type="dxa"/>
            <w:vAlign w:val="bottom"/>
            <w:shd w:val="clear" w:color="auto" w:fill="DBDBDB"/>
          </w:tcPr>
          <w:p>
            <w:pPr>
              <w:jc w:val="right"/>
              <w:spacing w:after="0" w:line="225"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280" w:type="dxa"/>
            <w:vAlign w:val="bottom"/>
            <w:shd w:val="clear" w:color="auto" w:fill="DBDBDB"/>
          </w:tcPr>
          <w:p>
            <w:pPr>
              <w:jc w:val="right"/>
              <w:spacing w:after="0" w:line="225" w:lineRule="exact"/>
              <w:rPr>
                <w:sz w:val="20"/>
                <w:szCs w:val="20"/>
                <w:color w:val="auto"/>
              </w:rPr>
            </w:pPr>
            <w:r>
              <w:rPr>
                <w:rFonts w:ascii="Times New Roman" w:cs="Times New Roman" w:eastAsia="Times New Roman" w:hAnsi="Times New Roman"/>
                <w:sz w:val="20"/>
                <w:szCs w:val="20"/>
                <w:color w:val="auto"/>
              </w:rPr>
              <w:t>(174,428)</w:t>
            </w:r>
          </w:p>
        </w:tc>
        <w:tc>
          <w:tcPr>
            <w:tcW w:w="220" w:type="dxa"/>
            <w:vAlign w:val="bottom"/>
            <w:tcBorders>
              <w:right w:val="single" w:sz="8" w:color="DBDBDB"/>
            </w:tcBorders>
            <w:shd w:val="clear" w:color="auto" w:fill="DBDBDB"/>
          </w:tcPr>
          <w:p>
            <w:pPr>
              <w:spacing w:after="0"/>
              <w:rPr>
                <w:sz w:val="19"/>
                <w:szCs w:val="19"/>
                <w:color w:val="auto"/>
              </w:rPr>
            </w:pPr>
          </w:p>
        </w:tc>
        <w:tc>
          <w:tcPr>
            <w:tcW w:w="110" w:type="dxa"/>
            <w:vAlign w:val="bottom"/>
            <w:shd w:val="clear" w:color="auto" w:fill="DBDBDB"/>
          </w:tcPr>
          <w:p>
            <w:pPr>
              <w:jc w:val="right"/>
              <w:spacing w:after="0" w:line="225"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270" w:type="dxa"/>
            <w:vAlign w:val="bottom"/>
            <w:shd w:val="clear" w:color="auto" w:fill="DBDBDB"/>
          </w:tcPr>
          <w:p>
            <w:pPr>
              <w:jc w:val="right"/>
              <w:spacing w:after="0" w:line="225" w:lineRule="exact"/>
              <w:rPr>
                <w:sz w:val="20"/>
                <w:szCs w:val="20"/>
                <w:color w:val="auto"/>
              </w:rPr>
            </w:pPr>
            <w:r>
              <w:rPr>
                <w:rFonts w:ascii="Times New Roman" w:cs="Times New Roman" w:eastAsia="Times New Roman" w:hAnsi="Times New Roman"/>
                <w:sz w:val="20"/>
                <w:szCs w:val="20"/>
                <w:color w:val="auto"/>
              </w:rPr>
              <w:t>(69,526)</w:t>
            </w:r>
          </w:p>
        </w:tc>
        <w:tc>
          <w:tcPr>
            <w:tcW w:w="220" w:type="dxa"/>
            <w:vAlign w:val="bottom"/>
            <w:tcBorders>
              <w:right w:val="single" w:sz="8" w:color="DBDBDB"/>
            </w:tcBorders>
            <w:shd w:val="clear" w:color="auto" w:fill="DBDBDB"/>
          </w:tcPr>
          <w:p>
            <w:pPr>
              <w:spacing w:after="0"/>
              <w:rPr>
                <w:sz w:val="19"/>
                <w:szCs w:val="19"/>
                <w:color w:val="auto"/>
              </w:rPr>
            </w:pPr>
          </w:p>
        </w:tc>
        <w:tc>
          <w:tcPr>
            <w:tcW w:w="360" w:type="dxa"/>
            <w:vAlign w:val="bottom"/>
            <w:shd w:val="clear" w:color="auto" w:fill="DBDBDB"/>
          </w:tcPr>
          <w:p>
            <w:pPr>
              <w:jc w:val="right"/>
              <w:ind w:right="162"/>
              <w:spacing w:after="0" w:line="225"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040" w:type="dxa"/>
            <w:vAlign w:val="bottom"/>
            <w:shd w:val="clear" w:color="auto" w:fill="DBDBDB"/>
          </w:tcPr>
          <w:p>
            <w:pPr>
              <w:jc w:val="right"/>
              <w:spacing w:after="0" w:line="225" w:lineRule="exact"/>
              <w:rPr>
                <w:sz w:val="20"/>
                <w:szCs w:val="20"/>
                <w:color w:val="auto"/>
              </w:rPr>
            </w:pPr>
            <w:r>
              <w:rPr>
                <w:rFonts w:ascii="Times New Roman" w:cs="Times New Roman" w:eastAsia="Times New Roman" w:hAnsi="Times New Roman"/>
                <w:sz w:val="20"/>
                <w:szCs w:val="20"/>
                <w:color w:val="auto"/>
              </w:rPr>
              <w:t>(7,929)</w:t>
            </w:r>
          </w:p>
        </w:tc>
      </w:tr>
      <w:tr>
        <w:trPr>
          <w:trHeight w:val="235"/>
        </w:trPr>
        <w:tc>
          <w:tcPr>
            <w:tcW w:w="60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Net cash used in investing activities</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(210,604)</w:t>
            </w:r>
          </w:p>
        </w:tc>
        <w:tc>
          <w:tcPr>
            <w:tcW w:w="220" w:type="dxa"/>
            <w:vAlign w:val="bottom"/>
          </w:tcPr>
          <w:p>
            <w:pPr>
              <w:spacing w:after="0"/>
              <w:rPr>
                <w:sz w:val="20"/>
                <w:szCs w:val="20"/>
                <w:color w:val="auto"/>
              </w:rPr>
            </w:pPr>
          </w:p>
        </w:tc>
        <w:tc>
          <w:tcPr>
            <w:tcW w:w="110" w:type="dxa"/>
            <w:vAlign w:val="bottom"/>
          </w:tcPr>
          <w:p>
            <w:pPr>
              <w:spacing w:after="0"/>
              <w:rPr>
                <w:sz w:val="20"/>
                <w:szCs w:val="20"/>
                <w:color w:val="auto"/>
              </w:rPr>
            </w:pPr>
          </w:p>
        </w:tc>
        <w:tc>
          <w:tcPr>
            <w:tcW w:w="127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(50,697)</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(14,761)</w:t>
            </w:r>
          </w:p>
        </w:tc>
      </w:tr>
      <w:tr>
        <w:trPr>
          <w:trHeight w:val="235"/>
        </w:trPr>
        <w:tc>
          <w:tcPr>
            <w:tcW w:w="59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20"/>
                <w:szCs w:val="20"/>
                <w:color w:val="auto"/>
              </w:rPr>
              <w:t>Net cash provided by financing activities</w:t>
            </w:r>
          </w:p>
        </w:tc>
        <w:tc>
          <w:tcPr>
            <w:tcW w:w="100" w:type="dxa"/>
            <w:vAlign w:val="bottom"/>
            <w:tcBorders>
              <w:right w:val="single" w:sz="8" w:color="DBDBDB"/>
            </w:tcBorders>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2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527,941</w:t>
            </w:r>
          </w:p>
        </w:tc>
        <w:tc>
          <w:tcPr>
            <w:tcW w:w="220" w:type="dxa"/>
            <w:vAlign w:val="bottom"/>
            <w:tcBorders>
              <w:right w:val="single" w:sz="8" w:color="DBDBDB"/>
            </w:tcBorders>
            <w:shd w:val="clear" w:color="auto" w:fill="DBDBDB"/>
          </w:tcPr>
          <w:p>
            <w:pPr>
              <w:spacing w:after="0"/>
              <w:rPr>
                <w:sz w:val="20"/>
                <w:szCs w:val="20"/>
                <w:color w:val="auto"/>
              </w:rPr>
            </w:pPr>
          </w:p>
        </w:tc>
        <w:tc>
          <w:tcPr>
            <w:tcW w:w="110" w:type="dxa"/>
            <w:vAlign w:val="bottom"/>
            <w:shd w:val="clear" w:color="auto" w:fill="DBDBDB"/>
          </w:tcPr>
          <w:p>
            <w:pPr>
              <w:spacing w:after="0"/>
              <w:rPr>
                <w:sz w:val="20"/>
                <w:szCs w:val="20"/>
                <w:color w:val="auto"/>
              </w:rPr>
            </w:pPr>
          </w:p>
        </w:tc>
        <w:tc>
          <w:tcPr>
            <w:tcW w:w="127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142,179</w:t>
            </w:r>
          </w:p>
        </w:tc>
        <w:tc>
          <w:tcPr>
            <w:tcW w:w="220" w:type="dxa"/>
            <w:vAlign w:val="bottom"/>
            <w:tcBorders>
              <w:right w:val="single" w:sz="8" w:color="DBDBDB"/>
            </w:tcBorders>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0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40,578</w:t>
            </w:r>
          </w:p>
        </w:tc>
      </w:tr>
      <w:tr>
        <w:trPr>
          <w:trHeight w:val="238"/>
        </w:trPr>
        <w:tc>
          <w:tcPr>
            <w:tcW w:w="6000" w:type="dxa"/>
            <w:vAlign w:val="bottom"/>
            <w:tcBorders>
              <w:bottom w:val="single" w:sz="8" w:color="DBDBDB"/>
            </w:tcBorders>
            <w:gridSpan w:val="2"/>
          </w:tcPr>
          <w:p>
            <w:pPr>
              <w:ind w:left="20"/>
              <w:spacing w:after="0"/>
              <w:rPr>
                <w:sz w:val="20"/>
                <w:szCs w:val="20"/>
                <w:color w:val="auto"/>
              </w:rPr>
            </w:pPr>
            <w:r>
              <w:rPr>
                <w:rFonts w:ascii="Times New Roman" w:cs="Times New Roman" w:eastAsia="Times New Roman" w:hAnsi="Times New Roman"/>
                <w:sz w:val="20"/>
                <w:szCs w:val="20"/>
                <w:color w:val="auto"/>
              </w:rPr>
              <w:t>Effect of exchange rates on cash and cash equivalents</w:t>
            </w: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(6,007)</w:t>
            </w:r>
          </w:p>
        </w:tc>
        <w:tc>
          <w:tcPr>
            <w:tcW w:w="220" w:type="dxa"/>
            <w:vAlign w:val="bottom"/>
            <w:tcBorders>
              <w:bottom w:val="single" w:sz="8" w:color="DBDBDB"/>
            </w:tcBorders>
          </w:tcPr>
          <w:p>
            <w:pPr>
              <w:spacing w:after="0"/>
              <w:rPr>
                <w:sz w:val="20"/>
                <w:szCs w:val="20"/>
                <w:color w:val="auto"/>
              </w:rPr>
            </w:pPr>
          </w:p>
        </w:tc>
        <w:tc>
          <w:tcPr>
            <w:tcW w:w="110" w:type="dxa"/>
            <w:vAlign w:val="bottom"/>
            <w:tcBorders>
              <w:bottom w:val="single" w:sz="8" w:color="auto"/>
            </w:tcBorders>
          </w:tcPr>
          <w:p>
            <w:pPr>
              <w:spacing w:after="0"/>
              <w:rPr>
                <w:sz w:val="20"/>
                <w:szCs w:val="20"/>
                <w:color w:val="auto"/>
              </w:rPr>
            </w:pPr>
          </w:p>
        </w:tc>
        <w:tc>
          <w:tcPr>
            <w:tcW w:w="127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2,080</w:t>
            </w:r>
          </w:p>
        </w:tc>
        <w:tc>
          <w:tcPr>
            <w:tcW w:w="220" w:type="dxa"/>
            <w:vAlign w:val="bottom"/>
            <w:tcBorders>
              <w:bottom w:val="single" w:sz="8" w:color="DBDBDB"/>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1,622</w:t>
            </w:r>
          </w:p>
        </w:tc>
      </w:tr>
      <w:tr>
        <w:trPr>
          <w:trHeight w:val="268"/>
        </w:trPr>
        <w:tc>
          <w:tcPr>
            <w:tcW w:w="5900" w:type="dxa"/>
            <w:vAlign w:val="bottom"/>
            <w:tcBorders>
              <w:bottom w:val="single" w:sz="8" w:color="DBDBDB"/>
            </w:tcBorders>
            <w:shd w:val="clear" w:color="auto" w:fill="DBDBDB"/>
          </w:tcPr>
          <w:p>
            <w:pPr>
              <w:ind w:left="20"/>
              <w:spacing w:after="0" w:line="220" w:lineRule="exact"/>
              <w:rPr>
                <w:sz w:val="20"/>
                <w:szCs w:val="20"/>
                <w:color w:val="auto"/>
              </w:rPr>
            </w:pPr>
            <w:r>
              <w:rPr>
                <w:rFonts w:ascii="Times New Roman" w:cs="Times New Roman" w:eastAsia="Times New Roman" w:hAnsi="Times New Roman"/>
                <w:sz w:val="20"/>
                <w:szCs w:val="20"/>
                <w:color w:val="auto"/>
              </w:rPr>
              <w:t>Net increase(decrease) in cash</w:t>
            </w:r>
          </w:p>
        </w:tc>
        <w:tc>
          <w:tcPr>
            <w:tcW w:w="100" w:type="dxa"/>
            <w:vAlign w:val="bottom"/>
            <w:tcBorders>
              <w:bottom w:val="single" w:sz="8" w:color="DBDBDB"/>
              <w:right w:val="single" w:sz="8" w:color="DBDBDB"/>
            </w:tcBorders>
            <w:shd w:val="clear" w:color="auto" w:fill="DBDBDB"/>
          </w:tcPr>
          <w:p>
            <w:pPr>
              <w:spacing w:after="0"/>
              <w:rPr>
                <w:sz w:val="22"/>
                <w:szCs w:val="22"/>
                <w:color w:val="auto"/>
              </w:rPr>
            </w:pPr>
          </w:p>
        </w:tc>
        <w:tc>
          <w:tcPr>
            <w:tcW w:w="10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28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rPr>
              <w:t>136,902</w:t>
            </w:r>
          </w:p>
        </w:tc>
        <w:tc>
          <w:tcPr>
            <w:tcW w:w="220" w:type="dxa"/>
            <w:vAlign w:val="bottom"/>
            <w:tcBorders>
              <w:bottom w:val="single" w:sz="8" w:color="DBDBDB"/>
              <w:right w:val="single" w:sz="8" w:color="DBDBDB"/>
            </w:tcBorders>
            <w:shd w:val="clear" w:color="auto" w:fill="DBDBDB"/>
          </w:tcPr>
          <w:p>
            <w:pPr>
              <w:spacing w:after="0"/>
              <w:rPr>
                <w:sz w:val="22"/>
                <w:szCs w:val="22"/>
                <w:color w:val="auto"/>
              </w:rPr>
            </w:pPr>
          </w:p>
        </w:tc>
        <w:tc>
          <w:tcPr>
            <w:tcW w:w="11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27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rPr>
              <w:t>24,036</w:t>
            </w:r>
          </w:p>
        </w:tc>
        <w:tc>
          <w:tcPr>
            <w:tcW w:w="220" w:type="dxa"/>
            <w:vAlign w:val="bottom"/>
            <w:tcBorders>
              <w:bottom w:val="single" w:sz="8" w:color="DBDBDB"/>
              <w:right w:val="single" w:sz="8" w:color="DBDBDB"/>
            </w:tcBorders>
            <w:shd w:val="clear" w:color="auto" w:fill="DBDBDB"/>
          </w:tcPr>
          <w:p>
            <w:pPr>
              <w:spacing w:after="0"/>
              <w:rPr>
                <w:sz w:val="22"/>
                <w:szCs w:val="22"/>
                <w:color w:val="auto"/>
              </w:rPr>
            </w:pPr>
          </w:p>
        </w:tc>
        <w:tc>
          <w:tcPr>
            <w:tcW w:w="360" w:type="dxa"/>
            <w:vAlign w:val="bottom"/>
            <w:tcBorders>
              <w:bottom w:val="single" w:sz="8" w:color="DBDBDB"/>
            </w:tcBorders>
            <w:shd w:val="clear" w:color="auto" w:fill="DBDBDB"/>
          </w:tcPr>
          <w:p>
            <w:pPr>
              <w:jc w:val="right"/>
              <w:ind w:right="162"/>
              <w:spacing w:after="0" w:line="220"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04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rPr>
              <w:t>19,510</w:t>
            </w:r>
          </w:p>
        </w:tc>
      </w:tr>
      <w:tr>
        <w:trPr>
          <w:trHeight w:val="20"/>
        </w:trPr>
        <w:tc>
          <w:tcPr>
            <w:tcW w:w="590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right w:val="single" w:sz="8" w:color="auto"/>
            </w:tcBorders>
            <w:shd w:val="clear" w:color="auto" w:fill="DBDBDB"/>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DBDBDB"/>
              <w:right w:val="single" w:sz="8" w:color="auto"/>
            </w:tcBorders>
            <w:shd w:val="clear" w:color="auto" w:fill="DBDBDB"/>
          </w:tcPr>
          <w:p>
            <w:pPr>
              <w:spacing w:after="0" w:line="20" w:lineRule="exact"/>
              <w:rPr>
                <w:sz w:val="1"/>
                <w:szCs w:val="1"/>
                <w:color w:val="auto"/>
              </w:rPr>
            </w:pPr>
          </w:p>
        </w:tc>
        <w:tc>
          <w:tcPr>
            <w:tcW w:w="110" w:type="dxa"/>
            <w:vAlign w:val="bottom"/>
            <w:tcBorders>
              <w:top w:val="single" w:sz="8" w:color="auto"/>
            </w:tcBorders>
            <w:shd w:val="clear" w:color="auto" w:fill="000000"/>
          </w:tcPr>
          <w:p>
            <w:pPr>
              <w:spacing w:after="0" w:line="20" w:lineRule="exact"/>
              <w:rPr>
                <w:sz w:val="1"/>
                <w:szCs w:val="1"/>
                <w:color w:val="auto"/>
              </w:rPr>
            </w:pPr>
          </w:p>
        </w:tc>
        <w:tc>
          <w:tcPr>
            <w:tcW w:w="127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DBDBDB"/>
              <w:right w:val="single" w:sz="8" w:color="auto"/>
            </w:tcBorders>
            <w:shd w:val="clear" w:color="auto" w:fill="DBDBDB"/>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Operating activities</w:t>
      </w:r>
    </w:p>
    <w:p>
      <w:pPr>
        <w:spacing w:after="0" w:line="218" w:lineRule="exact"/>
        <w:rPr>
          <w:sz w:val="20"/>
          <w:szCs w:val="20"/>
          <w:color w:val="auto"/>
        </w:rPr>
      </w:pPr>
    </w:p>
    <w:p>
      <w:pPr>
        <w:jc w:val="both"/>
        <w:ind w:firstLine="706"/>
        <w:spacing w:after="0" w:line="245" w:lineRule="auto"/>
        <w:rPr>
          <w:sz w:val="20"/>
          <w:szCs w:val="20"/>
          <w:color w:val="auto"/>
        </w:rPr>
      </w:pPr>
      <w:r>
        <w:rPr>
          <w:rFonts w:ascii="Times New Roman" w:cs="Times New Roman" w:eastAsia="Times New Roman" w:hAnsi="Times New Roman"/>
          <w:sz w:val="20"/>
          <w:szCs w:val="20"/>
          <w:color w:val="auto"/>
        </w:rPr>
        <w:t>In 2025, net cash used in operating activities was $174.4 million. Net cash used in operating activities mainly consisted of our net loss of $38.2 million, after excluding non-cash items of $39.7 million, an increase in accounts receivable from our customers of $127.6 million, an increase in other receivables by $10.2 million, an increase in inventory by $100.7 million, offset by an increase in accounts payable and accrual of $65.5 million.</w:t>
      </w:r>
    </w:p>
    <w:p>
      <w:pPr>
        <w:spacing w:after="0" w:line="188" w:lineRule="exact"/>
        <w:rPr>
          <w:sz w:val="20"/>
          <w:szCs w:val="20"/>
          <w:color w:val="auto"/>
        </w:rPr>
      </w:pPr>
    </w:p>
    <w:p>
      <w:pPr>
        <w:jc w:val="both"/>
        <w:ind w:firstLine="706"/>
        <w:spacing w:after="0" w:line="245" w:lineRule="auto"/>
        <w:rPr>
          <w:sz w:val="20"/>
          <w:szCs w:val="20"/>
          <w:color w:val="auto"/>
        </w:rPr>
      </w:pPr>
      <w:r>
        <w:rPr>
          <w:rFonts w:ascii="Times New Roman" w:cs="Times New Roman" w:eastAsia="Times New Roman" w:hAnsi="Times New Roman"/>
          <w:sz w:val="20"/>
          <w:szCs w:val="20"/>
          <w:color w:val="auto"/>
        </w:rPr>
        <w:t>In 2024, net cash used in operating activities was $69.5 million. Net cash used in operating activities mainly consisted of our net loss of $186.7 million, after excluding non-cash items of $153.1 million, an increase in accounts receivable from our customers of $68.7 million, an increase in other receivables by $7.9 million, an increase in inventory by $29.4 million, offset by an increase in accounts payable and accrual of $75.9 million.</w:t>
      </w:r>
    </w:p>
    <w:p>
      <w:pPr>
        <w:spacing w:after="0" w:line="188" w:lineRule="exact"/>
        <w:rPr>
          <w:sz w:val="20"/>
          <w:szCs w:val="20"/>
          <w:color w:val="auto"/>
        </w:rPr>
      </w:pPr>
    </w:p>
    <w:p>
      <w:pPr>
        <w:jc w:val="both"/>
        <w:ind w:firstLine="706"/>
        <w:spacing w:after="0" w:line="245" w:lineRule="auto"/>
        <w:rPr>
          <w:sz w:val="20"/>
          <w:szCs w:val="20"/>
          <w:color w:val="auto"/>
        </w:rPr>
      </w:pPr>
      <w:r>
        <w:rPr>
          <w:rFonts w:ascii="Times New Roman" w:cs="Times New Roman" w:eastAsia="Times New Roman" w:hAnsi="Times New Roman"/>
          <w:sz w:val="20"/>
          <w:szCs w:val="20"/>
          <w:color w:val="auto"/>
        </w:rPr>
        <w:t>In 2023, net cash used in operating activities was $7.9 million. Net cash used in operating activities consisted of our net loss of $56.0 million, after the exclusion of non-cash items of $42.1 million, a decrease in accounts receivable from our customers of $14.5 million and a decrease in our inventory of $ 6.8 million, contributing to the cash increases. These cash increases were offset by a decrease in accounts payable of $15.0 million and a decrease in unearned revenue of $2.5 million.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Investing activities</w:t>
      </w:r>
    </w:p>
    <w:p>
      <w:pPr>
        <w:spacing w:after="0" w:line="21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Our investing activities consisted primarily of capital expenditures and purchases of intangible assets.</w:t>
      </w:r>
    </w:p>
    <w:p>
      <w:pPr>
        <w:spacing w:after="0" w:line="219" w:lineRule="exact"/>
        <w:rPr>
          <w:sz w:val="20"/>
          <w:szCs w:val="20"/>
          <w:color w:val="auto"/>
        </w:rPr>
      </w:pPr>
    </w:p>
    <w:p>
      <w:pPr>
        <w:jc w:val="both"/>
        <w:ind w:firstLine="706"/>
        <w:spacing w:after="0" w:line="268" w:lineRule="auto"/>
        <w:rPr>
          <w:sz w:val="20"/>
          <w:szCs w:val="20"/>
          <w:color w:val="auto"/>
        </w:rPr>
      </w:pPr>
      <w:r>
        <w:rPr>
          <w:rFonts w:ascii="Times New Roman" w:cs="Times New Roman" w:eastAsia="Times New Roman" w:hAnsi="Times New Roman"/>
          <w:sz w:val="20"/>
          <w:szCs w:val="20"/>
          <w:color w:val="auto"/>
        </w:rPr>
        <w:t>In 2025, net cash used in investing activities was $210.6 million. The majority of the cash was used for CapEx spending of $210.2 million.</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2024, net cash used in investing activities was $50.7 million. The majority of the cash was used for CapEx spending of $50.2</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million.</w:t>
      </w:r>
    </w:p>
    <w:p>
      <w:pPr>
        <w:spacing w:after="0" w:line="21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In 2023, net cash used in investing activities was $14.8 million. The majority of the cash was used for CapEx spending of $14.3</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Financing activities</w:t>
      </w:r>
    </w:p>
    <w:p>
      <w:pPr>
        <w:spacing w:after="0" w:line="218" w:lineRule="exact"/>
        <w:rPr>
          <w:sz w:val="20"/>
          <w:szCs w:val="20"/>
          <w:color w:val="auto"/>
        </w:rPr>
      </w:pPr>
    </w:p>
    <w:p>
      <w:pPr>
        <w:jc w:val="both"/>
        <w:ind w:firstLine="706"/>
        <w:spacing w:after="0" w:line="265" w:lineRule="auto"/>
        <w:rPr>
          <w:sz w:val="20"/>
          <w:szCs w:val="20"/>
          <w:color w:val="auto"/>
        </w:rPr>
      </w:pPr>
      <w:r>
        <w:rPr>
          <w:rFonts w:ascii="Times New Roman" w:cs="Times New Roman" w:eastAsia="Times New Roman" w:hAnsi="Times New Roman"/>
          <w:sz w:val="20"/>
          <w:szCs w:val="20"/>
          <w:color w:val="auto"/>
        </w:rPr>
        <w:t>Our financing activities have historically consisted primarily of proceeds from the issuance of common stock and arrangements with various commercial lenders.</w:t>
      </w:r>
    </w:p>
    <w:p>
      <w:pPr>
        <w:spacing w:after="0" w:line="167" w:lineRule="exact"/>
        <w:rPr>
          <w:sz w:val="20"/>
          <w:szCs w:val="20"/>
          <w:color w:val="auto"/>
        </w:rPr>
      </w:pPr>
    </w:p>
    <w:p>
      <w:pPr>
        <w:jc w:val="both"/>
        <w:ind w:firstLine="706"/>
        <w:spacing w:after="0" w:line="251" w:lineRule="auto"/>
        <w:rPr>
          <w:sz w:val="20"/>
          <w:szCs w:val="20"/>
          <w:color w:val="auto"/>
        </w:rPr>
      </w:pPr>
      <w:r>
        <w:rPr>
          <w:rFonts w:ascii="Times New Roman" w:cs="Times New Roman" w:eastAsia="Times New Roman" w:hAnsi="Times New Roman"/>
          <w:sz w:val="20"/>
          <w:szCs w:val="20"/>
          <w:color w:val="auto"/>
        </w:rPr>
        <w:t>In 2025, our financing activities provided $527.9 million in cash. This increase in cash was primarily due to $518.9 million of net proceeds from our ATM offerings, and around $19.6 million from net proceeds from line of credit borrowing and bank acceptance payable.</w:t>
      </w:r>
    </w:p>
    <w:p>
      <w:pPr>
        <w:spacing w:after="0" w:line="179" w:lineRule="exact"/>
        <w:rPr>
          <w:sz w:val="20"/>
          <w:szCs w:val="20"/>
          <w:color w:val="auto"/>
        </w:rPr>
      </w:pPr>
    </w:p>
    <w:p>
      <w:pPr>
        <w:jc w:val="both"/>
        <w:ind w:firstLine="706"/>
        <w:spacing w:after="0" w:line="268" w:lineRule="auto"/>
        <w:rPr>
          <w:sz w:val="20"/>
          <w:szCs w:val="20"/>
          <w:color w:val="auto"/>
        </w:rPr>
      </w:pPr>
      <w:r>
        <w:rPr>
          <w:rFonts w:ascii="Times New Roman" w:cs="Times New Roman" w:eastAsia="Times New Roman" w:hAnsi="Times New Roman"/>
          <w:sz w:val="20"/>
          <w:szCs w:val="20"/>
          <w:color w:val="auto"/>
        </w:rPr>
        <w:t>In 2024, our financing activities provided $142.2 million in cash. This increase in cash was primarily due to $113 million of net proceeds from our ATM offerings, and around $30 million from the 2030 Notes.</w:t>
      </w:r>
    </w:p>
    <w:p>
      <w:pPr>
        <w:spacing w:after="0" w:line="164" w:lineRule="exact"/>
        <w:rPr>
          <w:sz w:val="20"/>
          <w:szCs w:val="20"/>
          <w:color w:val="auto"/>
        </w:rPr>
      </w:pPr>
    </w:p>
    <w:p>
      <w:pPr>
        <w:jc w:val="both"/>
        <w:ind w:firstLine="706"/>
        <w:spacing w:after="0" w:line="250" w:lineRule="auto"/>
        <w:rPr>
          <w:sz w:val="20"/>
          <w:szCs w:val="20"/>
          <w:color w:val="auto"/>
        </w:rPr>
      </w:pPr>
      <w:r>
        <w:rPr>
          <w:rFonts w:ascii="Times New Roman" w:cs="Times New Roman" w:eastAsia="Times New Roman" w:hAnsi="Times New Roman"/>
          <w:sz w:val="20"/>
          <w:szCs w:val="20"/>
          <w:color w:val="auto"/>
        </w:rPr>
        <w:t>In 2023, our financing activities provided $40.6 million in cash. This increase in cash was primarily due to $69.0 million of net proceeds from our ATM offering, $76.1 million from the 2026 Notes, offset by the repayment of the 2024 Notes amounting to $80.2 million and repayment of line of credit borrowings of $34.2 million.</w:t>
      </w:r>
    </w:p>
    <w:p>
      <w:pPr>
        <w:sectPr>
          <w:pgSz w:w="11880" w:h="15480" w:orient="portrait"/>
          <w:cols w:equalWidth="0" w:num="1">
            <w:col w:w="10600"/>
          </w:cols>
          <w:pgMar w:left="640" w:top="410" w:right="640" w:bottom="0" w:gutter="0" w:footer="0" w:header="0"/>
        </w:sect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1880" w:h="15480" w:orient="portrait"/>
          <w:cols w:equalWidth="0" w:num="1">
            <w:col w:w="10600"/>
          </w:cols>
          <w:pgMar w:left="640" w:top="410" w:right="640" w:bottom="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20"/>
          <w:szCs w:val="20"/>
          <w:i w:val="1"/>
          <w:iCs w:val="1"/>
          <w:color w:val="auto"/>
        </w:rPr>
        <w:t>Loans and commitments</w:t>
      </w:r>
    </w:p>
    <w:p>
      <w:pPr>
        <w:spacing w:after="0" w:line="216" w:lineRule="exact"/>
        <w:rPr>
          <w:sz w:val="20"/>
          <w:szCs w:val="20"/>
          <w:color w:val="auto"/>
        </w:rPr>
      </w:pPr>
    </w:p>
    <w:p>
      <w:pPr>
        <w:jc w:val="both"/>
        <w:ind w:firstLine="706"/>
        <w:spacing w:after="0" w:line="251" w:lineRule="auto"/>
        <w:rPr>
          <w:sz w:val="20"/>
          <w:szCs w:val="20"/>
          <w:color w:val="auto"/>
        </w:rPr>
      </w:pPr>
      <w:r>
        <w:rPr>
          <w:rFonts w:ascii="Times New Roman" w:cs="Times New Roman" w:eastAsia="Times New Roman" w:hAnsi="Times New Roman"/>
          <w:sz w:val="20"/>
          <w:szCs w:val="20"/>
          <w:color w:val="auto"/>
        </w:rPr>
        <w:t>As of December 31, 2025, we have lending arrangements with one U.S. bank, one financial institution in Taiwan and four financial institutions in China. As of December 31, 2025, we were in compliance with the covenants in the lending arrangements. As of December 31, 2025, we had $60.7 million of unused borrowing capacity.</w:t>
      </w:r>
    </w:p>
    <w:p>
      <w:pPr>
        <w:spacing w:after="0" w:line="182" w:lineRule="exact"/>
        <w:rPr>
          <w:sz w:val="20"/>
          <w:szCs w:val="20"/>
          <w:color w:val="auto"/>
        </w:rPr>
      </w:pPr>
    </w:p>
    <w:p>
      <w:pPr>
        <w:jc w:val="both"/>
        <w:ind w:firstLine="706"/>
        <w:spacing w:after="0" w:line="281" w:lineRule="auto"/>
        <w:rPr>
          <w:sz w:val="20"/>
          <w:szCs w:val="20"/>
          <w:color w:val="auto"/>
        </w:rPr>
      </w:pPr>
      <w:r>
        <w:rPr>
          <w:rFonts w:ascii="Times New Roman" w:cs="Times New Roman" w:eastAsia="Times New Roman" w:hAnsi="Times New Roman"/>
          <w:sz w:val="18"/>
          <w:szCs w:val="18"/>
          <w:color w:val="auto"/>
        </w:rPr>
        <w:t>On December 5, 2023, the Company issued $80.2 million of 5.250% convertible senior notes due 2026. The 2026 Notes were to mature on December 15, 2026, unless earlier repurchased, redeemed or converted in accordance with their terms. On July 30, 2025, the Company retired the final $3.5 million principal and accrued and unpaid interest on the 2026 Notes by exchanging such outstanding principal for 239,404 shares of the Company's common stock and by paying the accrued and outstanding interest in cash.</w:t>
      </w:r>
    </w:p>
    <w:p>
      <w:pPr>
        <w:spacing w:after="0" w:line="158" w:lineRule="exact"/>
        <w:rPr>
          <w:sz w:val="20"/>
          <w:szCs w:val="20"/>
          <w:color w:val="auto"/>
        </w:rPr>
      </w:pPr>
    </w:p>
    <w:p>
      <w:pPr>
        <w:jc w:val="both"/>
        <w:ind w:firstLine="706"/>
        <w:spacing w:after="0" w:line="268" w:lineRule="auto"/>
        <w:rPr>
          <w:sz w:val="20"/>
          <w:szCs w:val="20"/>
          <w:color w:val="auto"/>
        </w:rPr>
      </w:pPr>
      <w:r>
        <w:rPr>
          <w:rFonts w:ascii="Times New Roman" w:cs="Times New Roman" w:eastAsia="Times New Roman" w:hAnsi="Times New Roman"/>
          <w:sz w:val="20"/>
          <w:szCs w:val="20"/>
          <w:color w:val="auto"/>
        </w:rPr>
        <w:t>On December 23, 2024, the Company issued $ 125.0 million of 2.75% convertible senior notes due 2030. The 2030 Notes will mature on January 15, 2030, unless earlier repurchased, redeemed or converted in accordance with their terms.</w:t>
      </w:r>
    </w:p>
    <w:p>
      <w:pPr>
        <w:spacing w:after="0" w:line="161" w:lineRule="exact"/>
        <w:rPr>
          <w:sz w:val="20"/>
          <w:szCs w:val="20"/>
          <w:color w:val="auto"/>
        </w:rPr>
      </w:pPr>
    </w:p>
    <w:p>
      <w:pPr>
        <w:jc w:val="both"/>
        <w:ind w:firstLine="706"/>
        <w:spacing w:after="0" w:line="268" w:lineRule="auto"/>
        <w:rPr>
          <w:sz w:val="20"/>
          <w:szCs w:val="20"/>
          <w:color w:val="auto"/>
        </w:rPr>
      </w:pPr>
      <w:r>
        <w:rPr>
          <w:rFonts w:ascii="Times New Roman" w:cs="Times New Roman" w:eastAsia="Times New Roman" w:hAnsi="Times New Roman"/>
          <w:sz w:val="20"/>
          <w:szCs w:val="20"/>
          <w:color w:val="auto"/>
        </w:rPr>
        <w:t>See Note K "Notes Payable and Long-term Debt" and Note L "Convertible Senior Notes" of our Consolidated Financial Statements for a description of our notes payable and long-term debt and convertible senior notes.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Future liquidity needs</w:t>
      </w:r>
    </w:p>
    <w:p>
      <w:pPr>
        <w:spacing w:after="0" w:line="218" w:lineRule="exact"/>
        <w:rPr>
          <w:sz w:val="20"/>
          <w:szCs w:val="20"/>
          <w:color w:val="auto"/>
        </w:rPr>
      </w:pPr>
    </w:p>
    <w:p>
      <w:pPr>
        <w:jc w:val="both"/>
        <w:ind w:firstLine="706"/>
        <w:spacing w:after="0" w:line="239" w:lineRule="auto"/>
        <w:rPr>
          <w:sz w:val="20"/>
          <w:szCs w:val="20"/>
          <w:color w:val="auto"/>
        </w:rPr>
      </w:pPr>
      <w:r>
        <w:rPr>
          <w:rFonts w:ascii="Times New Roman" w:cs="Times New Roman" w:eastAsia="Times New Roman" w:hAnsi="Times New Roman"/>
          <w:sz w:val="20"/>
          <w:szCs w:val="20"/>
          <w:color w:val="auto"/>
        </w:rPr>
        <w:t>We believe that our existing cash and cash equivalents, cash flows from our operating activities, and available credit will be sufficient to meet our anticipated cash needs for the next 12 months. Our future capital requirements will depend on many factors including our growth rate, the timing and extent of spending to support our research and development efforts, the expansion of our sales and marketing activities, the introduction of new and enhanced products, changes in our manufacturing capacity and the continuing market acceptance of our products. In the event we need additional liquidity, we will explore additional sources of liquidity. These additional sources of liquidity could include one, or a combination, of the following: (i) issuing equity or debt securities, (ii) incurring indebtedness secured by our assets and (iii) selling product lines, other assets and/or portions of our business. There can be no guarantee that we will be able to raise additional funds on terms acceptable to us, or at all.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Contractual Obligations and Commitments</w:t>
      </w:r>
    </w:p>
    <w:p>
      <w:pPr>
        <w:spacing w:after="0" w:line="218" w:lineRule="exact"/>
        <w:rPr>
          <w:sz w:val="20"/>
          <w:szCs w:val="20"/>
          <w:color w:val="auto"/>
        </w:rPr>
      </w:pPr>
    </w:p>
    <w:p>
      <w:pPr>
        <w:jc w:val="both"/>
        <w:ind w:firstLine="706"/>
        <w:spacing w:after="0" w:line="238" w:lineRule="auto"/>
        <w:rPr>
          <w:sz w:val="20"/>
          <w:szCs w:val="20"/>
          <w:color w:val="auto"/>
        </w:rPr>
      </w:pPr>
      <w:r>
        <w:rPr>
          <w:rFonts w:ascii="Times New Roman" w:cs="Times New Roman" w:eastAsia="Times New Roman" w:hAnsi="Times New Roman"/>
          <w:sz w:val="20"/>
          <w:szCs w:val="20"/>
          <w:color w:val="auto"/>
        </w:rPr>
        <w:t>We have outstanding notes payable and debt with varying maturities with various financial institutions. As of December 31, 2025, our debt had an amount of $34.0 million, which is due within 12 months. Further information regarding our notes payable is provided in Note K – Notes Payable and Long-Term Debt in the Notes to Consolidated Financial Statements in this Form 10-K. We also have fixed-rate convertible senior notes. As of December 31, 2025, the 2030 Notes had an aggregate principal amount of $125 million and future interest payments associated with the 2030 Notes totaled $10.5 million. Further information regarding our convertible senior notes is provided in Note L – Convertible Senior Notes in the Notes to Consolidated Financial Statements in this Form 10-K. In addition, we have operating leases for certain property and equipment with an expected term at the commencement date of more than 12 months. As of December 31, 2025, the future minimum payments required under these leases totaled $63.2 million, with $ 5.2 million payable within 12 months. Further information regarding our leases is provided in Note D – Leases to Consolidated Financial Statements in this Form 10-K.</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Inflation</w:t>
      </w:r>
    </w:p>
    <w:p>
      <w:pPr>
        <w:spacing w:after="0" w:line="218" w:lineRule="exact"/>
        <w:rPr>
          <w:sz w:val="20"/>
          <w:szCs w:val="20"/>
          <w:color w:val="auto"/>
        </w:rPr>
      </w:pPr>
    </w:p>
    <w:p>
      <w:pPr>
        <w:jc w:val="both"/>
        <w:ind w:firstLine="706"/>
        <w:spacing w:after="0" w:line="239" w:lineRule="auto"/>
        <w:rPr>
          <w:sz w:val="20"/>
          <w:szCs w:val="20"/>
          <w:color w:val="auto"/>
        </w:rPr>
      </w:pPr>
      <w:r>
        <w:rPr>
          <w:rFonts w:ascii="Times New Roman" w:cs="Times New Roman" w:eastAsia="Times New Roman" w:hAnsi="Times New Roman"/>
          <w:sz w:val="20"/>
          <w:szCs w:val="20"/>
          <w:color w:val="auto"/>
        </w:rPr>
        <w:t>The annual inflation rate in the US came down to 2.7% in 2025, compared with 2.9% in 2024. Even though the inflation has slowed from the peak, it remained above the Federal Reserve's objective of 2%. The annual inflation rate in Taiwan came down to around 1.7% in 2025 from 2.1% in 2024. The cost of inflation was reflected in increases in shipping costs, labor rates, and in costs of some raw materials. We believe these decreases are related to the supply chain pressure easing and decreasing commodity prices, however the labor market is still tight, and the wage pressure is still high. We cannot be sure when or if prices will return to pre-pandemic levels. Compared to other major economies in the world, China has a stable level of inflation, which has not had a significant impact on our sales or operating results. However, there is no guarantee that we may increase selling prices or reduce costs to fully mitigate the effect of inflation on our costs, which may adversely impact our sales margins and profitability.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Critical Accounting Policies and Estimates</w:t>
      </w:r>
    </w:p>
    <w:p>
      <w:pPr>
        <w:spacing w:after="0" w:line="218" w:lineRule="exact"/>
        <w:rPr>
          <w:sz w:val="20"/>
          <w:szCs w:val="20"/>
          <w:color w:val="auto"/>
        </w:rPr>
      </w:pPr>
    </w:p>
    <w:p>
      <w:pPr>
        <w:jc w:val="both"/>
        <w:ind w:firstLine="706"/>
        <w:spacing w:after="0" w:line="239" w:lineRule="auto"/>
        <w:rPr>
          <w:sz w:val="20"/>
          <w:szCs w:val="20"/>
          <w:color w:val="auto"/>
        </w:rPr>
      </w:pPr>
      <w:r>
        <w:rPr>
          <w:rFonts w:ascii="Times New Roman" w:cs="Times New Roman" w:eastAsia="Times New Roman" w:hAnsi="Times New Roman"/>
          <w:sz w:val="20"/>
          <w:szCs w:val="20"/>
          <w:color w:val="auto"/>
        </w:rPr>
        <w:t>Our discussion and analysis of our financial condition and results of operations are based upon our consolidated financial statements, which have been prepared in accordance with U.S. GAAP. These principles require us to make estimates and judgments that affect the reported amounts of assets, liabilities, revenue, expenses and cash flows, and related disclosure of contingent assets and liabilities. Our estimates include those related to revenue recognition, share-based compensation expense, impairment analysis of goodwill and long-lived assets, valuation of inventory, warranty liabilities and accounting for income taxes. We base our estimates on historical experience and on various other assumptions that we believe to be reasonable under the circumstances. Actual results may differ from these estimates. To the extent that there are material differences between these estimates and our actual results, our future financial statements will be affected.</w:t>
      </w:r>
    </w:p>
    <w:p>
      <w:pPr>
        <w:sectPr>
          <w:pgSz w:w="11880" w:h="15480" w:orient="portrait"/>
          <w:cols w:equalWidth="0" w:num="1">
            <w:col w:w="10600"/>
          </w:cols>
          <w:pgMar w:left="640" w:top="414" w:right="640" w:bottom="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1880" w:h="15480" w:orient="portrait"/>
          <w:cols w:equalWidth="0" w:num="1">
            <w:col w:w="10600"/>
          </w:cols>
          <w:pgMar w:left="640" w:top="414" w:right="640" w:bottom="0" w:gutter="0" w:footer="0" w:header="0"/>
          <w:type w:val="continuous"/>
        </w:sectPr>
      </w:pPr>
    </w:p>
    <w:bookmarkStart w:id="46" w:name="page47"/>
    <w:bookmarkEnd w:id="46"/>
    <w:p>
      <w:pPr>
        <w:jc w:val="both"/>
        <w:ind w:left="20" w:firstLine="706"/>
        <w:spacing w:after="0" w:line="291" w:lineRule="auto"/>
        <w:rPr>
          <w:sz w:val="20"/>
          <w:szCs w:val="20"/>
          <w:color w:val="auto"/>
        </w:rPr>
      </w:pPr>
      <w:r>
        <w:rPr>
          <w:rFonts w:ascii="Times New Roman" w:cs="Times New Roman" w:eastAsia="Times New Roman" w:hAnsi="Times New Roman"/>
          <w:sz w:val="18"/>
          <w:szCs w:val="18"/>
          <w:color w:val="auto"/>
        </w:rPr>
        <w:t>We believe that of our significant accounting policies, which are described in Note B to our consolidated financial statements appearing elsewhere in this Form 10-K, the following accounting policies involve a greater degree of judgment and complexity. Accordingly, we believe these are the most critical to fully understand and evaluate our financial condition and results of operations.</w:t>
      </w:r>
    </w:p>
    <w:p>
      <w:pPr>
        <w:spacing w:after="0" w:line="1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i w:val="1"/>
          <w:iCs w:val="1"/>
          <w:color w:val="auto"/>
        </w:rPr>
        <w:t>Long-lived assets</w:t>
      </w:r>
    </w:p>
    <w:p>
      <w:pPr>
        <w:spacing w:after="0" w:line="218" w:lineRule="exact"/>
        <w:rPr>
          <w:sz w:val="20"/>
          <w:szCs w:val="20"/>
          <w:color w:val="auto"/>
        </w:rPr>
      </w:pPr>
    </w:p>
    <w:p>
      <w:pPr>
        <w:jc w:val="both"/>
        <w:ind w:left="20" w:firstLine="706"/>
        <w:spacing w:after="0" w:line="267" w:lineRule="auto"/>
        <w:rPr>
          <w:sz w:val="20"/>
          <w:szCs w:val="20"/>
          <w:color w:val="auto"/>
        </w:rPr>
      </w:pPr>
      <w:r>
        <w:rPr>
          <w:rFonts w:ascii="Times New Roman" w:cs="Times New Roman" w:eastAsia="Times New Roman" w:hAnsi="Times New Roman"/>
          <w:sz w:val="18"/>
          <w:szCs w:val="18"/>
          <w:color w:val="auto"/>
        </w:rPr>
        <w:t>We evaluate the carrying value of long-lived assets for potential impairment when we determine a triggering event has occurred, or whenever events or changes in circumstances indicate that the carrying amount of such assets may not be recoverable. When indicators exist, recoverability of assets is measured by a comparison of the carrying value of the asset group to the estimated undiscounted future net cash flows expected to be generated by the asset group. Examples of such triggering events include a significant disposal of a portion of such assets, an adverse change in the market involving the business employing the related asset, a significant decrease in the benefits realized from an acquired business, difficulties or delays in integrating the business, and a significant change in the operations of an acquired business. If such assets are determined not to be recoverable we perform an analysis of the fair value of the asset group and will recognize an impairment loss when the fair value is less than the carrying amount of such assets. The fair value, based on reasonable and supportable assumptions and projections, require subjective judgments including meaningful asset grouping, expectations for future revenue, and disposal value for the asset(s). Depending on the assumptions and estimates used, the fair value projected in the evaluation of long-lived assets can vary within a range of outcomes. We consider the likelihood of possible outcomes in determining the best estimate for the fair value of the assets. We did not record any asset impairment charges in 2025, 2024 and 2023.</w:t>
      </w:r>
    </w:p>
    <w:p>
      <w:pPr>
        <w:spacing w:after="0" w:line="1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i w:val="1"/>
          <w:iCs w:val="1"/>
          <w:color w:val="auto"/>
        </w:rPr>
        <w:t>Valuation of inventories</w:t>
      </w:r>
    </w:p>
    <w:p>
      <w:pPr>
        <w:spacing w:after="0" w:line="216" w:lineRule="exact"/>
        <w:rPr>
          <w:sz w:val="20"/>
          <w:szCs w:val="20"/>
          <w:color w:val="auto"/>
        </w:rPr>
      </w:pPr>
    </w:p>
    <w:p>
      <w:pPr>
        <w:jc w:val="both"/>
        <w:ind w:firstLine="706"/>
        <w:spacing w:after="0" w:line="271" w:lineRule="auto"/>
        <w:rPr>
          <w:sz w:val="20"/>
          <w:szCs w:val="20"/>
          <w:color w:val="auto"/>
        </w:rPr>
      </w:pPr>
      <w:r>
        <w:rPr>
          <w:rFonts w:ascii="Times New Roman" w:cs="Times New Roman" w:eastAsia="Times New Roman" w:hAnsi="Times New Roman"/>
          <w:sz w:val="18"/>
          <w:szCs w:val="18"/>
          <w:color w:val="auto"/>
        </w:rPr>
        <w:t>Inventories are stated at the lower of cost (average-cost method) or net realizable value. Work in process and finished goods includes materials, labor and allocated overhead. We assess the valuation of our inventory on a periodic basis and provide an allowance for the value of estimated excess and obsolete inventory based on estimates of future demand. Inventory reserves are recorded to account for the excess and obsolete inventory combined with the lower of cost or net realizable value assessments. To develop the reserve, we developed certain percentages that determine the extent of inventory reserve adjustments based on the age of the inventory. Such percentages were determined through analysis of the inventory to determine each product's lifespan, a review of historical write-offs or scrapped inventory, and an assessment by product engineers of the possibility of obsolescence for each product.</w:t>
      </w:r>
    </w:p>
    <w:p>
      <w:pPr>
        <w:spacing w:after="0" w:line="168" w:lineRule="exact"/>
        <w:rPr>
          <w:sz w:val="20"/>
          <w:szCs w:val="20"/>
          <w:color w:val="auto"/>
        </w:rPr>
      </w:pPr>
    </w:p>
    <w:p>
      <w:pPr>
        <w:jc w:val="both"/>
        <w:ind w:firstLine="706"/>
        <w:spacing w:after="0" w:line="291" w:lineRule="auto"/>
        <w:rPr>
          <w:sz w:val="20"/>
          <w:szCs w:val="20"/>
          <w:color w:val="auto"/>
        </w:rPr>
      </w:pPr>
      <w:r>
        <w:rPr>
          <w:rFonts w:ascii="Times New Roman" w:cs="Times New Roman" w:eastAsia="Times New Roman" w:hAnsi="Times New Roman"/>
          <w:sz w:val="18"/>
          <w:szCs w:val="18"/>
          <w:color w:val="auto"/>
        </w:rPr>
        <w:t>During the years ended December 31, 2025, 2024 and 2023, we recorded excess and obsolete inventory reserve charges of $9.7 million, $3.4 million and $8.7 million, respectively. For the years ended December 31, 2025, 2024 and 2023, the direct inventory write-offs related to scrap, discontinued products and damaged inventories were $9.4 million, $3.8 million and $10.6 million, respectively.</w:t>
      </w:r>
    </w:p>
    <w:p>
      <w:pPr>
        <w:spacing w:after="0" w:line="148" w:lineRule="exact"/>
        <w:rPr>
          <w:sz w:val="20"/>
          <w:szCs w:val="20"/>
          <w:color w:val="auto"/>
        </w:rPr>
      </w:pPr>
    </w:p>
    <w:p>
      <w:pPr>
        <w:jc w:val="both"/>
        <w:ind w:firstLine="706"/>
        <w:spacing w:after="0"/>
        <w:rPr>
          <w:sz w:val="20"/>
          <w:szCs w:val="20"/>
          <w:color w:val="auto"/>
        </w:rPr>
      </w:pPr>
      <w:r>
        <w:rPr>
          <w:rFonts w:ascii="Times New Roman" w:cs="Times New Roman" w:eastAsia="Times New Roman" w:hAnsi="Times New Roman"/>
          <w:sz w:val="20"/>
          <w:szCs w:val="20"/>
          <w:color w:val="auto"/>
        </w:rPr>
        <w:t>We have an accounting policy to record a reserve for inventory encompassing the value of excess or obsolete items combined with the lower of cost or net reliable value. We considered the following factors in our determination of the appropriate reserve level: how often we buy material in bulk; the overall market value of raw material, semi-finished goods and finished goods across our varied product lines and within markets; changes in expected demand for our products; the change in valuations historically; the determined safety stock for key customers; and the likelihood of postponement in delivery schedules for materials already placed in finished goods inventory. We consider these factors to be subjective because there can be no certainty that past trends will continue and our future expectations cannot be known with certainty. If past trends in demand, for example, change, then this could materially change the values used in our estimates.</w:t>
      </w:r>
    </w:p>
    <w:p>
      <w:pPr>
        <w:spacing w:after="0" w:line="1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i w:val="1"/>
          <w:iCs w:val="1"/>
          <w:color w:val="auto"/>
        </w:rPr>
        <w:t>Accounting for income taxes</w:t>
      </w:r>
    </w:p>
    <w:p>
      <w:pPr>
        <w:spacing w:after="0" w:line="218" w:lineRule="exact"/>
        <w:rPr>
          <w:sz w:val="20"/>
          <w:szCs w:val="20"/>
          <w:color w:val="auto"/>
        </w:rPr>
      </w:pPr>
    </w:p>
    <w:p>
      <w:pPr>
        <w:jc w:val="both"/>
        <w:ind w:firstLine="706"/>
        <w:spacing w:after="0" w:line="282" w:lineRule="auto"/>
        <w:rPr>
          <w:sz w:val="20"/>
          <w:szCs w:val="20"/>
          <w:color w:val="auto"/>
        </w:rPr>
      </w:pPr>
      <w:r>
        <w:rPr>
          <w:rFonts w:ascii="Times New Roman" w:cs="Times New Roman" w:eastAsia="Times New Roman" w:hAnsi="Times New Roman"/>
          <w:sz w:val="18"/>
          <w:szCs w:val="18"/>
          <w:color w:val="auto"/>
        </w:rPr>
        <w:t>We account for income taxes in accordance with the provisions of ASC 740, Income Taxes. The liability method is used to account for deferred income taxes. Under the liability method, deferred tax assets and liabilities are measured using the enacted tax rates and laws that will be in effect when the differences are expected to reverse. The ability to realize deferred tax assets is evaluated annually and a valuation allowance is provided if it is unlikely that the deferred tax assets will not give rise to future benefits in our tax returns.</w:t>
      </w:r>
    </w:p>
    <w:p>
      <w:pPr>
        <w:spacing w:after="0" w:line="154" w:lineRule="exact"/>
        <w:rPr>
          <w:sz w:val="20"/>
          <w:szCs w:val="20"/>
          <w:color w:val="auto"/>
        </w:rPr>
      </w:pPr>
    </w:p>
    <w:p>
      <w:pPr>
        <w:jc w:val="both"/>
        <w:ind w:left="20" w:firstLine="687"/>
        <w:spacing w:after="0" w:line="282" w:lineRule="auto"/>
        <w:rPr>
          <w:sz w:val="20"/>
          <w:szCs w:val="20"/>
          <w:color w:val="auto"/>
        </w:rPr>
      </w:pPr>
      <w:r>
        <w:rPr>
          <w:rFonts w:ascii="Times New Roman" w:cs="Times New Roman" w:eastAsia="Times New Roman" w:hAnsi="Times New Roman"/>
          <w:sz w:val="18"/>
          <w:szCs w:val="18"/>
          <w:color w:val="auto"/>
        </w:rPr>
        <w:t>On the basis of this evaluation, as of December 31, 2025, the company recognized $ 7.6 million deferred tax assets that are more likely than not to be realized. The amount of the deferred tax assets considered realizable, however, could be adjusted if estimates of future taxable income during the carryforward period are reduced or increased or if objective negative evidence in the form of cumulative losses is no longer present and additional weight is given to subjective evidence such as our projections for growth.</w:t>
      </w:r>
    </w:p>
    <w:p>
      <w:pPr>
        <w:spacing w:after="0" w:line="154" w:lineRule="exact"/>
        <w:rPr>
          <w:sz w:val="20"/>
          <w:szCs w:val="20"/>
          <w:color w:val="auto"/>
        </w:rPr>
      </w:pPr>
    </w:p>
    <w:p>
      <w:pPr>
        <w:jc w:val="both"/>
        <w:ind w:firstLine="706"/>
        <w:spacing w:after="0" w:line="246" w:lineRule="auto"/>
        <w:rPr>
          <w:sz w:val="20"/>
          <w:szCs w:val="20"/>
          <w:color w:val="auto"/>
        </w:rPr>
      </w:pPr>
      <w:r>
        <w:rPr>
          <w:rFonts w:ascii="Times New Roman" w:cs="Times New Roman" w:eastAsia="Times New Roman" w:hAnsi="Times New Roman"/>
          <w:sz w:val="20"/>
          <w:szCs w:val="20"/>
          <w:color w:val="auto"/>
        </w:rPr>
        <w:t>We record uncertain tax positions in accordance with ASC 740 on the basis of a two-step process in which (1) we determine whether it is more likely than not that the tax positions will be sustained on the basis of the technical merits of the position and (2) for those tax positions that meet the more-likely-than-not recognition threshold, we recognize the largest amount of tax benefit that is more than 50% likely to be realized upon ultimate settlement with the related tax authority.</w:t>
      </w:r>
    </w:p>
    <w:p>
      <w:pPr>
        <w:spacing w:after="0" w:line="186" w:lineRule="exact"/>
        <w:rPr>
          <w:sz w:val="20"/>
          <w:szCs w:val="20"/>
          <w:color w:val="auto"/>
        </w:rPr>
      </w:pPr>
    </w:p>
    <w:p>
      <w:pPr>
        <w:jc w:val="both"/>
        <w:ind w:firstLine="706"/>
        <w:spacing w:after="0" w:line="250" w:lineRule="auto"/>
        <w:rPr>
          <w:sz w:val="20"/>
          <w:szCs w:val="20"/>
          <w:color w:val="auto"/>
        </w:rPr>
      </w:pPr>
      <w:r>
        <w:rPr>
          <w:rFonts w:ascii="Times New Roman" w:cs="Times New Roman" w:eastAsia="Times New Roman" w:hAnsi="Times New Roman"/>
          <w:sz w:val="20"/>
          <w:szCs w:val="20"/>
          <w:color w:val="auto"/>
        </w:rPr>
        <w:t>We recognize interest and penalties related to unrecognized tax benefits on the income tax expense line in the accompanying consolidated statement of operations. Accrued interest and penalties are included on the related tax liability line in the consolidated balance sheet.</w:t>
      </w:r>
    </w:p>
    <w:p>
      <w:pPr>
        <w:sectPr>
          <w:pgSz w:w="11880" w:h="15480" w:orient="portrait"/>
          <w:cols w:equalWidth="0" w:num="1">
            <w:col w:w="10620"/>
          </w:cols>
          <w:pgMar w:left="620" w:top="410" w:right="640" w:bottom="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45</w:t>
      </w:r>
    </w:p>
    <w:p>
      <w:pPr>
        <w:sectPr>
          <w:pgSz w:w="11880" w:h="15480" w:orient="portrait"/>
          <w:cols w:equalWidth="0" w:num="1">
            <w:col w:w="10620"/>
          </w:cols>
          <w:pgMar w:left="620" w:top="410" w:right="640" w:bottom="0" w:gutter="0" w:footer="0" w:header="0"/>
          <w:type w:val="continuous"/>
        </w:sectPr>
      </w:pPr>
    </w:p>
    <w:bookmarkStart w:id="47" w:name="page48"/>
    <w:bookmarkEnd w:id="47"/>
    <w:p>
      <w:pPr>
        <w:ind w:left="700"/>
        <w:spacing w:after="0"/>
        <w:rPr>
          <w:sz w:val="20"/>
          <w:szCs w:val="20"/>
          <w:color w:val="auto"/>
        </w:rPr>
      </w:pPr>
      <w:r>
        <w:rPr>
          <w:rFonts w:ascii="Times New Roman" w:cs="Times New Roman" w:eastAsia="Times New Roman" w:hAnsi="Times New Roman"/>
          <w:sz w:val="20"/>
          <w:szCs w:val="20"/>
          <w:color w:val="auto"/>
        </w:rPr>
        <w:t>See additional information regarding income taxes in Note O of our Consolidated Financial Statements.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Accounting Pronouncements</w:t>
      </w:r>
    </w:p>
    <w:p>
      <w:pPr>
        <w:spacing w:after="0" w:line="2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See Note B of our Consolidated Financial Statements for a description of recent accounting pronouncements.</w:t>
      </w:r>
    </w:p>
    <w:p>
      <w:pPr>
        <w:spacing w:after="0" w:line="224" w:lineRule="exact"/>
        <w:rPr>
          <w:sz w:val="20"/>
          <w:szCs w:val="20"/>
          <w:color w:val="auto"/>
        </w:rPr>
      </w:pPr>
    </w:p>
    <w:p>
      <w:pPr>
        <w:ind w:left="20"/>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7A.</w:t>
      </w:r>
      <w:r>
        <w:rPr>
          <w:sz w:val="20"/>
          <w:szCs w:val="20"/>
          <w:color w:val="auto"/>
        </w:rPr>
        <w:tab/>
      </w:r>
      <w:r>
        <w:rPr>
          <w:rFonts w:ascii="Times New Roman" w:cs="Times New Roman" w:eastAsia="Times New Roman" w:hAnsi="Times New Roman"/>
          <w:sz w:val="18"/>
          <w:szCs w:val="18"/>
          <w:b w:val="1"/>
          <w:bCs w:val="1"/>
          <w:color w:val="auto"/>
        </w:rPr>
        <w:t>Quantitative and Qualitative Disclosures about Market Risk</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Market Risks</w:t>
      </w:r>
    </w:p>
    <w:p>
      <w:pPr>
        <w:spacing w:after="0" w:line="218" w:lineRule="exact"/>
        <w:rPr>
          <w:sz w:val="20"/>
          <w:szCs w:val="20"/>
          <w:color w:val="auto"/>
        </w:rPr>
      </w:pPr>
    </w:p>
    <w:p>
      <w:pPr>
        <w:jc w:val="both"/>
        <w:ind w:firstLine="706"/>
        <w:spacing w:after="0" w:line="246" w:lineRule="auto"/>
        <w:rPr>
          <w:sz w:val="20"/>
          <w:szCs w:val="20"/>
          <w:color w:val="auto"/>
        </w:rPr>
      </w:pPr>
      <w:r>
        <w:rPr>
          <w:rFonts w:ascii="Times New Roman" w:cs="Times New Roman" w:eastAsia="Times New Roman" w:hAnsi="Times New Roman"/>
          <w:sz w:val="20"/>
          <w:szCs w:val="20"/>
          <w:color w:val="auto"/>
        </w:rPr>
        <w:t>Market risk represents the risk of loss that may impact our financial statements through adverse changes in financial market prices and rates and inflation. Our market risk exposure results primarily from fluctuations in foreign exchange and interest rates. We manage our exposure to these market risks through our regular operating and financing activities. We have not historically attempted to reduce our market risks through hedging instruments; we may, however, do so in the future.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Rate Fluctuation Risk</w:t>
      </w:r>
    </w:p>
    <w:p>
      <w:pPr>
        <w:spacing w:after="0" w:line="220" w:lineRule="exact"/>
        <w:rPr>
          <w:sz w:val="20"/>
          <w:szCs w:val="20"/>
          <w:color w:val="auto"/>
        </w:rPr>
      </w:pPr>
    </w:p>
    <w:p>
      <w:pPr>
        <w:jc w:val="both"/>
        <w:ind w:firstLine="706"/>
        <w:spacing w:after="0" w:line="243" w:lineRule="auto"/>
        <w:rPr>
          <w:sz w:val="20"/>
          <w:szCs w:val="20"/>
          <w:color w:val="auto"/>
        </w:rPr>
      </w:pPr>
      <w:r>
        <w:rPr>
          <w:rFonts w:ascii="Times New Roman" w:cs="Times New Roman" w:eastAsia="Times New Roman" w:hAnsi="Times New Roman"/>
          <w:sz w:val="20"/>
          <w:szCs w:val="20"/>
          <w:color w:val="auto"/>
        </w:rPr>
        <w:t>Our cash equivalents consisted primarily of money market funds, and interest and non-interest bearing bank deposits. Our primary objective is to maintain the security of our principal balances and ensure liquidity. We attempt to maximize the return on these balances without significantly increasing risk, but have little opportunity to do so given the short-term nature of our investments and current interest rate environments. We do not anticipate any material effect on our cash balances or investment portfolio due to fluctuations in interest rates.</w:t>
      </w:r>
    </w:p>
    <w:p>
      <w:pPr>
        <w:spacing w:after="0" w:line="188" w:lineRule="exact"/>
        <w:rPr>
          <w:sz w:val="20"/>
          <w:szCs w:val="20"/>
          <w:color w:val="auto"/>
        </w:rPr>
      </w:pPr>
    </w:p>
    <w:p>
      <w:pPr>
        <w:jc w:val="both"/>
        <w:ind w:firstLine="706"/>
        <w:spacing w:after="0" w:line="251" w:lineRule="auto"/>
        <w:rPr>
          <w:sz w:val="20"/>
          <w:szCs w:val="20"/>
          <w:color w:val="auto"/>
        </w:rPr>
      </w:pPr>
      <w:r>
        <w:rPr>
          <w:rFonts w:ascii="Times New Roman" w:cs="Times New Roman" w:eastAsia="Times New Roman" w:hAnsi="Times New Roman"/>
          <w:sz w:val="20"/>
          <w:szCs w:val="20"/>
          <w:color w:val="auto"/>
        </w:rPr>
        <w:t>We could be exposed to interest rate risk, should we incur debt that had a floating interest rate. As of December 31, 2025, all debts bore a fixed interest rate and therefore did not generate interest rate risk. As of December 31, 2025, we had not hedged our interest rate risk.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Foreign Exchange Rates</w:t>
      </w:r>
    </w:p>
    <w:p>
      <w:pPr>
        <w:spacing w:after="0" w:line="220" w:lineRule="exact"/>
        <w:rPr>
          <w:sz w:val="20"/>
          <w:szCs w:val="20"/>
          <w:color w:val="auto"/>
        </w:rPr>
      </w:pPr>
    </w:p>
    <w:p>
      <w:pPr>
        <w:jc w:val="both"/>
        <w:ind w:firstLine="706"/>
        <w:spacing w:after="0" w:line="239" w:lineRule="auto"/>
        <w:rPr>
          <w:sz w:val="20"/>
          <w:szCs w:val="20"/>
          <w:color w:val="auto"/>
        </w:rPr>
      </w:pPr>
      <w:r>
        <w:rPr>
          <w:rFonts w:ascii="Times New Roman" w:cs="Times New Roman" w:eastAsia="Times New Roman" w:hAnsi="Times New Roman"/>
          <w:sz w:val="20"/>
          <w:szCs w:val="20"/>
          <w:color w:val="auto"/>
        </w:rPr>
        <w:t>We operate on an international basis with a large portion of our business conducted in our Taiwan branch and China subsidiary. We use the U.S. dollar as our reporting currency for our consolidated financial statements. The financial records of our China subsidiary and our Taiwan branch are maintained in their respective local currencies, the RMB and the NT dollar, which are the functional currencies for our China subsidiary and our Taiwan branch, respectively. Assets and liabilities are translated at prevailing exchange rates at the balance sheet date, equity accounts are translated at historical exchange rates and revenues, expenses, gains and losses are translated using the average rate for the then current period using a monthly average. Translation adjustments are reported as cumulative translation adjustments and are shown as a separate component of accumulated other comprehensive income in our statement of stockholders’ equity and comprehensive income.</w:t>
      </w:r>
    </w:p>
    <w:p>
      <w:pPr>
        <w:spacing w:after="0" w:line="195" w:lineRule="exact"/>
        <w:rPr>
          <w:sz w:val="20"/>
          <w:szCs w:val="20"/>
          <w:color w:val="auto"/>
        </w:rPr>
      </w:pPr>
    </w:p>
    <w:p>
      <w:pPr>
        <w:jc w:val="both"/>
        <w:ind w:firstLine="706"/>
        <w:spacing w:after="0"/>
        <w:rPr>
          <w:sz w:val="20"/>
          <w:szCs w:val="20"/>
          <w:color w:val="auto"/>
        </w:rPr>
      </w:pPr>
      <w:r>
        <w:rPr>
          <w:rFonts w:ascii="Times New Roman" w:cs="Times New Roman" w:eastAsia="Times New Roman" w:hAnsi="Times New Roman"/>
          <w:sz w:val="20"/>
          <w:szCs w:val="20"/>
          <w:color w:val="auto"/>
        </w:rPr>
        <w:t>All transactions in currencies other than their functional currencies during the year are subject to foreign exchange risk when the exchange rate fluctuates on the respective relevant dates of such transactions. Transaction gains and losses are recognized in our statements of operations in other income (expense). Monetary assets and liabilities existing at the balance sheet date denominated in currencies other than the functional currencies are re-measured at the exchange rates prevailing on the balance sheet date and unrealized exchange differences are recorded in our consolidated income statement. In October 2015, we determined that certain intercompany loans are long-term investments. Therefore, exchange gain (loss) arising from re-measurement of intercompany loans were recorded in the Cumulative Translation Adjustment accounts.</w:t>
      </w:r>
    </w:p>
    <w:p>
      <w:pPr>
        <w:spacing w:after="0" w:line="194" w:lineRule="exact"/>
        <w:rPr>
          <w:sz w:val="20"/>
          <w:szCs w:val="20"/>
          <w:color w:val="auto"/>
        </w:rPr>
      </w:pPr>
    </w:p>
    <w:p>
      <w:pPr>
        <w:jc w:val="both"/>
        <w:ind w:firstLine="706"/>
        <w:spacing w:after="0" w:line="251" w:lineRule="auto"/>
        <w:rPr>
          <w:sz w:val="20"/>
          <w:szCs w:val="20"/>
          <w:color w:val="auto"/>
        </w:rPr>
      </w:pPr>
      <w:r>
        <w:rPr>
          <w:rFonts w:ascii="Times New Roman" w:cs="Times New Roman" w:eastAsia="Times New Roman" w:hAnsi="Times New Roman"/>
          <w:sz w:val="20"/>
          <w:szCs w:val="20"/>
          <w:color w:val="auto"/>
        </w:rPr>
        <w:t>During the year ended December 31, 2025, we recognized approximately$0.1 million of exchange gain arising from foreign currency transactions and re-measurement of monetary assets and liabilities dominated in non-functional currency on the balance sheet date.</w:t>
      </w:r>
    </w:p>
    <w:p>
      <w:pPr>
        <w:spacing w:after="0" w:line="180" w:lineRule="exact"/>
        <w:rPr>
          <w:sz w:val="20"/>
          <w:szCs w:val="20"/>
          <w:color w:val="auto"/>
        </w:rPr>
      </w:pPr>
    </w:p>
    <w:p>
      <w:pPr>
        <w:jc w:val="both"/>
        <w:ind w:firstLine="706"/>
        <w:spacing w:after="0" w:line="241" w:lineRule="auto"/>
        <w:rPr>
          <w:sz w:val="20"/>
          <w:szCs w:val="20"/>
          <w:color w:val="auto"/>
        </w:rPr>
      </w:pPr>
      <w:r>
        <w:rPr>
          <w:rFonts w:ascii="Times New Roman" w:cs="Times New Roman" w:eastAsia="Times New Roman" w:hAnsi="Times New Roman"/>
          <w:sz w:val="20"/>
          <w:szCs w:val="20"/>
          <w:color w:val="auto"/>
        </w:rPr>
        <w:t>During the year ended December 31, 2025, 0.7% of our revenue was denominated in RMB and none of our revenue was denominated in NT dollars. In the year ended December 31, 2025, 21.7% of our operating expenses were denominated in RMB and 17.8% of our operating expenses were denominated in NT dollars. Accordingly, fluctuations in exchange rates directly affect our cost of goods sold and net income (loss), and have a significant impact on our operating margins. If exchange rates of RMB and NT dollars for U.S. dollars were 1% higher during the year ended December 31, 2025, our operating expenses would have had been higher by $0.8 million.</w:t>
      </w:r>
    </w:p>
    <w:p>
      <w:pPr>
        <w:spacing w:after="0" w:line="192" w:lineRule="exact"/>
        <w:rPr>
          <w:sz w:val="20"/>
          <w:szCs w:val="20"/>
          <w:color w:val="auto"/>
        </w:rPr>
      </w:pPr>
    </w:p>
    <w:p>
      <w:pPr>
        <w:jc w:val="both"/>
        <w:ind w:firstLine="706"/>
        <w:spacing w:after="0" w:line="276" w:lineRule="auto"/>
        <w:rPr>
          <w:sz w:val="20"/>
          <w:szCs w:val="20"/>
          <w:color w:val="auto"/>
        </w:rPr>
      </w:pPr>
      <w:r>
        <w:rPr>
          <w:rFonts w:ascii="Times New Roman" w:cs="Times New Roman" w:eastAsia="Times New Roman" w:hAnsi="Times New Roman"/>
          <w:sz w:val="18"/>
          <w:szCs w:val="18"/>
          <w:color w:val="auto"/>
        </w:rPr>
        <w:t>As of December 31, 2025, we held the U.S. dollar denominated liabilities net of assets of approximately $2.3 million in our China subsidiary and liabilities net of assets of $39.5 million in our Taiwan branch. With respect to these U.S. dollar denominated net assets as of December 31, 2025, if exchange rates of RMB and NT dollars for U.S. dollars were 1% higher during the year ended December 31, 2025, our other operating expenses would have been reduced by $0.4 million. Any significant revaluation of the RMB and NT dollars may materially and adversely affect the cash flows, revenues, and net income (loss) as reported in U.S. dollars.</w:t>
      </w:r>
    </w:p>
    <w:p>
      <w:pPr>
        <w:sectPr>
          <w:pgSz w:w="11880" w:h="15480" w:orient="portrait"/>
          <w:cols w:equalWidth="0" w:num="1">
            <w:col w:w="10600"/>
          </w:cols>
          <w:pgMar w:left="640" w:top="410" w:right="640" w:bottom="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1880" w:h="15480" w:orient="portrait"/>
          <w:cols w:equalWidth="0" w:num="1">
            <w:col w:w="10600"/>
          </w:cols>
          <w:pgMar w:left="640" w:top="410" w:right="640" w:bottom="0" w:gutter="0" w:footer="0" w:header="0"/>
          <w:type w:val="continuous"/>
        </w:sectPr>
      </w:pPr>
    </w:p>
    <w:bookmarkStart w:id="48" w:name="page49"/>
    <w:bookmarkEnd w:id="48"/>
    <w:p>
      <w:pPr>
        <w:ind w:firstLine="706"/>
        <w:spacing w:after="0" w:line="268" w:lineRule="auto"/>
        <w:rPr>
          <w:sz w:val="20"/>
          <w:szCs w:val="20"/>
          <w:color w:val="auto"/>
        </w:rPr>
      </w:pPr>
      <w:r>
        <w:rPr>
          <w:rFonts w:ascii="Times New Roman" w:cs="Times New Roman" w:eastAsia="Times New Roman" w:hAnsi="Times New Roman"/>
          <w:sz w:val="20"/>
          <w:szCs w:val="20"/>
          <w:color w:val="auto"/>
        </w:rPr>
        <w:t>We currently do not use derivative financial instruments to mitigate this exposure. We continue to review this issue and may consider hedging certain foreign exchange risks through the use of currency forwards or options in future years.</w:t>
      </w:r>
    </w:p>
    <w:p>
      <w:pPr>
        <w:spacing w:after="0" w:line="164" w:lineRule="exact"/>
        <w:rPr>
          <w:sz w:val="20"/>
          <w:szCs w:val="20"/>
          <w:color w:val="auto"/>
        </w:rPr>
      </w:pPr>
    </w:p>
    <w:p>
      <w:pPr>
        <w:ind w:left="20"/>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18"/>
          <w:szCs w:val="18"/>
          <w:b w:val="1"/>
          <w:bCs w:val="1"/>
          <w:color w:val="auto"/>
        </w:rPr>
        <w:t>Financial Statements and Supplementary Data</w:t>
      </w:r>
    </w:p>
    <w:p>
      <w:pPr>
        <w:spacing w:after="0" w:line="228" w:lineRule="exact"/>
        <w:rPr>
          <w:sz w:val="20"/>
          <w:szCs w:val="20"/>
          <w:color w:val="auto"/>
        </w:rPr>
      </w:pPr>
    </w:p>
    <w:p>
      <w:pPr>
        <w:ind w:firstLine="706"/>
        <w:spacing w:after="0" w:line="268" w:lineRule="auto"/>
        <w:rPr>
          <w:sz w:val="20"/>
          <w:szCs w:val="20"/>
          <w:color w:val="auto"/>
        </w:rPr>
      </w:pPr>
      <w:r>
        <w:rPr>
          <w:rFonts w:ascii="Times New Roman" w:cs="Times New Roman" w:eastAsia="Times New Roman" w:hAnsi="Times New Roman"/>
          <w:sz w:val="20"/>
          <w:szCs w:val="20"/>
          <w:color w:val="auto"/>
        </w:rPr>
        <w:t>The information required by this item is incorporated by reference to the consolidated financial statements and accompanying notes beginning on page F-1 of this Form 10-K.</w:t>
      </w:r>
    </w:p>
    <w:p>
      <w:pPr>
        <w:spacing w:after="0" w:line="166" w:lineRule="exact"/>
        <w:rPr>
          <w:sz w:val="20"/>
          <w:szCs w:val="20"/>
          <w:color w:val="auto"/>
        </w:rPr>
      </w:pPr>
    </w:p>
    <w:p>
      <w:pPr>
        <w:ind w:left="20"/>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9.</w:t>
      </w:r>
      <w:r>
        <w:rPr>
          <w:sz w:val="20"/>
          <w:szCs w:val="20"/>
          <w:color w:val="auto"/>
        </w:rPr>
        <w:tab/>
      </w:r>
      <w:r>
        <w:rPr>
          <w:rFonts w:ascii="Times New Roman" w:cs="Times New Roman" w:eastAsia="Times New Roman" w:hAnsi="Times New Roman"/>
          <w:sz w:val="18"/>
          <w:szCs w:val="18"/>
          <w:b w:val="1"/>
          <w:bCs w:val="1"/>
          <w:color w:val="auto"/>
        </w:rPr>
        <w:t>Changes in and Disagreements with Accountants on Accounting and Financial Disclosure</w:t>
      </w:r>
    </w:p>
    <w:p>
      <w:pPr>
        <w:spacing w:after="0" w:line="22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None.</w:t>
      </w:r>
    </w:p>
    <w:p>
      <w:pPr>
        <w:spacing w:after="0" w:line="224" w:lineRule="exact"/>
        <w:rPr>
          <w:sz w:val="20"/>
          <w:szCs w:val="20"/>
          <w:color w:val="auto"/>
        </w:rPr>
      </w:pPr>
    </w:p>
    <w:p>
      <w:pPr>
        <w:ind w:left="20"/>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9A.</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235" w:lineRule="exact"/>
        <w:rPr>
          <w:sz w:val="20"/>
          <w:szCs w:val="20"/>
          <w:color w:val="auto"/>
        </w:rPr>
      </w:pPr>
    </w:p>
    <w:p>
      <w:pPr>
        <w:ind w:left="720" w:hanging="350"/>
        <w:spacing w:after="0"/>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Evaluation of Disclosure Controls and Procedures.</w:t>
      </w:r>
    </w:p>
    <w:p>
      <w:pPr>
        <w:spacing w:after="0" w:line="269" w:lineRule="exact"/>
        <w:rPr>
          <w:sz w:val="20"/>
          <w:szCs w:val="20"/>
          <w:color w:val="auto"/>
        </w:rPr>
      </w:pPr>
    </w:p>
    <w:p>
      <w:pPr>
        <w:jc w:val="both"/>
        <w:ind w:firstLine="706"/>
        <w:spacing w:after="0" w:line="239" w:lineRule="auto"/>
        <w:rPr>
          <w:sz w:val="20"/>
          <w:szCs w:val="20"/>
          <w:color w:val="auto"/>
        </w:rPr>
      </w:pPr>
      <w:r>
        <w:rPr>
          <w:rFonts w:ascii="Times New Roman" w:cs="Times New Roman" w:eastAsia="Times New Roman" w:hAnsi="Times New Roman"/>
          <w:sz w:val="20"/>
          <w:szCs w:val="20"/>
          <w:color w:val="auto"/>
        </w:rPr>
        <w:t>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Our disclosure controls and procedures are designed to provide reasonable assurance of achieving their control objectives.</w:t>
      </w:r>
    </w:p>
    <w:p>
      <w:pPr>
        <w:spacing w:after="0" w:line="195" w:lineRule="exact"/>
        <w:rPr>
          <w:sz w:val="20"/>
          <w:szCs w:val="20"/>
          <w:color w:val="auto"/>
        </w:rPr>
      </w:pPr>
    </w:p>
    <w:p>
      <w:pPr>
        <w:jc w:val="both"/>
        <w:ind w:firstLine="706"/>
        <w:spacing w:after="0" w:line="246" w:lineRule="auto"/>
        <w:rPr>
          <w:sz w:val="20"/>
          <w:szCs w:val="20"/>
          <w:color w:val="auto"/>
        </w:rPr>
      </w:pPr>
      <w:r>
        <w:rPr>
          <w:rFonts w:ascii="Times New Roman" w:cs="Times New Roman" w:eastAsia="Times New Roman" w:hAnsi="Times New Roman"/>
          <w:sz w:val="20"/>
          <w:szCs w:val="20"/>
          <w:color w:val="auto"/>
        </w:rPr>
        <w:t>Our management, with the participation of our Chief Executive Officer and Chief Financial Officer, evaluated the effectiveness of our disclosure controls and procedures as of December 31, 2025. Based upon that evaluation, our Chief Executive Officer and Chief Financial Officer concluded that, as of the end of the period covered in this Form 10-K, our disclosure controls and procedures were effective.</w:t>
      </w:r>
    </w:p>
    <w:p>
      <w:pPr>
        <w:spacing w:after="0" w:line="190" w:lineRule="exact"/>
        <w:rPr>
          <w:sz w:val="20"/>
          <w:szCs w:val="20"/>
          <w:color w:val="auto"/>
        </w:rPr>
      </w:pPr>
    </w:p>
    <w:p>
      <w:pPr>
        <w:ind w:left="720" w:hanging="350"/>
        <w:spacing w:after="0"/>
        <w:tabs>
          <w:tab w:leader="none" w:pos="7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Management’s Annual Report on Internal Control over Financial Reporting.</w:t>
      </w:r>
    </w:p>
    <w:p>
      <w:pPr>
        <w:spacing w:after="0" w:line="269" w:lineRule="exact"/>
        <w:rPr>
          <w:sz w:val="20"/>
          <w:szCs w:val="20"/>
          <w:color w:val="auto"/>
        </w:rPr>
      </w:pPr>
    </w:p>
    <w:p>
      <w:pPr>
        <w:jc w:val="both"/>
        <w:ind w:firstLine="706"/>
        <w:spacing w:after="0" w:line="26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 -15(f) of the Exchange Act). Internal control over financial reporting is a process designed by, or under the supervision of, the issuer’s principal executive and principal financial officers, or persons performing similar functions, and effected by our board of directors, management and other personnel, to provide reasonable assurance regarding the reliability of our financial reporting and the preparation of financial statements for external purposes in accordance with generally accepted accounting principles.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our degree of compliance with the policies or procedures may deteriorate.</w:t>
      </w:r>
    </w:p>
    <w:p>
      <w:pPr>
        <w:spacing w:after="0" w:line="400" w:lineRule="exact"/>
        <w:rPr>
          <w:sz w:val="20"/>
          <w:szCs w:val="20"/>
          <w:color w:val="auto"/>
        </w:rPr>
      </w:pPr>
    </w:p>
    <w:p>
      <w:pPr>
        <w:jc w:val="both"/>
        <w:ind w:firstLine="706"/>
        <w:spacing w:after="0" w:line="241" w:lineRule="auto"/>
        <w:rPr>
          <w:sz w:val="20"/>
          <w:szCs w:val="20"/>
          <w:color w:val="auto"/>
        </w:rPr>
      </w:pPr>
      <w:r>
        <w:rPr>
          <w:rFonts w:ascii="Times New Roman" w:cs="Times New Roman" w:eastAsia="Times New Roman" w:hAnsi="Times New Roman"/>
          <w:sz w:val="20"/>
          <w:szCs w:val="20"/>
          <w:color w:val="auto"/>
        </w:rPr>
        <w:t xml:space="preserve">Our management conducted an evaluation of the effectiveness of our internal control over financial reporting as of the end of the period covered by this Form 10-K based on the framework in Internal Control—Integrated Framework (2013) issued by the Committee of Sponsoring Organization ("COSO") of the Treadway Commission. Based on this evaluation, management concluded that our internal control over financial reporting was effective as of December 31, 2025. Accordingly, management believes that the </w:t>
      </w:r>
      <w:r>
        <w:rPr>
          <w:rFonts w:ascii="Arial" w:cs="Arial" w:eastAsia="Arial" w:hAnsi="Arial"/>
          <w:sz w:val="20"/>
          <w:szCs w:val="20"/>
          <w:color w:val="auto"/>
        </w:rPr>
        <w:t>consolidated financial statements included in this Form 10</w:t>
      </w:r>
      <w:r>
        <w:rPr>
          <w:rFonts w:ascii="Times New Roman" w:cs="Times New Roman" w:eastAsia="Times New Roman" w:hAnsi="Times New Roman"/>
          <w:sz w:val="20"/>
          <w:szCs w:val="20"/>
          <w:color w:val="auto"/>
        </w:rPr>
        <w:t>-K present fairly in all material respects our financial position, results of</w:t>
      </w: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operations, and cash flows for the period presented.</w:t>
      </w:r>
    </w:p>
    <w:p>
      <w:pPr>
        <w:spacing w:after="0" w:line="23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i w:val="1"/>
          <w:iCs w:val="1"/>
          <w:color w:val="auto"/>
        </w:rPr>
        <w:t>Remediation of Material Weakness Identified in 2024</w:t>
      </w:r>
    </w:p>
    <w:p>
      <w:pPr>
        <w:spacing w:after="0" w:line="216" w:lineRule="exact"/>
        <w:rPr>
          <w:sz w:val="20"/>
          <w:szCs w:val="20"/>
          <w:color w:val="auto"/>
        </w:rPr>
      </w:pPr>
    </w:p>
    <w:p>
      <w:pPr>
        <w:jc w:val="both"/>
        <w:ind w:firstLine="706"/>
        <w:spacing w:after="0" w:line="273" w:lineRule="auto"/>
        <w:rPr>
          <w:sz w:val="20"/>
          <w:szCs w:val="20"/>
          <w:color w:val="auto"/>
        </w:rPr>
      </w:pPr>
      <w:r>
        <w:rPr>
          <w:rFonts w:ascii="Times New Roman" w:cs="Times New Roman" w:eastAsia="Times New Roman" w:hAnsi="Times New Roman"/>
          <w:sz w:val="18"/>
          <w:szCs w:val="18"/>
          <w:color w:val="auto"/>
        </w:rPr>
        <w:t>As described on our Form 10-K for the year ending December 31, 2024, management identified a material weakness related to the operation of controls over our review of technical accounting analysis. Although this material weakness did not result in any material misstatement of our financial statements, we nevertheless concluded that our internal control over financial reporting was not effective as of December 31, 2024. During 2025, we took steps to remediate this material weakness, including instituting additional levels of review for technical accounting analyses, additional scrutiny of externally-prepared technical accounting analyses, and personnel changes within the Accounting department that possess knowledge of technical accounting matters sufficient to allow them to perform</w:t>
      </w:r>
    </w:p>
    <w:p>
      <w:pPr>
        <w:sectPr>
          <w:pgSz w:w="11880" w:h="15480" w:orient="portrait"/>
          <w:cols w:equalWidth="0" w:num="1">
            <w:col w:w="10600"/>
          </w:cols>
          <w:pgMar w:left="640" w:top="410" w:right="640" w:bottom="0" w:gutter="0" w:footer="0" w:header="0"/>
        </w:sect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1880" w:h="15480" w:orient="portrait"/>
          <w:cols w:equalWidth="0" w:num="1">
            <w:col w:w="10600"/>
          </w:cols>
          <w:pgMar w:left="640" w:top="410" w:right="640" w:bottom="0" w:gutter="0" w:footer="0" w:header="0"/>
          <w:type w:val="continuous"/>
        </w:sectPr>
      </w:pPr>
    </w:p>
    <w:bookmarkStart w:id="49" w:name="page50"/>
    <w:bookmarkEnd w:id="49"/>
    <w:p>
      <w:pPr>
        <w:jc w:val="both"/>
        <w:spacing w:after="0" w:line="268" w:lineRule="auto"/>
        <w:rPr>
          <w:sz w:val="20"/>
          <w:szCs w:val="20"/>
          <w:color w:val="auto"/>
        </w:rPr>
      </w:pPr>
      <w:r>
        <w:rPr>
          <w:rFonts w:ascii="Times New Roman" w:cs="Times New Roman" w:eastAsia="Times New Roman" w:hAnsi="Times New Roman"/>
          <w:sz w:val="20"/>
          <w:szCs w:val="20"/>
          <w:color w:val="auto"/>
        </w:rPr>
        <w:t>a review of the analysis that is precise enough to detect errors in the analysis that could lead to a conclusion that would have a material impact to the Company’s financial statements.</w:t>
      </w:r>
    </w:p>
    <w:p>
      <w:pPr>
        <w:spacing w:after="0" w:line="162" w:lineRule="exact"/>
        <w:rPr>
          <w:sz w:val="20"/>
          <w:szCs w:val="20"/>
          <w:color w:val="auto"/>
        </w:rPr>
      </w:pPr>
    </w:p>
    <w:p>
      <w:pPr>
        <w:jc w:val="both"/>
        <w:ind w:firstLine="706"/>
        <w:spacing w:after="0" w:line="268" w:lineRule="auto"/>
        <w:rPr>
          <w:sz w:val="20"/>
          <w:szCs w:val="20"/>
          <w:color w:val="auto"/>
        </w:rPr>
      </w:pPr>
      <w:r>
        <w:rPr>
          <w:rFonts w:ascii="Times New Roman" w:cs="Times New Roman" w:eastAsia="Times New Roman" w:hAnsi="Times New Roman"/>
          <w:sz w:val="20"/>
          <w:szCs w:val="20"/>
          <w:color w:val="auto"/>
        </w:rPr>
        <w:t>Under the oversight of our Audit Committee, we believe that these steps have been effective in remediating the material weakness.</w:t>
      </w:r>
    </w:p>
    <w:p>
      <w:pPr>
        <w:spacing w:after="0" w:line="164" w:lineRule="exact"/>
        <w:rPr>
          <w:sz w:val="20"/>
          <w:szCs w:val="20"/>
          <w:color w:val="auto"/>
        </w:rPr>
      </w:pPr>
    </w:p>
    <w:p>
      <w:pPr>
        <w:jc w:val="both"/>
        <w:ind w:firstLine="706"/>
        <w:spacing w:after="0" w:line="250" w:lineRule="auto"/>
        <w:rPr>
          <w:sz w:val="20"/>
          <w:szCs w:val="20"/>
          <w:color w:val="auto"/>
        </w:rPr>
      </w:pPr>
      <w:r>
        <w:rPr>
          <w:rFonts w:ascii="Times New Roman" w:cs="Times New Roman" w:eastAsia="Times New Roman" w:hAnsi="Times New Roman"/>
          <w:sz w:val="20"/>
          <w:szCs w:val="20"/>
          <w:color w:val="auto"/>
        </w:rPr>
        <w:t>Grant Thornton LLP, the independent registered public accounting firm that audited the consolidated financial statements included in this Form 10-K, has issued a report, included below, on the effectiveness of our internal control over financial reporting as of December 31, 2025.</w:t>
      </w:r>
    </w:p>
    <w:p>
      <w:pPr>
        <w:spacing w:after="0" w:line="188" w:lineRule="exact"/>
        <w:rPr>
          <w:sz w:val="20"/>
          <w:szCs w:val="20"/>
          <w:color w:val="auto"/>
        </w:rPr>
      </w:pPr>
    </w:p>
    <w:p>
      <w:pPr>
        <w:ind w:left="720" w:hanging="350"/>
        <w:spacing w:after="0"/>
        <w:tabs>
          <w:tab w:leader="none" w:pos="7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Internal Control over Financial Reporting</w:t>
      </w:r>
    </w:p>
    <w:p>
      <w:pPr>
        <w:spacing w:after="0" w:line="269" w:lineRule="exact"/>
        <w:rPr>
          <w:sz w:val="20"/>
          <w:szCs w:val="20"/>
          <w:color w:val="auto"/>
        </w:rPr>
      </w:pPr>
    </w:p>
    <w:p>
      <w:pPr>
        <w:jc w:val="both"/>
        <w:ind w:firstLine="706"/>
        <w:spacing w:after="0" w:line="246" w:lineRule="auto"/>
        <w:rPr>
          <w:sz w:val="20"/>
          <w:szCs w:val="20"/>
          <w:color w:val="auto"/>
        </w:rPr>
      </w:pPr>
      <w:r>
        <w:rPr>
          <w:rFonts w:ascii="Times New Roman" w:cs="Times New Roman" w:eastAsia="Times New Roman" w:hAnsi="Times New Roman"/>
          <w:sz w:val="20"/>
          <w:szCs w:val="20"/>
          <w:color w:val="auto"/>
        </w:rPr>
        <w:t>Other than the remediation steps discussed above, there was no change in our internal control over financial reporting (as defined in Rule 13a-15(f) under the Exchange Act) identified in connection with management’s evaluation required by the Rules 13a-15(d) and 15d-15(d) under the Exchange Act that occurred during our last fiscal quarter that has materially affected, or is reasonably likely to materially affect, our internal control over financial reporting.</w:t>
      </w:r>
    </w:p>
    <w:p>
      <w:pPr>
        <w:sectPr>
          <w:pgSz w:w="11880" w:h="15480" w:orient="portrait"/>
          <w:cols w:equalWidth="0" w:num="1">
            <w:col w:w="10600"/>
          </w:cols>
          <w:pgMar w:left="640" w:top="410"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1880" w:h="15480" w:orient="portrait"/>
          <w:cols w:equalWidth="0" w:num="1">
            <w:col w:w="10600"/>
          </w:cols>
          <w:pgMar w:left="640" w:top="410" w:right="640" w:bottom="0" w:gutter="0" w:footer="0" w:header="0"/>
          <w:type w:val="continuous"/>
        </w:sectPr>
      </w:pPr>
    </w:p>
    <w:bookmarkStart w:id="50" w:name="page51"/>
    <w:bookmarkEnd w:id="50"/>
    <w:p>
      <w:pPr>
        <w:ind w:left="196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Board of Directors and Stockholders</w:t>
      </w:r>
    </w:p>
    <w:p>
      <w:pPr>
        <w:ind w:left="20"/>
        <w:spacing w:after="0"/>
        <w:rPr>
          <w:sz w:val="20"/>
          <w:szCs w:val="20"/>
          <w:color w:val="auto"/>
        </w:rPr>
      </w:pPr>
      <w:r>
        <w:rPr>
          <w:rFonts w:ascii="Times New Roman" w:cs="Times New Roman" w:eastAsia="Times New Roman" w:hAnsi="Times New Roman"/>
          <w:sz w:val="20"/>
          <w:szCs w:val="20"/>
          <w:color w:val="auto"/>
        </w:rPr>
        <w:t>Applied Optoelectronics, Inc.</w:t>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Opinion on internal control over financial reporting</w:t>
      </w:r>
    </w:p>
    <w:p>
      <w:pPr>
        <w:spacing w:after="0" w:line="22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We have audited the internal control over financial reporting of Applied Optoelectronics, Inc. (a Delaware corporation) and subsidiaries (the “Company”) as of December 31, 2025, based on criteria established in the 2013 Internal Control—Integrated Framework issued by the Committee of Sponsoring Organizations of the Treadway Commission (“COSO”). In our opinion, the Company maintained, in all material respects, effective internal control over financial reporting as of December 31, 2025, based on criteria established in the 2013 Internal Control—Integrated Framework issued by COSO.</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We also have audited, in accordance with the standards of the Public Company Accounting Oversight Board (United States) (“PCAOB”), the consolidated financial statements of the Company as of and for the year ended December 31, 2025, and our report dated February 26, 2026 expressed an unqualified opinion on those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2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Definition and limitations of internal control over financial reporting</w:t>
      </w:r>
    </w:p>
    <w:p>
      <w:pPr>
        <w:spacing w:after="0" w:line="22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 GRANT THORNTON LLP</w:t>
      </w: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Houston, Texas</w:t>
      </w:r>
    </w:p>
    <w:p>
      <w:pPr>
        <w:ind w:left="20"/>
        <w:spacing w:after="0"/>
        <w:rPr>
          <w:sz w:val="20"/>
          <w:szCs w:val="20"/>
          <w:color w:val="auto"/>
        </w:rPr>
      </w:pPr>
      <w:r>
        <w:rPr>
          <w:rFonts w:ascii="Times New Roman" w:cs="Times New Roman" w:eastAsia="Times New Roman" w:hAnsi="Times New Roman"/>
          <w:sz w:val="20"/>
          <w:szCs w:val="20"/>
          <w:color w:val="auto"/>
        </w:rPr>
        <w:t>February 26, 2026</w:t>
      </w:r>
    </w:p>
    <w:p>
      <w:pPr>
        <w:sectPr>
          <w:pgSz w:w="11880" w:h="15480" w:orient="portrait"/>
          <w:cols w:equalWidth="0" w:num="1">
            <w:col w:w="10620"/>
          </w:cols>
          <w:pgMar w:left="620" w:top="407"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49</w:t>
      </w:r>
    </w:p>
    <w:p>
      <w:pPr>
        <w:sectPr>
          <w:pgSz w:w="11880" w:h="15480" w:orient="portrait"/>
          <w:cols w:equalWidth="0" w:num="1">
            <w:col w:w="10620"/>
          </w:cols>
          <w:pgMar w:left="620" w:top="407" w:right="640" w:bottom="0" w:gutter="0" w:footer="0" w:header="0"/>
          <w:type w:val="continuous"/>
        </w:sectPr>
      </w:pPr>
    </w:p>
    <w:bookmarkStart w:id="51" w:name="page52"/>
    <w:bookmarkEnd w:id="51"/>
    <w:p>
      <w:pPr>
        <w:ind w:left="20"/>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9B.</w:t>
      </w:r>
      <w:r>
        <w:rPr>
          <w:sz w:val="20"/>
          <w:szCs w:val="20"/>
          <w:color w:val="auto"/>
        </w:rPr>
        <w:tab/>
      </w:r>
      <w:r>
        <w:rPr>
          <w:rFonts w:ascii="Times New Roman" w:cs="Times New Roman" w:eastAsia="Times New Roman" w:hAnsi="Times New Roman"/>
          <w:sz w:val="18"/>
          <w:szCs w:val="18"/>
          <w:b w:val="1"/>
          <w:bCs w:val="1"/>
          <w:color w:val="auto"/>
        </w:rPr>
        <w:t>Other Information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Rule 10b5-1 Trading Plans</w:t>
      </w:r>
    </w:p>
    <w:p>
      <w:pPr>
        <w:spacing w:after="0" w:line="218" w:lineRule="exact"/>
        <w:rPr>
          <w:sz w:val="20"/>
          <w:szCs w:val="20"/>
          <w:color w:val="auto"/>
        </w:rPr>
      </w:pPr>
    </w:p>
    <w:p>
      <w:pPr>
        <w:jc w:val="both"/>
        <w:ind w:firstLine="706"/>
        <w:spacing w:after="0" w:line="251" w:lineRule="auto"/>
        <w:rPr>
          <w:sz w:val="20"/>
          <w:szCs w:val="20"/>
          <w:color w:val="auto"/>
        </w:rPr>
      </w:pPr>
      <w:r>
        <w:rPr>
          <w:rFonts w:ascii="Times New Roman" w:cs="Times New Roman" w:eastAsia="Times New Roman" w:hAnsi="Times New Roman"/>
          <w:sz w:val="20"/>
          <w:szCs w:val="20"/>
          <w:color w:val="auto"/>
        </w:rPr>
        <w:t>The adoption or termination of contracts, instructions or written plans for the purchase or sale of our securities by our Section 16 offers and directors for the three months ended December 31, 2025, each of which is intended to satisfy the affirmative defense conditions of Rule 10b5-1(c) under the Exchange Act ("Rule 10b5-1 Plan"), were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60" w:type="dxa"/>
            <w:vAlign w:val="bottom"/>
            <w:vMerge w:val="restart"/>
          </w:tcPr>
          <w:p>
            <w:pPr>
              <w:ind w:left="540"/>
              <w:spacing w:after="0"/>
              <w:rPr>
                <w:sz w:val="20"/>
                <w:szCs w:val="20"/>
                <w:color w:val="auto"/>
              </w:rPr>
            </w:pPr>
            <w:r>
              <w:rPr>
                <w:rFonts w:ascii="Times New Roman" w:cs="Times New Roman" w:eastAsia="Times New Roman" w:hAnsi="Times New Roman"/>
                <w:sz w:val="20"/>
                <w:szCs w:val="20"/>
                <w:b w:val="1"/>
                <w:bCs w:val="1"/>
                <w:color w:val="auto"/>
              </w:rPr>
              <w:t>Name</w:t>
            </w:r>
          </w:p>
        </w:tc>
        <w:tc>
          <w:tcPr>
            <w:tcW w:w="60" w:type="dxa"/>
            <w:vAlign w:val="bottom"/>
          </w:tcPr>
          <w:p>
            <w:pPr>
              <w:spacing w:after="0"/>
              <w:rPr>
                <w:sz w:val="19"/>
                <w:szCs w:val="19"/>
                <w:color w:val="auto"/>
              </w:rPr>
            </w:pPr>
          </w:p>
        </w:tc>
        <w:tc>
          <w:tcPr>
            <w:tcW w:w="16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9"/>
              </w:rPr>
              <w:t>Title</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Action</w:t>
            </w:r>
          </w:p>
        </w:tc>
        <w:tc>
          <w:tcPr>
            <w:tcW w:w="40" w:type="dxa"/>
            <w:vAlign w:val="bottom"/>
          </w:tcPr>
          <w:p>
            <w:pPr>
              <w:spacing w:after="0"/>
              <w:rPr>
                <w:sz w:val="19"/>
                <w:szCs w:val="19"/>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Date Adopted</w:t>
            </w:r>
          </w:p>
        </w:tc>
        <w:tc>
          <w:tcPr>
            <w:tcW w:w="60" w:type="dxa"/>
            <w:vAlign w:val="bottom"/>
          </w:tcPr>
          <w:p>
            <w:pPr>
              <w:spacing w:after="0"/>
              <w:rPr>
                <w:sz w:val="19"/>
                <w:szCs w:val="19"/>
                <w:color w:val="auto"/>
              </w:rPr>
            </w:pPr>
          </w:p>
        </w:tc>
        <w:tc>
          <w:tcPr>
            <w:tcW w:w="18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w w:val="97"/>
              </w:rPr>
              <w:t>Expiration Date</w:t>
            </w:r>
          </w:p>
        </w:tc>
        <w:tc>
          <w:tcPr>
            <w:tcW w:w="21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Aggregate # of Securities</w:t>
            </w:r>
          </w:p>
        </w:tc>
        <w:tc>
          <w:tcPr>
            <w:tcW w:w="0" w:type="dxa"/>
            <w:vAlign w:val="bottom"/>
          </w:tcPr>
          <w:p>
            <w:pPr>
              <w:spacing w:after="0"/>
              <w:rPr>
                <w:sz w:val="1"/>
                <w:szCs w:val="1"/>
                <w:color w:val="auto"/>
              </w:rPr>
            </w:pPr>
          </w:p>
        </w:tc>
      </w:tr>
      <w:tr>
        <w:trPr>
          <w:trHeight w:val="158"/>
        </w:trPr>
        <w:tc>
          <w:tcPr>
            <w:tcW w:w="15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640" w:type="dxa"/>
            <w:vAlign w:val="bottom"/>
            <w:gridSpan w:val="2"/>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840" w:type="dxa"/>
            <w:vAlign w:val="bottom"/>
            <w:gridSpan w:val="2"/>
            <w:vMerge w:val="continue"/>
          </w:tcPr>
          <w:p>
            <w:pPr>
              <w:spacing w:after="0"/>
              <w:rPr>
                <w:sz w:val="13"/>
                <w:szCs w:val="13"/>
                <w:color w:val="auto"/>
              </w:rPr>
            </w:pPr>
          </w:p>
        </w:tc>
        <w:tc>
          <w:tcPr>
            <w:tcW w:w="21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to be Purchased/Sold</w:t>
            </w:r>
          </w:p>
        </w:tc>
        <w:tc>
          <w:tcPr>
            <w:tcW w:w="0" w:type="dxa"/>
            <w:vAlign w:val="bottom"/>
          </w:tcPr>
          <w:p>
            <w:pPr>
              <w:spacing w:after="0"/>
              <w:rPr>
                <w:sz w:val="1"/>
                <w:szCs w:val="1"/>
                <w:color w:val="auto"/>
              </w:rPr>
            </w:pPr>
          </w:p>
        </w:tc>
      </w:tr>
      <w:tr>
        <w:trPr>
          <w:trHeight w:val="98"/>
        </w:trPr>
        <w:tc>
          <w:tcPr>
            <w:tcW w:w="1560" w:type="dxa"/>
            <w:vAlign w:val="bottom"/>
            <w:tcBorders>
              <w:bottom w:val="single" w:sz="8" w:color="auto"/>
            </w:tcBorders>
          </w:tcPr>
          <w:p>
            <w:pPr>
              <w:spacing w:after="0"/>
              <w:rPr>
                <w:sz w:val="8"/>
                <w:szCs w:val="8"/>
                <w:color w:val="auto"/>
              </w:rPr>
            </w:pPr>
          </w:p>
        </w:tc>
        <w:tc>
          <w:tcPr>
            <w:tcW w:w="60" w:type="dxa"/>
            <w:vAlign w:val="bottom"/>
            <w:tcBorders>
              <w:bottom w:val="single" w:sz="8" w:color="DBDBDB"/>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60" w:type="dxa"/>
            <w:vAlign w:val="bottom"/>
            <w:tcBorders>
              <w:bottom w:val="single" w:sz="8" w:color="DBDBDB"/>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40" w:type="dxa"/>
            <w:vAlign w:val="bottom"/>
            <w:tcBorders>
              <w:bottom w:val="single" w:sz="8" w:color="DBDBDB"/>
            </w:tcBorders>
          </w:tcPr>
          <w:p>
            <w:pPr>
              <w:spacing w:after="0"/>
              <w:rPr>
                <w:sz w:val="8"/>
                <w:szCs w:val="8"/>
                <w:color w:val="auto"/>
              </w:rPr>
            </w:pPr>
          </w:p>
        </w:tc>
        <w:tc>
          <w:tcPr>
            <w:tcW w:w="1780" w:type="dxa"/>
            <w:vAlign w:val="bottom"/>
            <w:tcBorders>
              <w:bottom w:val="single" w:sz="8" w:color="auto"/>
            </w:tcBorders>
          </w:tcPr>
          <w:p>
            <w:pPr>
              <w:spacing w:after="0"/>
              <w:rPr>
                <w:sz w:val="8"/>
                <w:szCs w:val="8"/>
                <w:color w:val="auto"/>
              </w:rPr>
            </w:pPr>
          </w:p>
        </w:tc>
        <w:tc>
          <w:tcPr>
            <w:tcW w:w="60" w:type="dxa"/>
            <w:vAlign w:val="bottom"/>
            <w:tcBorders>
              <w:bottom w:val="single" w:sz="8" w:color="DBDBDB"/>
            </w:tcBorders>
          </w:tcPr>
          <w:p>
            <w:pPr>
              <w:spacing w:after="0"/>
              <w:rPr>
                <w:sz w:val="8"/>
                <w:szCs w:val="8"/>
                <w:color w:val="auto"/>
              </w:rPr>
            </w:pPr>
          </w:p>
        </w:tc>
        <w:tc>
          <w:tcPr>
            <w:tcW w:w="1780" w:type="dxa"/>
            <w:vAlign w:val="bottom"/>
            <w:tcBorders>
              <w:bottom w:val="single" w:sz="8" w:color="auto"/>
            </w:tcBorders>
          </w:tcPr>
          <w:p>
            <w:pPr>
              <w:spacing w:after="0"/>
              <w:rPr>
                <w:sz w:val="8"/>
                <w:szCs w:val="8"/>
                <w:color w:val="auto"/>
              </w:rPr>
            </w:pPr>
          </w:p>
        </w:tc>
        <w:tc>
          <w:tcPr>
            <w:tcW w:w="60" w:type="dxa"/>
            <w:vAlign w:val="bottom"/>
            <w:tcBorders>
              <w:bottom w:val="single" w:sz="8" w:color="DBDBDB"/>
            </w:tcBorders>
          </w:tcPr>
          <w:p>
            <w:pPr>
              <w:spacing w:after="0"/>
              <w:rPr>
                <w:sz w:val="8"/>
                <w:szCs w:val="8"/>
                <w:color w:val="auto"/>
              </w:rPr>
            </w:pPr>
          </w:p>
        </w:tc>
        <w:tc>
          <w:tcPr>
            <w:tcW w:w="21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1560" w:type="dxa"/>
            <w:vAlign w:val="bottom"/>
            <w:shd w:val="clear" w:color="auto" w:fill="DBDBDB"/>
          </w:tcPr>
          <w:p>
            <w:pPr>
              <w:ind w:left="20"/>
              <w:spacing w:after="0" w:line="201" w:lineRule="exact"/>
              <w:rPr>
                <w:sz w:val="20"/>
                <w:szCs w:val="20"/>
                <w:color w:val="auto"/>
              </w:rPr>
            </w:pPr>
            <w:r>
              <w:rPr>
                <w:rFonts w:ascii="Times New Roman" w:cs="Times New Roman" w:eastAsia="Times New Roman" w:hAnsi="Times New Roman"/>
                <w:sz w:val="20"/>
                <w:szCs w:val="20"/>
                <w:color w:val="auto"/>
                <w:highlight w:val="lightGray"/>
              </w:rPr>
              <w:t>Shu-Hua (Joshua)</w:t>
            </w:r>
          </w:p>
        </w:tc>
        <w:tc>
          <w:tcPr>
            <w:tcW w:w="60" w:type="dxa"/>
            <w:vAlign w:val="bottom"/>
            <w:shd w:val="clear" w:color="auto" w:fill="DBDBDB"/>
          </w:tcPr>
          <w:p>
            <w:pPr>
              <w:spacing w:after="0"/>
              <w:rPr>
                <w:sz w:val="17"/>
                <w:szCs w:val="17"/>
                <w:color w:val="auto"/>
              </w:rPr>
            </w:pPr>
          </w:p>
        </w:tc>
        <w:tc>
          <w:tcPr>
            <w:tcW w:w="1580" w:type="dxa"/>
            <w:vAlign w:val="bottom"/>
            <w:shd w:val="clear" w:color="auto" w:fill="DBDBDB"/>
          </w:tcPr>
          <w:p>
            <w:pPr>
              <w:jc w:val="center"/>
              <w:spacing w:after="0" w:line="201" w:lineRule="exact"/>
              <w:rPr>
                <w:sz w:val="20"/>
                <w:szCs w:val="20"/>
                <w:color w:val="auto"/>
              </w:rPr>
            </w:pPr>
            <w:r>
              <w:rPr>
                <w:rFonts w:ascii="Times New Roman" w:cs="Times New Roman" w:eastAsia="Times New Roman" w:hAnsi="Times New Roman"/>
                <w:sz w:val="20"/>
                <w:szCs w:val="20"/>
                <w:color w:val="auto"/>
                <w:highlight w:val="lightGray"/>
                <w:w w:val="97"/>
              </w:rPr>
              <w:t>SVP/Asia General</w:t>
            </w:r>
          </w:p>
        </w:tc>
        <w:tc>
          <w:tcPr>
            <w:tcW w:w="60" w:type="dxa"/>
            <w:vAlign w:val="bottom"/>
            <w:shd w:val="clear" w:color="auto" w:fill="DBDBDB"/>
          </w:tcPr>
          <w:p>
            <w:pPr>
              <w:spacing w:after="0"/>
              <w:rPr>
                <w:sz w:val="17"/>
                <w:szCs w:val="17"/>
                <w:color w:val="auto"/>
              </w:rPr>
            </w:pPr>
          </w:p>
        </w:tc>
        <w:tc>
          <w:tcPr>
            <w:tcW w:w="1440" w:type="dxa"/>
            <w:vAlign w:val="bottom"/>
            <w:vMerge w:val="restart"/>
            <w:shd w:val="clear" w:color="auto" w:fill="DBDBDB"/>
          </w:tcPr>
          <w:p>
            <w:pPr>
              <w:jc w:val="center"/>
              <w:spacing w:after="0"/>
              <w:rPr>
                <w:sz w:val="20"/>
                <w:szCs w:val="20"/>
                <w:color w:val="auto"/>
              </w:rPr>
            </w:pPr>
            <w:r>
              <w:rPr>
                <w:rFonts w:ascii="Times New Roman" w:cs="Times New Roman" w:eastAsia="Times New Roman" w:hAnsi="Times New Roman"/>
                <w:sz w:val="20"/>
                <w:szCs w:val="20"/>
                <w:color w:val="auto"/>
                <w:w w:val="97"/>
              </w:rPr>
              <w:t>Adoption</w:t>
            </w:r>
          </w:p>
        </w:tc>
        <w:tc>
          <w:tcPr>
            <w:tcW w:w="40" w:type="dxa"/>
            <w:vAlign w:val="bottom"/>
            <w:shd w:val="clear" w:color="auto" w:fill="DBDBDB"/>
          </w:tcPr>
          <w:p>
            <w:pPr>
              <w:spacing w:after="0"/>
              <w:rPr>
                <w:sz w:val="17"/>
                <w:szCs w:val="17"/>
                <w:color w:val="auto"/>
              </w:rPr>
            </w:pPr>
          </w:p>
        </w:tc>
        <w:tc>
          <w:tcPr>
            <w:tcW w:w="1780" w:type="dxa"/>
            <w:vAlign w:val="bottom"/>
            <w:vMerge w:val="restart"/>
            <w:shd w:val="clear" w:color="auto" w:fill="DBDBDB"/>
          </w:tcPr>
          <w:p>
            <w:pPr>
              <w:jc w:val="right"/>
              <w:ind w:right="342"/>
              <w:spacing w:after="0"/>
              <w:rPr>
                <w:sz w:val="20"/>
                <w:szCs w:val="20"/>
                <w:color w:val="auto"/>
              </w:rPr>
            </w:pPr>
            <w:r>
              <w:rPr>
                <w:rFonts w:ascii="Times New Roman" w:cs="Times New Roman" w:eastAsia="Times New Roman" w:hAnsi="Times New Roman"/>
                <w:sz w:val="20"/>
                <w:szCs w:val="20"/>
                <w:color w:val="auto"/>
              </w:rPr>
              <w:t>12/09/2025</w:t>
            </w:r>
          </w:p>
        </w:tc>
        <w:tc>
          <w:tcPr>
            <w:tcW w:w="60" w:type="dxa"/>
            <w:vAlign w:val="bottom"/>
            <w:shd w:val="clear" w:color="auto" w:fill="DBDBDB"/>
          </w:tcPr>
          <w:p>
            <w:pPr>
              <w:spacing w:after="0"/>
              <w:rPr>
                <w:sz w:val="17"/>
                <w:szCs w:val="17"/>
                <w:color w:val="auto"/>
              </w:rPr>
            </w:pPr>
          </w:p>
        </w:tc>
        <w:tc>
          <w:tcPr>
            <w:tcW w:w="1780" w:type="dxa"/>
            <w:vAlign w:val="bottom"/>
            <w:vMerge w:val="restart"/>
            <w:shd w:val="clear" w:color="auto" w:fill="DBDBDB"/>
          </w:tcPr>
          <w:p>
            <w:pPr>
              <w:jc w:val="right"/>
              <w:ind w:right="342"/>
              <w:spacing w:after="0"/>
              <w:rPr>
                <w:sz w:val="20"/>
                <w:szCs w:val="20"/>
                <w:color w:val="auto"/>
              </w:rPr>
            </w:pPr>
            <w:r>
              <w:rPr>
                <w:rFonts w:ascii="Times New Roman" w:cs="Times New Roman" w:eastAsia="Times New Roman" w:hAnsi="Times New Roman"/>
                <w:sz w:val="20"/>
                <w:szCs w:val="20"/>
                <w:color w:val="auto"/>
              </w:rPr>
              <w:t>12/31/2026</w:t>
            </w:r>
          </w:p>
        </w:tc>
        <w:tc>
          <w:tcPr>
            <w:tcW w:w="60" w:type="dxa"/>
            <w:vAlign w:val="bottom"/>
            <w:shd w:val="clear" w:color="auto" w:fill="DBDBDB"/>
          </w:tcPr>
          <w:p>
            <w:pPr>
              <w:spacing w:after="0"/>
              <w:rPr>
                <w:sz w:val="17"/>
                <w:szCs w:val="17"/>
                <w:color w:val="auto"/>
              </w:rPr>
            </w:pPr>
          </w:p>
        </w:tc>
        <w:tc>
          <w:tcPr>
            <w:tcW w:w="2180" w:type="dxa"/>
            <w:vAlign w:val="bottom"/>
            <w:vMerge w:val="restart"/>
            <w:shd w:val="clear" w:color="auto" w:fill="DBDBDB"/>
          </w:tcPr>
          <w:p>
            <w:pPr>
              <w:jc w:val="center"/>
              <w:spacing w:after="0"/>
              <w:rPr>
                <w:sz w:val="20"/>
                <w:szCs w:val="20"/>
                <w:color w:val="auto"/>
              </w:rPr>
            </w:pPr>
            <w:r>
              <w:rPr>
                <w:rFonts w:ascii="Times New Roman" w:cs="Times New Roman" w:eastAsia="Times New Roman" w:hAnsi="Times New Roman"/>
                <w:sz w:val="20"/>
                <w:szCs w:val="20"/>
                <w:color w:val="auto"/>
                <w:w w:val="98"/>
              </w:rPr>
              <w:t>50,000</w:t>
            </w:r>
          </w:p>
        </w:tc>
        <w:tc>
          <w:tcPr>
            <w:tcW w:w="0" w:type="dxa"/>
            <w:vAlign w:val="bottom"/>
          </w:tcPr>
          <w:p>
            <w:pPr>
              <w:spacing w:after="0"/>
              <w:rPr>
                <w:sz w:val="1"/>
                <w:szCs w:val="1"/>
                <w:color w:val="auto"/>
              </w:rPr>
            </w:pPr>
          </w:p>
        </w:tc>
      </w:tr>
      <w:tr>
        <w:trPr>
          <w:trHeight w:val="132"/>
        </w:trPr>
        <w:tc>
          <w:tcPr>
            <w:tcW w:w="1560" w:type="dxa"/>
            <w:vAlign w:val="bottom"/>
            <w:vMerge w:val="restart"/>
            <w:shd w:val="clear" w:color="auto" w:fill="DBDBDB"/>
          </w:tcPr>
          <w:p>
            <w:pPr>
              <w:ind w:left="20"/>
              <w:spacing w:after="0" w:line="245" w:lineRule="exact"/>
              <w:rPr>
                <w:sz w:val="20"/>
                <w:szCs w:val="20"/>
                <w:color w:val="auto"/>
              </w:rPr>
            </w:pPr>
            <w:r>
              <w:rPr>
                <w:rFonts w:ascii="Times New Roman" w:cs="Times New Roman" w:eastAsia="Times New Roman" w:hAnsi="Times New Roman"/>
                <w:sz w:val="28"/>
                <w:szCs w:val="28"/>
                <w:color w:val="auto"/>
                <w:vertAlign w:val="subscript"/>
              </w:rPr>
              <w:t>Yeh</w:t>
            </w:r>
            <w:r>
              <w:rPr>
                <w:rFonts w:ascii="Times New Roman" w:cs="Times New Roman" w:eastAsia="Times New Roman" w:hAnsi="Times New Roman"/>
                <w:sz w:val="10"/>
                <w:szCs w:val="10"/>
                <w:color w:val="auto"/>
              </w:rPr>
              <w:t>(1)</w:t>
            </w:r>
          </w:p>
        </w:tc>
        <w:tc>
          <w:tcPr>
            <w:tcW w:w="60" w:type="dxa"/>
            <w:vAlign w:val="bottom"/>
            <w:shd w:val="clear" w:color="auto" w:fill="DBDBDB"/>
          </w:tcPr>
          <w:p>
            <w:pPr>
              <w:spacing w:after="0"/>
              <w:rPr>
                <w:sz w:val="11"/>
                <w:szCs w:val="11"/>
                <w:color w:val="auto"/>
              </w:rPr>
            </w:pPr>
          </w:p>
        </w:tc>
        <w:tc>
          <w:tcPr>
            <w:tcW w:w="1580" w:type="dxa"/>
            <w:vAlign w:val="bottom"/>
            <w:vMerge w:val="restart"/>
            <w:shd w:val="clear" w:color="auto" w:fill="DBDBDB"/>
          </w:tcPr>
          <w:p>
            <w:pPr>
              <w:jc w:val="center"/>
              <w:spacing w:after="0"/>
              <w:rPr>
                <w:sz w:val="20"/>
                <w:szCs w:val="20"/>
                <w:color w:val="auto"/>
              </w:rPr>
            </w:pPr>
            <w:r>
              <w:rPr>
                <w:rFonts w:ascii="Times New Roman" w:cs="Times New Roman" w:eastAsia="Times New Roman" w:hAnsi="Times New Roman"/>
                <w:sz w:val="20"/>
                <w:szCs w:val="20"/>
                <w:color w:val="auto"/>
                <w:w w:val="95"/>
              </w:rPr>
              <w:t>Manager</w:t>
            </w:r>
          </w:p>
        </w:tc>
        <w:tc>
          <w:tcPr>
            <w:tcW w:w="60" w:type="dxa"/>
            <w:vAlign w:val="bottom"/>
            <w:shd w:val="clear" w:color="auto" w:fill="DBDBDB"/>
          </w:tcPr>
          <w:p>
            <w:pPr>
              <w:spacing w:after="0"/>
              <w:rPr>
                <w:sz w:val="11"/>
                <w:szCs w:val="11"/>
                <w:color w:val="auto"/>
              </w:rPr>
            </w:pPr>
          </w:p>
        </w:tc>
        <w:tc>
          <w:tcPr>
            <w:tcW w:w="1440" w:type="dxa"/>
            <w:vAlign w:val="bottom"/>
            <w:vMerge w:val="continue"/>
            <w:shd w:val="clear" w:color="auto" w:fill="DBDBDB"/>
          </w:tcPr>
          <w:p>
            <w:pPr>
              <w:spacing w:after="0"/>
              <w:rPr>
                <w:sz w:val="11"/>
                <w:szCs w:val="11"/>
                <w:color w:val="auto"/>
              </w:rPr>
            </w:pPr>
          </w:p>
        </w:tc>
        <w:tc>
          <w:tcPr>
            <w:tcW w:w="40" w:type="dxa"/>
            <w:vAlign w:val="bottom"/>
            <w:shd w:val="clear" w:color="auto" w:fill="DBDBDB"/>
          </w:tcPr>
          <w:p>
            <w:pPr>
              <w:spacing w:after="0"/>
              <w:rPr>
                <w:sz w:val="11"/>
                <w:szCs w:val="11"/>
                <w:color w:val="auto"/>
              </w:rPr>
            </w:pPr>
          </w:p>
        </w:tc>
        <w:tc>
          <w:tcPr>
            <w:tcW w:w="1780" w:type="dxa"/>
            <w:vAlign w:val="bottom"/>
            <w:vMerge w:val="continue"/>
            <w:shd w:val="clear" w:color="auto" w:fill="DBDBDB"/>
          </w:tcPr>
          <w:p>
            <w:pPr>
              <w:spacing w:after="0"/>
              <w:rPr>
                <w:sz w:val="11"/>
                <w:szCs w:val="11"/>
                <w:color w:val="auto"/>
              </w:rPr>
            </w:pPr>
          </w:p>
        </w:tc>
        <w:tc>
          <w:tcPr>
            <w:tcW w:w="60" w:type="dxa"/>
            <w:vAlign w:val="bottom"/>
            <w:shd w:val="clear" w:color="auto" w:fill="DBDBDB"/>
          </w:tcPr>
          <w:p>
            <w:pPr>
              <w:spacing w:after="0"/>
              <w:rPr>
                <w:sz w:val="11"/>
                <w:szCs w:val="11"/>
                <w:color w:val="auto"/>
              </w:rPr>
            </w:pPr>
          </w:p>
        </w:tc>
        <w:tc>
          <w:tcPr>
            <w:tcW w:w="1780" w:type="dxa"/>
            <w:vAlign w:val="bottom"/>
            <w:vMerge w:val="continue"/>
            <w:shd w:val="clear" w:color="auto" w:fill="DBDBDB"/>
          </w:tcPr>
          <w:p>
            <w:pPr>
              <w:spacing w:after="0"/>
              <w:rPr>
                <w:sz w:val="11"/>
                <w:szCs w:val="11"/>
                <w:color w:val="auto"/>
              </w:rPr>
            </w:pPr>
          </w:p>
        </w:tc>
        <w:tc>
          <w:tcPr>
            <w:tcW w:w="60" w:type="dxa"/>
            <w:vAlign w:val="bottom"/>
            <w:shd w:val="clear" w:color="auto" w:fill="DBDBDB"/>
          </w:tcPr>
          <w:p>
            <w:pPr>
              <w:spacing w:after="0"/>
              <w:rPr>
                <w:sz w:val="11"/>
                <w:szCs w:val="11"/>
                <w:color w:val="auto"/>
              </w:rPr>
            </w:pPr>
          </w:p>
        </w:tc>
        <w:tc>
          <w:tcPr>
            <w:tcW w:w="2180" w:type="dxa"/>
            <w:vAlign w:val="bottom"/>
            <w:vMerge w:val="continue"/>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560" w:type="dxa"/>
            <w:vAlign w:val="bottom"/>
            <w:vMerge w:val="continue"/>
            <w:shd w:val="clear" w:color="auto" w:fill="DBDBDB"/>
          </w:tcPr>
          <w:p>
            <w:pPr>
              <w:spacing w:after="0"/>
              <w:rPr>
                <w:sz w:val="10"/>
                <w:szCs w:val="10"/>
                <w:color w:val="auto"/>
              </w:rPr>
            </w:pPr>
          </w:p>
        </w:tc>
        <w:tc>
          <w:tcPr>
            <w:tcW w:w="60" w:type="dxa"/>
            <w:vAlign w:val="bottom"/>
            <w:shd w:val="clear" w:color="auto" w:fill="DBDBDB"/>
          </w:tcPr>
          <w:p>
            <w:pPr>
              <w:spacing w:after="0"/>
              <w:rPr>
                <w:sz w:val="10"/>
                <w:szCs w:val="10"/>
                <w:color w:val="auto"/>
              </w:rPr>
            </w:pPr>
          </w:p>
        </w:tc>
        <w:tc>
          <w:tcPr>
            <w:tcW w:w="1580" w:type="dxa"/>
            <w:vAlign w:val="bottom"/>
            <w:vMerge w:val="continue"/>
            <w:shd w:val="clear" w:color="auto" w:fill="DBDBDB"/>
          </w:tcPr>
          <w:p>
            <w:pPr>
              <w:spacing w:after="0"/>
              <w:rPr>
                <w:sz w:val="10"/>
                <w:szCs w:val="10"/>
                <w:color w:val="auto"/>
              </w:rPr>
            </w:pPr>
          </w:p>
        </w:tc>
        <w:tc>
          <w:tcPr>
            <w:tcW w:w="60" w:type="dxa"/>
            <w:vAlign w:val="bottom"/>
            <w:shd w:val="clear" w:color="auto" w:fill="DBDBDB"/>
          </w:tcPr>
          <w:p>
            <w:pPr>
              <w:spacing w:after="0"/>
              <w:rPr>
                <w:sz w:val="10"/>
                <w:szCs w:val="10"/>
                <w:color w:val="auto"/>
              </w:rPr>
            </w:pPr>
          </w:p>
        </w:tc>
        <w:tc>
          <w:tcPr>
            <w:tcW w:w="1440" w:type="dxa"/>
            <w:vAlign w:val="bottom"/>
            <w:shd w:val="clear" w:color="auto" w:fill="DBDBDB"/>
          </w:tcPr>
          <w:p>
            <w:pPr>
              <w:spacing w:after="0"/>
              <w:rPr>
                <w:sz w:val="10"/>
                <w:szCs w:val="10"/>
                <w:color w:val="auto"/>
              </w:rPr>
            </w:pPr>
          </w:p>
        </w:tc>
        <w:tc>
          <w:tcPr>
            <w:tcW w:w="40" w:type="dxa"/>
            <w:vAlign w:val="bottom"/>
            <w:shd w:val="clear" w:color="auto" w:fill="DBDBDB"/>
          </w:tcPr>
          <w:p>
            <w:pPr>
              <w:spacing w:after="0"/>
              <w:rPr>
                <w:sz w:val="10"/>
                <w:szCs w:val="10"/>
                <w:color w:val="auto"/>
              </w:rPr>
            </w:pPr>
          </w:p>
        </w:tc>
        <w:tc>
          <w:tcPr>
            <w:tcW w:w="1780" w:type="dxa"/>
            <w:vAlign w:val="bottom"/>
            <w:shd w:val="clear" w:color="auto" w:fill="DBDBDB"/>
          </w:tcPr>
          <w:p>
            <w:pPr>
              <w:spacing w:after="0"/>
              <w:rPr>
                <w:sz w:val="10"/>
                <w:szCs w:val="10"/>
                <w:color w:val="auto"/>
              </w:rPr>
            </w:pPr>
          </w:p>
        </w:tc>
        <w:tc>
          <w:tcPr>
            <w:tcW w:w="60" w:type="dxa"/>
            <w:vAlign w:val="bottom"/>
            <w:shd w:val="clear" w:color="auto" w:fill="DBDBDB"/>
          </w:tcPr>
          <w:p>
            <w:pPr>
              <w:spacing w:after="0"/>
              <w:rPr>
                <w:sz w:val="10"/>
                <w:szCs w:val="10"/>
                <w:color w:val="auto"/>
              </w:rPr>
            </w:pPr>
          </w:p>
        </w:tc>
        <w:tc>
          <w:tcPr>
            <w:tcW w:w="1780" w:type="dxa"/>
            <w:vAlign w:val="bottom"/>
            <w:shd w:val="clear" w:color="auto" w:fill="DBDBDB"/>
          </w:tcPr>
          <w:p>
            <w:pPr>
              <w:spacing w:after="0"/>
              <w:rPr>
                <w:sz w:val="10"/>
                <w:szCs w:val="10"/>
                <w:color w:val="auto"/>
              </w:rPr>
            </w:pPr>
          </w:p>
        </w:tc>
        <w:tc>
          <w:tcPr>
            <w:tcW w:w="60" w:type="dxa"/>
            <w:vAlign w:val="bottom"/>
            <w:shd w:val="clear" w:color="auto" w:fill="DBDBDB"/>
          </w:tcPr>
          <w:p>
            <w:pPr>
              <w:spacing w:after="0"/>
              <w:rPr>
                <w:sz w:val="10"/>
                <w:szCs w:val="10"/>
                <w:color w:val="auto"/>
              </w:rPr>
            </w:pPr>
          </w:p>
        </w:tc>
        <w:tc>
          <w:tcPr>
            <w:tcW w:w="2180" w:type="dxa"/>
            <w:vAlign w:val="bottom"/>
            <w:shd w:val="clear" w:color="auto" w:fill="DBDBDB"/>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985520</wp:posOffset>
                </wp:positionH>
                <wp:positionV relativeFrom="paragraph">
                  <wp:posOffset>-300355</wp:posOffset>
                </wp:positionV>
                <wp:extent cx="37465" cy="1270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465" cy="12700"/>
                        </a:xfrm>
                        <a:prstGeom prst="rect">
                          <a:avLst/>
                        </a:prstGeom>
                        <a:solidFill>
                          <a:srgbClr val="DBDBDB"/>
                        </a:solidFill>
                      </wps:spPr>
                      <wps:bodyPr/>
                    </wps:wsp>
                  </a:graphicData>
                </a:graphic>
              </wp:anchor>
            </w:drawing>
          </mc:Choice>
          <mc:Fallback>
            <w:pict>
              <v:rect id="Shape 17" o:spid="_x0000_s1042" style="position:absolute;margin-left:77.6pt;margin-top:-23.6499pt;width:2.9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BDBDB" stroked="f"/>
            </w:pict>
          </mc:Fallback>
        </mc:AlternateContent>
        <mc:AlternateContent>
          <mc:Choice Requires="wps">
            <w:drawing>
              <wp:anchor simplePos="0" relativeHeight="251657728" behindDoc="1" locked="0" layoutInCell="0" allowOverlap="1">
                <wp:simplePos x="0" y="0"/>
                <wp:positionH relativeFrom="column">
                  <wp:posOffset>2031365</wp:posOffset>
                </wp:positionH>
                <wp:positionV relativeFrom="paragraph">
                  <wp:posOffset>-300355</wp:posOffset>
                </wp:positionV>
                <wp:extent cx="37465" cy="1270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465" cy="12700"/>
                        </a:xfrm>
                        <a:prstGeom prst="rect">
                          <a:avLst/>
                        </a:prstGeom>
                        <a:solidFill>
                          <a:srgbClr val="DBDBDB"/>
                        </a:solidFill>
                      </wps:spPr>
                      <wps:bodyPr/>
                    </wps:wsp>
                  </a:graphicData>
                </a:graphic>
              </wp:anchor>
            </w:drawing>
          </mc:Choice>
          <mc:Fallback>
            <w:pict>
              <v:rect id="Shape 18" o:spid="_x0000_s1043" style="position:absolute;margin-left:159.95pt;margin-top:-23.6499pt;width:2.9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BDBDB" stroked="f"/>
            </w:pict>
          </mc:Fallback>
        </mc:AlternateContent>
        <mc:AlternateContent>
          <mc:Choice Requires="wps">
            <w:drawing>
              <wp:anchor simplePos="0" relativeHeight="251657728" behindDoc="1" locked="0" layoutInCell="0" allowOverlap="1">
                <wp:simplePos x="0" y="0"/>
                <wp:positionH relativeFrom="column">
                  <wp:posOffset>2978150</wp:posOffset>
                </wp:positionH>
                <wp:positionV relativeFrom="paragraph">
                  <wp:posOffset>-300355</wp:posOffset>
                </wp:positionV>
                <wp:extent cx="37465" cy="1270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465" cy="12700"/>
                        </a:xfrm>
                        <a:prstGeom prst="rect">
                          <a:avLst/>
                        </a:prstGeom>
                        <a:solidFill>
                          <a:srgbClr val="DBDBDB"/>
                        </a:solidFill>
                      </wps:spPr>
                      <wps:bodyPr/>
                    </wps:wsp>
                  </a:graphicData>
                </a:graphic>
              </wp:anchor>
            </w:drawing>
          </mc:Choice>
          <mc:Fallback>
            <w:pict>
              <v:rect id="Shape 19" o:spid="_x0000_s1044" style="position:absolute;margin-left:234.5pt;margin-top:-23.6499pt;width:2.9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BDBDB" stroked="f"/>
            </w:pict>
          </mc:Fallback>
        </mc:AlternateContent>
        <mc:AlternateContent>
          <mc:Choice Requires="wps">
            <w:drawing>
              <wp:anchor simplePos="0" relativeHeight="251657728" behindDoc="1" locked="0" layoutInCell="0" allowOverlap="1">
                <wp:simplePos x="0" y="0"/>
                <wp:positionH relativeFrom="column">
                  <wp:posOffset>4144645</wp:posOffset>
                </wp:positionH>
                <wp:positionV relativeFrom="paragraph">
                  <wp:posOffset>-300355</wp:posOffset>
                </wp:positionV>
                <wp:extent cx="37465" cy="1270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465" cy="12700"/>
                        </a:xfrm>
                        <a:prstGeom prst="rect">
                          <a:avLst/>
                        </a:prstGeom>
                        <a:solidFill>
                          <a:srgbClr val="DBDBDB"/>
                        </a:solidFill>
                      </wps:spPr>
                      <wps:bodyPr/>
                    </wps:wsp>
                  </a:graphicData>
                </a:graphic>
              </wp:anchor>
            </w:drawing>
          </mc:Choice>
          <mc:Fallback>
            <w:pict>
              <v:rect id="Shape 20" o:spid="_x0000_s1045" style="position:absolute;margin-left:326.35pt;margin-top:-23.6499pt;width:2.9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BDBDB" stroked="f"/>
            </w:pict>
          </mc:Fallback>
        </mc:AlternateContent>
        <mc:AlternateContent>
          <mc:Choice Requires="wps">
            <w:drawing>
              <wp:anchor simplePos="0" relativeHeight="251657728" behindDoc="1" locked="0" layoutInCell="0" allowOverlap="1">
                <wp:simplePos x="0" y="0"/>
                <wp:positionH relativeFrom="column">
                  <wp:posOffset>5311140</wp:posOffset>
                </wp:positionH>
                <wp:positionV relativeFrom="paragraph">
                  <wp:posOffset>-300355</wp:posOffset>
                </wp:positionV>
                <wp:extent cx="37465" cy="1270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465" cy="12700"/>
                        </a:xfrm>
                        <a:prstGeom prst="rect">
                          <a:avLst/>
                        </a:prstGeom>
                        <a:solidFill>
                          <a:srgbClr val="DBDBDB"/>
                        </a:solidFill>
                      </wps:spPr>
                      <wps:bodyPr/>
                    </wps:wsp>
                  </a:graphicData>
                </a:graphic>
              </wp:anchor>
            </w:drawing>
          </mc:Choice>
          <mc:Fallback>
            <w:pict>
              <v:rect id="Shape 21" o:spid="_x0000_s1046" style="position:absolute;margin-left:418.2pt;margin-top:-23.6499pt;width:2.9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BDBDB" stroked="f"/>
            </w:pict>
          </mc:Fallback>
        </mc:AlternateContent>
        <mc:AlternateContent>
          <mc:Choice Requires="wps">
            <w:drawing>
              <wp:anchor simplePos="0" relativeHeight="251657728" behindDoc="1" locked="0" layoutInCell="0" allowOverlap="1">
                <wp:simplePos x="0" y="0"/>
                <wp:positionH relativeFrom="column">
                  <wp:posOffset>5311140</wp:posOffset>
                </wp:positionH>
                <wp:positionV relativeFrom="paragraph">
                  <wp:posOffset>-1270</wp:posOffset>
                </wp:positionV>
                <wp:extent cx="36195"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195" cy="4763"/>
                        </a:xfrm>
                        <a:prstGeom prst="line">
                          <a:avLst/>
                        </a:prstGeom>
                        <a:solidFill>
                          <a:srgbClr val="FFFFFF"/>
                        </a:solidFill>
                        <a:ln w="2974">
                          <a:solidFill>
                            <a:srgbClr val="DBDBDB"/>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8.2pt,-0.0999pt" to="421.05pt,-0.0999pt" o:allowincell="f" strokecolor="#DBDBDB" strokeweight="0.2342pt"/>
            </w:pict>
          </mc:Fallback>
        </mc:AlternateContent>
      </w:r>
    </w:p>
    <w:p>
      <w:pPr>
        <w:spacing w:after="0" w:line="193" w:lineRule="exact"/>
        <w:rPr>
          <w:sz w:val="20"/>
          <w:szCs w:val="20"/>
          <w:color w:val="auto"/>
        </w:rPr>
      </w:pPr>
    </w:p>
    <w:p>
      <w:pPr>
        <w:jc w:val="both"/>
        <w:ind w:left="420" w:hanging="295"/>
        <w:spacing w:after="0" w:line="249" w:lineRule="auto"/>
        <w:tabs>
          <w:tab w:leader="none" w:pos="4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Shu-Hua (Joshua) Yeh, our Senior Vice President and Asia General Manager, entered into a Rule 10b5-1 Plan on December 9, 2025. Mr. Yeh's plan provides for the potential sale of 50,000 shares of the Company's common stock. The Plan expires on December 31, 2026, or upon the earlier of completion of all authorized transactions under the plan.</w:t>
      </w:r>
    </w:p>
    <w:p>
      <w:pPr>
        <w:spacing w:after="0" w:line="191" w:lineRule="exact"/>
        <w:rPr>
          <w:sz w:val="20"/>
          <w:szCs w:val="20"/>
          <w:color w:val="auto"/>
        </w:rPr>
      </w:pPr>
    </w:p>
    <w:p>
      <w:pPr>
        <w:ind w:left="20"/>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9C.</w:t>
      </w:r>
      <w:r>
        <w:rPr>
          <w:sz w:val="20"/>
          <w:szCs w:val="20"/>
          <w:color w:val="auto"/>
        </w:rPr>
        <w:tab/>
      </w:r>
      <w:r>
        <w:rPr>
          <w:rFonts w:ascii="Times New Roman" w:cs="Times New Roman" w:eastAsia="Times New Roman" w:hAnsi="Times New Roman"/>
          <w:sz w:val="18"/>
          <w:szCs w:val="18"/>
          <w:b w:val="1"/>
          <w:bCs w:val="1"/>
          <w:color w:val="auto"/>
        </w:rPr>
        <w:t>Disclosure Regarding Foreign Jurisdiction that Prevent Inspections</w:t>
      </w:r>
    </w:p>
    <w:p>
      <w:pPr>
        <w:spacing w:after="0" w:line="22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None.</w:t>
      </w:r>
    </w:p>
    <w:p>
      <w:pPr>
        <w:sectPr>
          <w:pgSz w:w="11880" w:h="15480" w:orient="portrait"/>
          <w:cols w:equalWidth="0" w:num="1">
            <w:col w:w="10600"/>
          </w:cols>
          <w:pgMar w:left="640" w:top="413"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1880" w:h="15480" w:orient="portrait"/>
          <w:cols w:equalWidth="0" w:num="1">
            <w:col w:w="10600"/>
          </w:cols>
          <w:pgMar w:left="640" w:top="413" w:right="640" w:bottom="0" w:gutter="0" w:footer="0" w:header="0"/>
          <w:type w:val="continuous"/>
        </w:sectPr>
      </w:pPr>
    </w:p>
    <w:bookmarkStart w:id="52" w:name="page53"/>
    <w:bookmarkEnd w:id="52"/>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27" w:lineRule="exact"/>
        <w:rPr>
          <w:sz w:val="20"/>
          <w:szCs w:val="20"/>
          <w:color w:val="auto"/>
        </w:rPr>
      </w:pPr>
    </w:p>
    <w:p>
      <w:pPr>
        <w:ind w:left="20"/>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Directors, Executive Officers and Corporate Governance</w:t>
      </w:r>
    </w:p>
    <w:p>
      <w:pPr>
        <w:spacing w:after="0" w:line="226" w:lineRule="exact"/>
        <w:rPr>
          <w:sz w:val="20"/>
          <w:szCs w:val="20"/>
          <w:color w:val="auto"/>
        </w:rPr>
      </w:pPr>
    </w:p>
    <w:p>
      <w:pPr>
        <w:jc w:val="both"/>
        <w:ind w:firstLine="706"/>
        <w:spacing w:after="0" w:line="251" w:lineRule="auto"/>
        <w:rPr>
          <w:sz w:val="20"/>
          <w:szCs w:val="20"/>
          <w:color w:val="auto"/>
        </w:rPr>
      </w:pPr>
      <w:r>
        <w:rPr>
          <w:rFonts w:ascii="Times New Roman" w:cs="Times New Roman" w:eastAsia="Times New Roman" w:hAnsi="Times New Roman"/>
          <w:sz w:val="20"/>
          <w:szCs w:val="20"/>
          <w:color w:val="auto"/>
        </w:rPr>
        <w:t>The information required by this item (other than the information set forth in the next paragraph in this Item 10) will be included in our definitive proxy statement with respect to our 2026 Annual Meeting of Stockholders to be filed with the Securities and Exchange Commission and is incorporated herein by reference.</w:t>
      </w:r>
    </w:p>
    <w:p>
      <w:pPr>
        <w:spacing w:after="0" w:line="18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Adoption of Code of Ethics</w:t>
      </w:r>
    </w:p>
    <w:p>
      <w:pPr>
        <w:spacing w:after="0" w:line="216" w:lineRule="exact"/>
        <w:rPr>
          <w:sz w:val="20"/>
          <w:szCs w:val="20"/>
          <w:color w:val="auto"/>
        </w:rPr>
      </w:pPr>
    </w:p>
    <w:p>
      <w:pPr>
        <w:jc w:val="both"/>
        <w:ind w:firstLine="706"/>
        <w:spacing w:after="0" w:line="246" w:lineRule="auto"/>
        <w:rPr>
          <w:sz w:val="20"/>
          <w:szCs w:val="20"/>
          <w:color w:val="auto"/>
        </w:rPr>
      </w:pPr>
      <w:r>
        <w:rPr>
          <w:rFonts w:ascii="Times New Roman" w:cs="Times New Roman" w:eastAsia="Times New Roman" w:hAnsi="Times New Roman"/>
          <w:sz w:val="20"/>
          <w:szCs w:val="20"/>
          <w:color w:val="auto"/>
        </w:rPr>
        <w:t>The Company has adopted a Code of Business Conduct and Ethics (the "Code") applicable to all of our board of director members, employees and executive officers, including our Chief Executive Officer (Principal Executive Officer), and Chief Financial Officer (Principal Financial Officer and Principal Accounting Officer). The Company has made the Code available on our website at http://www.ao-inc.com.</w:t>
      </w:r>
    </w:p>
    <w:p>
      <w:pPr>
        <w:spacing w:after="0" w:line="184" w:lineRule="exact"/>
        <w:rPr>
          <w:sz w:val="20"/>
          <w:szCs w:val="20"/>
          <w:color w:val="auto"/>
        </w:rPr>
      </w:pPr>
    </w:p>
    <w:p>
      <w:pPr>
        <w:jc w:val="both"/>
        <w:ind w:firstLine="706"/>
        <w:spacing w:after="0" w:line="246" w:lineRule="auto"/>
        <w:rPr>
          <w:sz w:val="20"/>
          <w:szCs w:val="20"/>
          <w:color w:val="auto"/>
        </w:rPr>
      </w:pPr>
      <w:r>
        <w:rPr>
          <w:rFonts w:ascii="Times New Roman" w:cs="Times New Roman" w:eastAsia="Times New Roman" w:hAnsi="Times New Roman"/>
          <w:sz w:val="20"/>
          <w:szCs w:val="20"/>
          <w:color w:val="auto"/>
        </w:rPr>
        <w:t>The Company intends to satisfy the public disclosure requirements regarding (1) any amendments to the Code, or (2) any waivers under the Code given to our Principal Executive Officer, Principal Financial Officer and Principal Accounting Officer by posting such information on our website at www.ao-inc.com. There were no amendments to the Code or waivers granted thereunder relating to the Principal Executive Officer, Principal Financial Officer or Principal Accounting Officer during 2025.</w:t>
      </w:r>
    </w:p>
    <w:p>
      <w:pPr>
        <w:spacing w:after="0" w:line="18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Adoption of Insider Trading Policy</w:t>
      </w:r>
    </w:p>
    <w:p>
      <w:pPr>
        <w:spacing w:after="0" w:line="218" w:lineRule="exact"/>
        <w:rPr>
          <w:sz w:val="20"/>
          <w:szCs w:val="20"/>
          <w:color w:val="auto"/>
        </w:rPr>
      </w:pPr>
    </w:p>
    <w:p>
      <w:pPr>
        <w:jc w:val="both"/>
        <w:ind w:firstLine="706"/>
        <w:spacing w:after="0" w:line="293" w:lineRule="auto"/>
        <w:rPr>
          <w:sz w:val="20"/>
          <w:szCs w:val="20"/>
          <w:color w:val="auto"/>
        </w:rPr>
      </w:pPr>
      <w:r>
        <w:rPr>
          <w:rFonts w:ascii="Times New Roman" w:cs="Times New Roman" w:eastAsia="Times New Roman" w:hAnsi="Times New Roman"/>
          <w:sz w:val="18"/>
          <w:szCs w:val="18"/>
          <w:color w:val="auto"/>
        </w:rPr>
        <w:t>The Company has adopted an insider trading policy governing the purchase, sale, and other dispositions of its securities by our directors, officers and employees that we believe is reasonably designed to promote compliance with insider trading laws, rules and regulations and any applicable listing standards. A copy of our insider trading policy is filed as Exhibit 19 to this Annual Report.</w:t>
      </w:r>
    </w:p>
    <w:p>
      <w:pPr>
        <w:spacing w:after="0" w:line="147" w:lineRule="exact"/>
        <w:rPr>
          <w:sz w:val="20"/>
          <w:szCs w:val="20"/>
          <w:color w:val="auto"/>
        </w:rPr>
      </w:pPr>
    </w:p>
    <w:p>
      <w:pPr>
        <w:ind w:left="20"/>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11.</w:t>
      </w:r>
      <w:r>
        <w:rPr>
          <w:sz w:val="20"/>
          <w:szCs w:val="20"/>
          <w:color w:val="auto"/>
        </w:rPr>
        <w:tab/>
      </w:r>
      <w:r>
        <w:rPr>
          <w:rFonts w:ascii="Times New Roman" w:cs="Times New Roman" w:eastAsia="Times New Roman" w:hAnsi="Times New Roman"/>
          <w:sz w:val="18"/>
          <w:szCs w:val="18"/>
          <w:b w:val="1"/>
          <w:bCs w:val="1"/>
          <w:color w:val="auto"/>
        </w:rPr>
        <w:t>Executive Compensation</w:t>
      </w:r>
    </w:p>
    <w:p>
      <w:pPr>
        <w:spacing w:after="0" w:line="226" w:lineRule="exact"/>
        <w:rPr>
          <w:sz w:val="20"/>
          <w:szCs w:val="20"/>
          <w:color w:val="auto"/>
        </w:rPr>
      </w:pPr>
    </w:p>
    <w:p>
      <w:pPr>
        <w:jc w:val="both"/>
        <w:ind w:firstLine="706"/>
        <w:spacing w:after="0" w:line="268" w:lineRule="auto"/>
        <w:rPr>
          <w:sz w:val="20"/>
          <w:szCs w:val="20"/>
          <w:color w:val="auto"/>
        </w:rPr>
      </w:pPr>
      <w:r>
        <w:rPr>
          <w:rFonts w:ascii="Times New Roman" w:cs="Times New Roman" w:eastAsia="Times New Roman" w:hAnsi="Times New Roman"/>
          <w:sz w:val="20"/>
          <w:szCs w:val="20"/>
          <w:color w:val="auto"/>
        </w:rPr>
        <w:t>The information required by this item will be included in our definitive proxy statement with respect to our 2026 Annual Meeting of Stockholders to be filed with the Securities and Exchange Commission and is incorporated herein by reference.</w:t>
      </w:r>
    </w:p>
    <w:p>
      <w:pPr>
        <w:spacing w:after="0" w:line="166" w:lineRule="exact"/>
        <w:rPr>
          <w:sz w:val="20"/>
          <w:szCs w:val="20"/>
          <w:color w:val="auto"/>
        </w:rPr>
      </w:pPr>
    </w:p>
    <w:p>
      <w:pPr>
        <w:ind w:left="20"/>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12.</w:t>
      </w:r>
      <w:r>
        <w:rPr>
          <w:sz w:val="20"/>
          <w:szCs w:val="20"/>
          <w:color w:val="auto"/>
        </w:rPr>
        <w:tab/>
      </w:r>
      <w:r>
        <w:rPr>
          <w:rFonts w:ascii="Times New Roman" w:cs="Times New Roman" w:eastAsia="Times New Roman" w:hAnsi="Times New Roman"/>
          <w:sz w:val="18"/>
          <w:szCs w:val="18"/>
          <w:b w:val="1"/>
          <w:bCs w:val="1"/>
          <w:color w:val="auto"/>
        </w:rPr>
        <w:t>Security Ownership of Certain Beneficial Owners and Management and Related Stockholder Matters</w:t>
      </w:r>
    </w:p>
    <w:p>
      <w:pPr>
        <w:spacing w:after="0" w:line="229" w:lineRule="exact"/>
        <w:rPr>
          <w:sz w:val="20"/>
          <w:szCs w:val="20"/>
          <w:color w:val="auto"/>
        </w:rPr>
      </w:pPr>
    </w:p>
    <w:p>
      <w:pPr>
        <w:jc w:val="both"/>
        <w:ind w:right="20" w:firstLine="706"/>
        <w:spacing w:after="0" w:line="265" w:lineRule="auto"/>
        <w:rPr>
          <w:sz w:val="20"/>
          <w:szCs w:val="20"/>
          <w:color w:val="auto"/>
        </w:rPr>
      </w:pPr>
      <w:r>
        <w:rPr>
          <w:rFonts w:ascii="Times New Roman" w:cs="Times New Roman" w:eastAsia="Times New Roman" w:hAnsi="Times New Roman"/>
          <w:sz w:val="20"/>
          <w:szCs w:val="20"/>
          <w:color w:val="auto"/>
        </w:rPr>
        <w:t>The information required by this item will be included in our definitive proxy statement with respect to our 2026 Annual Meeting of Stockholders to be filed with the Securities and Exchange Commission and is incorporated herein by reference.</w:t>
      </w:r>
    </w:p>
    <w:p>
      <w:pPr>
        <w:spacing w:after="0" w:line="170" w:lineRule="exact"/>
        <w:rPr>
          <w:sz w:val="20"/>
          <w:szCs w:val="20"/>
          <w:color w:val="auto"/>
        </w:rPr>
      </w:pPr>
    </w:p>
    <w:p>
      <w:pPr>
        <w:ind w:left="20"/>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13.</w:t>
      </w:r>
      <w:r>
        <w:rPr>
          <w:sz w:val="20"/>
          <w:szCs w:val="20"/>
          <w:color w:val="auto"/>
        </w:rPr>
        <w:tab/>
      </w:r>
      <w:r>
        <w:rPr>
          <w:rFonts w:ascii="Times New Roman" w:cs="Times New Roman" w:eastAsia="Times New Roman" w:hAnsi="Times New Roman"/>
          <w:sz w:val="18"/>
          <w:szCs w:val="18"/>
          <w:b w:val="1"/>
          <w:bCs w:val="1"/>
          <w:color w:val="auto"/>
        </w:rPr>
        <w:t>Certain Relationships and Related Transactions, and Director Independence</w:t>
      </w:r>
    </w:p>
    <w:p>
      <w:pPr>
        <w:spacing w:after="0" w:line="229" w:lineRule="exact"/>
        <w:rPr>
          <w:sz w:val="20"/>
          <w:szCs w:val="20"/>
          <w:color w:val="auto"/>
        </w:rPr>
      </w:pPr>
    </w:p>
    <w:p>
      <w:pPr>
        <w:jc w:val="both"/>
        <w:ind w:right="20" w:firstLine="706"/>
        <w:spacing w:after="0" w:line="268" w:lineRule="auto"/>
        <w:rPr>
          <w:sz w:val="20"/>
          <w:szCs w:val="20"/>
          <w:color w:val="auto"/>
        </w:rPr>
      </w:pPr>
      <w:r>
        <w:rPr>
          <w:rFonts w:ascii="Times New Roman" w:cs="Times New Roman" w:eastAsia="Times New Roman" w:hAnsi="Times New Roman"/>
          <w:sz w:val="20"/>
          <w:szCs w:val="20"/>
          <w:color w:val="auto"/>
        </w:rPr>
        <w:t>The information required by this item will be included in our definitive proxy statement with respect to our 2026 Annual Meeting of Stockholders to be filed with the Securities and Exchange Commission and is incorporated herein by reference.</w:t>
      </w:r>
    </w:p>
    <w:p>
      <w:pPr>
        <w:spacing w:after="0" w:line="164" w:lineRule="exact"/>
        <w:rPr>
          <w:sz w:val="20"/>
          <w:szCs w:val="20"/>
          <w:color w:val="auto"/>
        </w:rPr>
      </w:pPr>
    </w:p>
    <w:p>
      <w:pPr>
        <w:ind w:left="20"/>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14.</w:t>
      </w:r>
      <w:r>
        <w:rPr>
          <w:sz w:val="20"/>
          <w:szCs w:val="20"/>
          <w:color w:val="auto"/>
        </w:rPr>
        <w:tab/>
      </w:r>
      <w:r>
        <w:rPr>
          <w:rFonts w:ascii="Times New Roman" w:cs="Times New Roman" w:eastAsia="Times New Roman" w:hAnsi="Times New Roman"/>
          <w:sz w:val="18"/>
          <w:szCs w:val="18"/>
          <w:b w:val="1"/>
          <w:bCs w:val="1"/>
          <w:color w:val="auto"/>
        </w:rPr>
        <w:t>Principal Accounting Fees and Services</w:t>
      </w:r>
    </w:p>
    <w:p>
      <w:pPr>
        <w:spacing w:after="0" w:line="228" w:lineRule="exact"/>
        <w:rPr>
          <w:sz w:val="20"/>
          <w:szCs w:val="20"/>
          <w:color w:val="auto"/>
        </w:rPr>
      </w:pPr>
    </w:p>
    <w:p>
      <w:pPr>
        <w:jc w:val="both"/>
        <w:ind w:right="20" w:firstLine="706"/>
        <w:spacing w:after="0" w:line="268" w:lineRule="auto"/>
        <w:rPr>
          <w:sz w:val="20"/>
          <w:szCs w:val="20"/>
          <w:color w:val="auto"/>
        </w:rPr>
      </w:pPr>
      <w:r>
        <w:rPr>
          <w:rFonts w:ascii="Times New Roman" w:cs="Times New Roman" w:eastAsia="Times New Roman" w:hAnsi="Times New Roman"/>
          <w:sz w:val="20"/>
          <w:szCs w:val="20"/>
          <w:color w:val="auto"/>
        </w:rPr>
        <w:t>The information required by this item will be included in our definitive proxy statement with respect to our 2026 Annual Meeting of Stockholders to be filed with the Securities and Exchange Commission and is incorporated herein by reference.</w:t>
      </w:r>
    </w:p>
    <w:p>
      <w:pPr>
        <w:spacing w:after="0" w:line="16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25" w:lineRule="exact"/>
        <w:rPr>
          <w:sz w:val="20"/>
          <w:szCs w:val="20"/>
          <w:color w:val="auto"/>
        </w:rPr>
      </w:pPr>
    </w:p>
    <w:p>
      <w:pPr>
        <w:ind w:left="20"/>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15.</w:t>
      </w:r>
      <w:r>
        <w:rPr>
          <w:sz w:val="20"/>
          <w:szCs w:val="20"/>
          <w:color w:val="auto"/>
        </w:rPr>
        <w:tab/>
      </w:r>
      <w:r>
        <w:rPr>
          <w:rFonts w:ascii="Times New Roman" w:cs="Times New Roman" w:eastAsia="Times New Roman" w:hAnsi="Times New Roman"/>
          <w:sz w:val="18"/>
          <w:szCs w:val="18"/>
          <w:b w:val="1"/>
          <w:bCs w:val="1"/>
          <w:color w:val="auto"/>
        </w:rPr>
        <w:t>Exhibits, Financial Statements Schedules</w:t>
      </w:r>
    </w:p>
    <w:p>
      <w:pPr>
        <w:spacing w:after="0" w:line="228" w:lineRule="exact"/>
        <w:rPr>
          <w:sz w:val="20"/>
          <w:szCs w:val="20"/>
          <w:color w:val="auto"/>
        </w:rPr>
      </w:pPr>
    </w:p>
    <w:p>
      <w:pPr>
        <w:jc w:val="both"/>
        <w:ind w:firstLine="706"/>
        <w:spacing w:after="0" w:line="268" w:lineRule="auto"/>
        <w:rPr>
          <w:sz w:val="20"/>
          <w:szCs w:val="20"/>
          <w:color w:val="auto"/>
        </w:rPr>
      </w:pPr>
      <w:r>
        <w:rPr>
          <w:rFonts w:ascii="Times New Roman" w:cs="Times New Roman" w:eastAsia="Times New Roman" w:hAnsi="Times New Roman"/>
          <w:sz w:val="20"/>
          <w:szCs w:val="20"/>
          <w:color w:val="auto"/>
        </w:rPr>
        <w:t>(a)(1) The consolidated financial statements are listed on the Index to Consolidated Financial Statements to this Form 10-K beginning on page F-1.</w:t>
      </w:r>
    </w:p>
    <w:p>
      <w:pPr>
        <w:spacing w:after="0" w:line="164" w:lineRule="exact"/>
        <w:rPr>
          <w:sz w:val="20"/>
          <w:szCs w:val="20"/>
          <w:color w:val="auto"/>
        </w:rPr>
      </w:pPr>
    </w:p>
    <w:p>
      <w:pPr>
        <w:jc w:val="both"/>
        <w:ind w:firstLine="706"/>
        <w:spacing w:after="0" w:line="265" w:lineRule="auto"/>
        <w:rPr>
          <w:sz w:val="20"/>
          <w:szCs w:val="20"/>
          <w:color w:val="auto"/>
        </w:rPr>
      </w:pPr>
      <w:r>
        <w:rPr>
          <w:rFonts w:ascii="Times New Roman" w:cs="Times New Roman" w:eastAsia="Times New Roman" w:hAnsi="Times New Roman"/>
          <w:sz w:val="20"/>
          <w:szCs w:val="20"/>
          <w:color w:val="auto"/>
        </w:rPr>
        <w:t>(a)(2) Financial Statement Schedules. Financial statement schedules have been omitted, as the information required to be set forth therein is included in the Consolidated Financial Statements or Notes thereto appearing in this Form 10-K.</w:t>
      </w:r>
    </w:p>
    <w:p>
      <w:pPr>
        <w:spacing w:after="0" w:line="16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(a)(3) Exhibits. See the Exhibit immediately following Item 16. Form 10-K Summary of this Form 10-K.</w:t>
      </w:r>
    </w:p>
    <w:p>
      <w:pPr>
        <w:spacing w:after="0" w:line="224" w:lineRule="exact"/>
        <w:rPr>
          <w:sz w:val="20"/>
          <w:szCs w:val="20"/>
          <w:color w:val="auto"/>
        </w:rPr>
      </w:pPr>
    </w:p>
    <w:p>
      <w:pPr>
        <w:ind w:left="20"/>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16.</w:t>
      </w:r>
      <w:r>
        <w:rPr>
          <w:sz w:val="20"/>
          <w:szCs w:val="20"/>
          <w:color w:val="auto"/>
        </w:rPr>
        <w:tab/>
      </w:r>
      <w:r>
        <w:rPr>
          <w:rFonts w:ascii="Times New Roman" w:cs="Times New Roman" w:eastAsia="Times New Roman" w:hAnsi="Times New Roman"/>
          <w:sz w:val="18"/>
          <w:szCs w:val="18"/>
          <w:b w:val="1"/>
          <w:bCs w:val="1"/>
          <w:color w:val="auto"/>
        </w:rPr>
        <w:t>Form 10-K Summary</w:t>
      </w:r>
    </w:p>
    <w:p>
      <w:pPr>
        <w:spacing w:after="0" w:line="2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None.</w:t>
      </w:r>
    </w:p>
    <w:p>
      <w:pPr>
        <w:sectPr>
          <w:pgSz w:w="11880" w:h="15480" w:orient="portrait"/>
          <w:cols w:equalWidth="0" w:num="1">
            <w:col w:w="10600"/>
          </w:cols>
          <w:pgMar w:left="640" w:top="407"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1880" w:h="15480" w:orient="portrait"/>
          <w:cols w:equalWidth="0" w:num="1">
            <w:col w:w="10600"/>
          </w:cols>
          <w:pgMar w:left="640" w:top="407" w:right="640" w:bottom="0" w:gutter="0" w:footer="0" w:header="0"/>
          <w:type w:val="continuous"/>
        </w:sectPr>
      </w:pPr>
    </w:p>
    <w:bookmarkStart w:id="53" w:name="page54"/>
    <w:bookmarkEnd w:id="53"/>
    <w:tbl>
      <w:tblPr>
        <w:tblLayout w:type="fixed"/>
        <w:tblInd w:w="0" w:type="dxa"/>
        <w:tblCellMar>
          <w:top w:w="0" w:type="dxa"/>
          <w:left w:w="0" w:type="dxa"/>
          <w:bottom w:w="0" w:type="dxa"/>
          <w:right w:w="0" w:type="dxa"/>
        </w:tblCellMar>
      </w:tblPr>
      <w:tr>
        <w:trPr>
          <w:trHeight w:val="270"/>
        </w:trPr>
        <w:tc>
          <w:tcPr>
            <w:tcW w:w="1140" w:type="dxa"/>
            <w:vAlign w:val="bottom"/>
          </w:tcPr>
          <w:p>
            <w:pPr>
              <w:spacing w:after="0"/>
              <w:rPr>
                <w:sz w:val="23"/>
                <w:szCs w:val="23"/>
                <w:color w:val="auto"/>
              </w:rPr>
            </w:pPr>
          </w:p>
        </w:tc>
        <w:tc>
          <w:tcPr>
            <w:tcW w:w="5160" w:type="dxa"/>
            <w:vAlign w:val="bottom"/>
            <w:gridSpan w:val="2"/>
          </w:tcPr>
          <w:p>
            <w:pPr>
              <w:ind w:left="3360"/>
              <w:spacing w:after="0"/>
              <w:rPr>
                <w:sz w:val="20"/>
                <w:szCs w:val="20"/>
                <w:color w:val="auto"/>
              </w:rPr>
            </w:pPr>
            <w:r>
              <w:rPr>
                <w:rFonts w:ascii="Times New Roman" w:cs="Times New Roman" w:eastAsia="Times New Roman" w:hAnsi="Times New Roman"/>
                <w:sz w:val="20"/>
                <w:szCs w:val="20"/>
                <w:b w:val="1"/>
                <w:bCs w:val="1"/>
                <w:color w:val="auto"/>
              </w:rPr>
              <w:t>EXHIBIT INDEX</w:t>
            </w:r>
          </w:p>
        </w:tc>
        <w:tc>
          <w:tcPr>
            <w:tcW w:w="1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9"/>
        </w:trPr>
        <w:tc>
          <w:tcPr>
            <w:tcW w:w="11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Number</w:t>
            </w:r>
          </w:p>
        </w:tc>
        <w:tc>
          <w:tcPr>
            <w:tcW w:w="4340" w:type="dxa"/>
            <w:vAlign w:val="bottom"/>
            <w:vMerge w:val="restart"/>
          </w:tcPr>
          <w:p>
            <w:pPr>
              <w:ind w:left="1280"/>
              <w:spacing w:after="0"/>
              <w:rPr>
                <w:sz w:val="20"/>
                <w:szCs w:val="20"/>
                <w:color w:val="auto"/>
              </w:rPr>
            </w:pPr>
            <w:r>
              <w:rPr>
                <w:rFonts w:ascii="Times New Roman" w:cs="Times New Roman" w:eastAsia="Times New Roman" w:hAnsi="Times New Roman"/>
                <w:sz w:val="20"/>
                <w:szCs w:val="20"/>
                <w:b w:val="1"/>
                <w:bCs w:val="1"/>
                <w:color w:val="auto"/>
              </w:rPr>
              <w:t>Exhibit Description</w:t>
            </w:r>
          </w:p>
        </w:tc>
        <w:tc>
          <w:tcPr>
            <w:tcW w:w="82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20"/>
                <w:szCs w:val="20"/>
                <w:b w:val="1"/>
                <w:bCs w:val="1"/>
                <w:color w:val="auto"/>
              </w:rPr>
              <w:t>Incorporated By Reference</w:t>
            </w:r>
          </w:p>
        </w:tc>
        <w:tc>
          <w:tcPr>
            <w:tcW w:w="0" w:type="dxa"/>
            <w:vAlign w:val="bottom"/>
          </w:tcPr>
          <w:p>
            <w:pPr>
              <w:spacing w:after="0"/>
              <w:rPr>
                <w:sz w:val="1"/>
                <w:szCs w:val="1"/>
                <w:color w:val="auto"/>
              </w:rPr>
            </w:pPr>
          </w:p>
        </w:tc>
      </w:tr>
      <w:tr>
        <w:trPr>
          <w:trHeight w:val="225"/>
        </w:trPr>
        <w:tc>
          <w:tcPr>
            <w:tcW w:w="1140" w:type="dxa"/>
            <w:vAlign w:val="bottom"/>
            <w:tcBorders>
              <w:bottom w:val="single" w:sz="8" w:color="auto"/>
            </w:tcBorders>
            <w:vMerge w:val="continue"/>
          </w:tcPr>
          <w:p>
            <w:pPr>
              <w:spacing w:after="0"/>
              <w:rPr>
                <w:sz w:val="19"/>
                <w:szCs w:val="19"/>
                <w:color w:val="auto"/>
              </w:rPr>
            </w:pPr>
          </w:p>
        </w:tc>
        <w:tc>
          <w:tcPr>
            <w:tcW w:w="4340" w:type="dxa"/>
            <w:vAlign w:val="bottom"/>
            <w:tcBorders>
              <w:bottom w:val="single" w:sz="8" w:color="auto"/>
            </w:tcBorders>
            <w:vMerge w:val="continue"/>
          </w:tcPr>
          <w:p>
            <w:pPr>
              <w:spacing w:after="0"/>
              <w:rPr>
                <w:sz w:val="19"/>
                <w:szCs w:val="19"/>
                <w:color w:val="auto"/>
              </w:rPr>
            </w:pPr>
          </w:p>
        </w:tc>
        <w:tc>
          <w:tcPr>
            <w:tcW w:w="820" w:type="dxa"/>
            <w:vAlign w:val="bottom"/>
            <w:tcBorders>
              <w:bottom w:val="single" w:sz="8" w:color="auto"/>
            </w:tcBorders>
          </w:tcPr>
          <w:p>
            <w:pPr>
              <w:jc w:val="center"/>
              <w:spacing w:after="0" w:line="225" w:lineRule="exact"/>
              <w:rPr>
                <w:sz w:val="20"/>
                <w:szCs w:val="20"/>
                <w:color w:val="auto"/>
              </w:rPr>
            </w:pPr>
            <w:r>
              <w:rPr>
                <w:rFonts w:ascii="Times New Roman" w:cs="Times New Roman" w:eastAsia="Times New Roman" w:hAnsi="Times New Roman"/>
                <w:sz w:val="20"/>
                <w:szCs w:val="20"/>
                <w:b w:val="1"/>
                <w:bCs w:val="1"/>
                <w:color w:val="auto"/>
                <w:w w:val="96"/>
              </w:rPr>
              <w:t>Form</w:t>
            </w:r>
          </w:p>
        </w:tc>
        <w:tc>
          <w:tcPr>
            <w:tcW w:w="1280" w:type="dxa"/>
            <w:vAlign w:val="bottom"/>
            <w:tcBorders>
              <w:bottom w:val="single" w:sz="8" w:color="auto"/>
            </w:tcBorders>
          </w:tcPr>
          <w:p>
            <w:pPr>
              <w:ind w:left="300"/>
              <w:spacing w:after="0" w:line="225" w:lineRule="exact"/>
              <w:rPr>
                <w:sz w:val="20"/>
                <w:szCs w:val="20"/>
                <w:color w:val="auto"/>
              </w:rPr>
            </w:pPr>
            <w:r>
              <w:rPr>
                <w:rFonts w:ascii="Times New Roman" w:cs="Times New Roman" w:eastAsia="Times New Roman" w:hAnsi="Times New Roman"/>
                <w:sz w:val="20"/>
                <w:szCs w:val="20"/>
                <w:b w:val="1"/>
                <w:bCs w:val="1"/>
                <w:color w:val="auto"/>
              </w:rPr>
              <w:t>File No.</w:t>
            </w:r>
          </w:p>
        </w:tc>
        <w:tc>
          <w:tcPr>
            <w:tcW w:w="1100" w:type="dxa"/>
            <w:vAlign w:val="bottom"/>
            <w:tcBorders>
              <w:bottom w:val="single" w:sz="8" w:color="auto"/>
            </w:tcBorders>
          </w:tcPr>
          <w:p>
            <w:pPr>
              <w:jc w:val="center"/>
              <w:spacing w:after="0" w:line="225" w:lineRule="exact"/>
              <w:rPr>
                <w:sz w:val="20"/>
                <w:szCs w:val="20"/>
                <w:color w:val="auto"/>
              </w:rPr>
            </w:pPr>
            <w:r>
              <w:rPr>
                <w:rFonts w:ascii="Times New Roman" w:cs="Times New Roman" w:eastAsia="Times New Roman" w:hAnsi="Times New Roman"/>
                <w:sz w:val="20"/>
                <w:szCs w:val="20"/>
                <w:b w:val="1"/>
                <w:bCs w:val="1"/>
                <w:color w:val="auto"/>
                <w:w w:val="94"/>
              </w:rPr>
              <w:t>Exhibit</w:t>
            </w:r>
          </w:p>
        </w:tc>
        <w:tc>
          <w:tcPr>
            <w:tcW w:w="1800" w:type="dxa"/>
            <w:vAlign w:val="bottom"/>
            <w:tcBorders>
              <w:bottom w:val="single" w:sz="8" w:color="auto"/>
            </w:tcBorders>
          </w:tcPr>
          <w:p>
            <w:pPr>
              <w:jc w:val="center"/>
              <w:ind w:left="2"/>
              <w:spacing w:after="0" w:line="225" w:lineRule="exact"/>
              <w:rPr>
                <w:sz w:val="20"/>
                <w:szCs w:val="20"/>
                <w:color w:val="auto"/>
              </w:rPr>
            </w:pPr>
            <w:r>
              <w:rPr>
                <w:rFonts w:ascii="Times New Roman" w:cs="Times New Roman" w:eastAsia="Times New Roman" w:hAnsi="Times New Roman"/>
                <w:sz w:val="20"/>
                <w:szCs w:val="20"/>
                <w:b w:val="1"/>
                <w:bCs w:val="1"/>
                <w:color w:val="auto"/>
                <w:w w:val="98"/>
              </w:rPr>
              <w:t>Filing Date</w:t>
            </w:r>
          </w:p>
        </w:tc>
        <w:tc>
          <w:tcPr>
            <w:tcW w:w="0" w:type="dxa"/>
            <w:vAlign w:val="bottom"/>
          </w:tcPr>
          <w:p>
            <w:pPr>
              <w:spacing w:after="0"/>
              <w:rPr>
                <w:sz w:val="1"/>
                <w:szCs w:val="1"/>
                <w:color w:val="auto"/>
              </w:rPr>
            </w:pPr>
          </w:p>
        </w:tc>
      </w:tr>
      <w:tr>
        <w:trPr>
          <w:trHeight w:val="249"/>
        </w:trPr>
        <w:tc>
          <w:tcPr>
            <w:tcW w:w="114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3.1</w:t>
            </w:r>
          </w:p>
        </w:tc>
        <w:tc>
          <w:tcPr>
            <w:tcW w:w="43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Restated Certificate of Incorporation</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8-K</w:t>
            </w:r>
          </w:p>
        </w:tc>
        <w:tc>
          <w:tcPr>
            <w:tcW w:w="1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001-36083</w:t>
            </w: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3.2</w:t>
            </w:r>
          </w:p>
        </w:tc>
        <w:tc>
          <w:tcPr>
            <w:tcW w:w="1800" w:type="dxa"/>
            <w:vAlign w:val="bottom"/>
          </w:tcPr>
          <w:p>
            <w:pPr>
              <w:jc w:val="center"/>
              <w:ind w:left="2"/>
              <w:spacing w:after="0"/>
              <w:rPr>
                <w:sz w:val="20"/>
                <w:szCs w:val="20"/>
                <w:color w:val="auto"/>
              </w:rPr>
            </w:pPr>
            <w:r>
              <w:rPr>
                <w:rFonts w:ascii="Times New Roman" w:cs="Times New Roman" w:eastAsia="Times New Roman" w:hAnsi="Times New Roman"/>
                <w:sz w:val="20"/>
                <w:szCs w:val="20"/>
                <w:color w:val="auto"/>
                <w:w w:val="98"/>
              </w:rPr>
              <w:t>June 12, 2025</w:t>
            </w:r>
          </w:p>
        </w:tc>
        <w:tc>
          <w:tcPr>
            <w:tcW w:w="0" w:type="dxa"/>
            <w:vAlign w:val="bottom"/>
          </w:tcPr>
          <w:p>
            <w:pPr>
              <w:spacing w:after="0"/>
              <w:rPr>
                <w:sz w:val="1"/>
                <w:szCs w:val="1"/>
                <w:color w:val="auto"/>
              </w:rPr>
            </w:pPr>
          </w:p>
        </w:tc>
      </w:tr>
      <w:tr>
        <w:trPr>
          <w:trHeight w:val="422"/>
        </w:trPr>
        <w:tc>
          <w:tcPr>
            <w:tcW w:w="114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3.2</w:t>
            </w:r>
          </w:p>
        </w:tc>
        <w:tc>
          <w:tcPr>
            <w:tcW w:w="43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Amended and Restated Bylaws of the registrant, as</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10-Q</w:t>
            </w:r>
          </w:p>
        </w:tc>
        <w:tc>
          <w:tcPr>
            <w:tcW w:w="1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001-36083</w:t>
            </w: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3.2</w:t>
            </w:r>
          </w:p>
        </w:tc>
        <w:tc>
          <w:tcPr>
            <w:tcW w:w="1800" w:type="dxa"/>
            <w:vAlign w:val="bottom"/>
          </w:tcPr>
          <w:p>
            <w:pPr>
              <w:jc w:val="center"/>
              <w:ind w:left="22"/>
              <w:spacing w:after="0"/>
              <w:rPr>
                <w:sz w:val="20"/>
                <w:szCs w:val="20"/>
                <w:color w:val="auto"/>
              </w:rPr>
            </w:pPr>
            <w:r>
              <w:rPr>
                <w:rFonts w:ascii="Times New Roman" w:cs="Times New Roman" w:eastAsia="Times New Roman" w:hAnsi="Times New Roman"/>
                <w:sz w:val="20"/>
                <w:szCs w:val="20"/>
                <w:color w:val="auto"/>
                <w:w w:val="97"/>
              </w:rPr>
              <w:t>November 14, 2013</w:t>
            </w:r>
          </w:p>
        </w:tc>
        <w:tc>
          <w:tcPr>
            <w:tcW w:w="0" w:type="dxa"/>
            <w:vAlign w:val="bottom"/>
          </w:tcPr>
          <w:p>
            <w:pPr>
              <w:spacing w:after="0"/>
              <w:rPr>
                <w:sz w:val="1"/>
                <w:szCs w:val="1"/>
                <w:color w:val="auto"/>
              </w:rPr>
            </w:pPr>
          </w:p>
        </w:tc>
      </w:tr>
      <w:tr>
        <w:trPr>
          <w:trHeight w:val="261"/>
        </w:trPr>
        <w:tc>
          <w:tcPr>
            <w:tcW w:w="1140" w:type="dxa"/>
            <w:vAlign w:val="bottom"/>
          </w:tcPr>
          <w:p>
            <w:pPr>
              <w:spacing w:after="0"/>
              <w:rPr>
                <w:sz w:val="22"/>
                <w:szCs w:val="22"/>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currently in effect</w:t>
            </w:r>
          </w:p>
        </w:tc>
        <w:tc>
          <w:tcPr>
            <w:tcW w:w="8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3"/>
        </w:trPr>
        <w:tc>
          <w:tcPr>
            <w:tcW w:w="114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3.3</w:t>
            </w:r>
          </w:p>
        </w:tc>
        <w:tc>
          <w:tcPr>
            <w:tcW w:w="43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Amendment No. 1 to the Amended and Restated</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8-K</w:t>
            </w:r>
          </w:p>
        </w:tc>
        <w:tc>
          <w:tcPr>
            <w:tcW w:w="1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001-36083</w:t>
            </w: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3.1</w:t>
            </w:r>
          </w:p>
        </w:tc>
        <w:tc>
          <w:tcPr>
            <w:tcW w:w="1800" w:type="dxa"/>
            <w:vAlign w:val="bottom"/>
          </w:tcPr>
          <w:p>
            <w:pPr>
              <w:jc w:val="center"/>
              <w:ind w:left="2"/>
              <w:spacing w:after="0"/>
              <w:rPr>
                <w:sz w:val="20"/>
                <w:szCs w:val="20"/>
                <w:color w:val="auto"/>
              </w:rPr>
            </w:pPr>
            <w:r>
              <w:rPr>
                <w:rFonts w:ascii="Times New Roman" w:cs="Times New Roman" w:eastAsia="Times New Roman" w:hAnsi="Times New Roman"/>
                <w:sz w:val="20"/>
                <w:szCs w:val="20"/>
                <w:color w:val="auto"/>
                <w:w w:val="98"/>
              </w:rPr>
              <w:t>April 2, 2025</w:t>
            </w:r>
          </w:p>
        </w:tc>
        <w:tc>
          <w:tcPr>
            <w:tcW w:w="0" w:type="dxa"/>
            <w:vAlign w:val="bottom"/>
          </w:tcPr>
          <w:p>
            <w:pPr>
              <w:spacing w:after="0"/>
              <w:rPr>
                <w:sz w:val="1"/>
                <w:szCs w:val="1"/>
                <w:color w:val="auto"/>
              </w:rPr>
            </w:pPr>
          </w:p>
        </w:tc>
      </w:tr>
      <w:tr>
        <w:trPr>
          <w:trHeight w:val="261"/>
        </w:trPr>
        <w:tc>
          <w:tcPr>
            <w:tcW w:w="1140" w:type="dxa"/>
            <w:vAlign w:val="bottom"/>
          </w:tcPr>
          <w:p>
            <w:pPr>
              <w:spacing w:after="0"/>
              <w:rPr>
                <w:sz w:val="22"/>
                <w:szCs w:val="22"/>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By-laws of Applied Optoelectronics, Inc.</w:t>
            </w:r>
          </w:p>
        </w:tc>
        <w:tc>
          <w:tcPr>
            <w:tcW w:w="8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0"/>
        </w:trPr>
        <w:tc>
          <w:tcPr>
            <w:tcW w:w="114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4.1</w:t>
            </w:r>
          </w:p>
        </w:tc>
        <w:tc>
          <w:tcPr>
            <w:tcW w:w="43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Common Stock Specimen</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8-K</w:t>
            </w:r>
          </w:p>
        </w:tc>
        <w:tc>
          <w:tcPr>
            <w:tcW w:w="1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001-36083</w:t>
            </w: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4.1</w:t>
            </w:r>
          </w:p>
        </w:tc>
        <w:tc>
          <w:tcPr>
            <w:tcW w:w="1800" w:type="dxa"/>
            <w:vAlign w:val="bottom"/>
          </w:tcPr>
          <w:p>
            <w:pPr>
              <w:jc w:val="center"/>
              <w:ind w:left="22"/>
              <w:spacing w:after="0"/>
              <w:rPr>
                <w:sz w:val="20"/>
                <w:szCs w:val="20"/>
                <w:color w:val="auto"/>
              </w:rPr>
            </w:pPr>
            <w:r>
              <w:rPr>
                <w:rFonts w:ascii="Times New Roman" w:cs="Times New Roman" w:eastAsia="Times New Roman" w:hAnsi="Times New Roman"/>
                <w:sz w:val="20"/>
                <w:szCs w:val="20"/>
                <w:color w:val="auto"/>
                <w:w w:val="97"/>
              </w:rPr>
              <w:t>November 14, 2016</w:t>
            </w:r>
          </w:p>
        </w:tc>
        <w:tc>
          <w:tcPr>
            <w:tcW w:w="0" w:type="dxa"/>
            <w:vAlign w:val="bottom"/>
          </w:tcPr>
          <w:p>
            <w:pPr>
              <w:spacing w:after="0"/>
              <w:rPr>
                <w:sz w:val="1"/>
                <w:szCs w:val="1"/>
                <w:color w:val="auto"/>
              </w:rPr>
            </w:pPr>
          </w:p>
        </w:tc>
      </w:tr>
      <w:tr>
        <w:trPr>
          <w:trHeight w:val="440"/>
        </w:trPr>
        <w:tc>
          <w:tcPr>
            <w:tcW w:w="114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4.2</w:t>
            </w:r>
          </w:p>
        </w:tc>
        <w:tc>
          <w:tcPr>
            <w:tcW w:w="43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Indenture, dated as of December 23, 2024, between</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8-K</w:t>
            </w:r>
          </w:p>
        </w:tc>
        <w:tc>
          <w:tcPr>
            <w:tcW w:w="1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001-36083</w:t>
            </w: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4.1</w:t>
            </w:r>
          </w:p>
        </w:tc>
        <w:tc>
          <w:tcPr>
            <w:tcW w:w="1800" w:type="dxa"/>
            <w:vAlign w:val="bottom"/>
          </w:tcPr>
          <w:p>
            <w:pPr>
              <w:jc w:val="center"/>
              <w:ind w:left="2"/>
              <w:spacing w:after="0"/>
              <w:rPr>
                <w:sz w:val="20"/>
                <w:szCs w:val="20"/>
                <w:color w:val="auto"/>
              </w:rPr>
            </w:pPr>
            <w:r>
              <w:rPr>
                <w:rFonts w:ascii="Times New Roman" w:cs="Times New Roman" w:eastAsia="Times New Roman" w:hAnsi="Times New Roman"/>
                <w:sz w:val="20"/>
                <w:szCs w:val="20"/>
                <w:color w:val="auto"/>
                <w:w w:val="97"/>
              </w:rPr>
              <w:t>December 23, 2024</w:t>
            </w:r>
          </w:p>
        </w:tc>
        <w:tc>
          <w:tcPr>
            <w:tcW w:w="0" w:type="dxa"/>
            <w:vAlign w:val="bottom"/>
          </w:tcPr>
          <w:p>
            <w:pPr>
              <w:spacing w:after="0"/>
              <w:rPr>
                <w:sz w:val="1"/>
                <w:szCs w:val="1"/>
                <w:color w:val="auto"/>
              </w:rPr>
            </w:pPr>
          </w:p>
        </w:tc>
      </w:tr>
      <w:tr>
        <w:trPr>
          <w:trHeight w:val="226"/>
        </w:trPr>
        <w:tc>
          <w:tcPr>
            <w:tcW w:w="1140" w:type="dxa"/>
            <w:vAlign w:val="bottom"/>
          </w:tcPr>
          <w:p>
            <w:pPr>
              <w:spacing w:after="0"/>
              <w:rPr>
                <w:sz w:val="19"/>
                <w:szCs w:val="19"/>
                <w:color w:val="auto"/>
              </w:rPr>
            </w:pPr>
          </w:p>
        </w:tc>
        <w:tc>
          <w:tcPr>
            <w:tcW w:w="4340" w:type="dxa"/>
            <w:vAlign w:val="bottom"/>
          </w:tcPr>
          <w:p>
            <w:pPr>
              <w:ind w:left="40"/>
              <w:spacing w:after="0" w:line="226" w:lineRule="exact"/>
              <w:rPr>
                <w:sz w:val="20"/>
                <w:szCs w:val="20"/>
                <w:color w:val="auto"/>
              </w:rPr>
            </w:pPr>
            <w:r>
              <w:rPr>
                <w:rFonts w:ascii="Times New Roman" w:cs="Times New Roman" w:eastAsia="Times New Roman" w:hAnsi="Times New Roman"/>
                <w:sz w:val="20"/>
                <w:szCs w:val="20"/>
                <w:color w:val="auto"/>
              </w:rPr>
              <w:t>Applied Optoelectronics, Inc. and Computershare</w:t>
            </w:r>
          </w:p>
        </w:tc>
        <w:tc>
          <w:tcPr>
            <w:tcW w:w="8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140" w:type="dxa"/>
            <w:vAlign w:val="bottom"/>
          </w:tcPr>
          <w:p>
            <w:pPr>
              <w:spacing w:after="0"/>
              <w:rPr>
                <w:sz w:val="22"/>
                <w:szCs w:val="22"/>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Trust Company, N.A., as Trustee</w:t>
            </w:r>
          </w:p>
        </w:tc>
        <w:tc>
          <w:tcPr>
            <w:tcW w:w="8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4"/>
        </w:trPr>
        <w:tc>
          <w:tcPr>
            <w:tcW w:w="114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4.3</w:t>
            </w:r>
          </w:p>
        </w:tc>
        <w:tc>
          <w:tcPr>
            <w:tcW w:w="43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Form of 2.750% Convertible Senior Note due 2030</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8-K</w:t>
            </w:r>
          </w:p>
        </w:tc>
        <w:tc>
          <w:tcPr>
            <w:tcW w:w="1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001-36083</w:t>
            </w: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4.1</w:t>
            </w:r>
          </w:p>
        </w:tc>
        <w:tc>
          <w:tcPr>
            <w:tcW w:w="1800" w:type="dxa"/>
            <w:vAlign w:val="bottom"/>
          </w:tcPr>
          <w:p>
            <w:pPr>
              <w:jc w:val="center"/>
              <w:ind w:left="2"/>
              <w:spacing w:after="0"/>
              <w:rPr>
                <w:sz w:val="20"/>
                <w:szCs w:val="20"/>
                <w:color w:val="auto"/>
              </w:rPr>
            </w:pPr>
            <w:r>
              <w:rPr>
                <w:rFonts w:ascii="Times New Roman" w:cs="Times New Roman" w:eastAsia="Times New Roman" w:hAnsi="Times New Roman"/>
                <w:sz w:val="20"/>
                <w:szCs w:val="20"/>
                <w:color w:val="auto"/>
                <w:w w:val="97"/>
              </w:rPr>
              <w:t>December 23, 2024</w:t>
            </w:r>
          </w:p>
        </w:tc>
        <w:tc>
          <w:tcPr>
            <w:tcW w:w="0" w:type="dxa"/>
            <w:vAlign w:val="bottom"/>
          </w:tcPr>
          <w:p>
            <w:pPr>
              <w:spacing w:after="0"/>
              <w:rPr>
                <w:sz w:val="1"/>
                <w:szCs w:val="1"/>
                <w:color w:val="auto"/>
              </w:rPr>
            </w:pPr>
          </w:p>
        </w:tc>
      </w:tr>
      <w:tr>
        <w:trPr>
          <w:trHeight w:val="261"/>
        </w:trPr>
        <w:tc>
          <w:tcPr>
            <w:tcW w:w="1140" w:type="dxa"/>
            <w:vAlign w:val="bottom"/>
          </w:tcPr>
          <w:p>
            <w:pPr>
              <w:spacing w:after="0"/>
              <w:rPr>
                <w:sz w:val="22"/>
                <w:szCs w:val="22"/>
                <w:color w:val="auto"/>
              </w:rPr>
            </w:pPr>
          </w:p>
        </w:tc>
        <w:tc>
          <w:tcPr>
            <w:tcW w:w="43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Exhibit A</w:t>
            </w:r>
          </w:p>
        </w:tc>
        <w:tc>
          <w:tcPr>
            <w:tcW w:w="1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4"/>
        </w:trPr>
        <w:tc>
          <w:tcPr>
            <w:tcW w:w="114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4.4</w:t>
            </w:r>
          </w:p>
        </w:tc>
        <w:tc>
          <w:tcPr>
            <w:tcW w:w="43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First Supplemental Indenture, dated as of</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8-K</w:t>
            </w:r>
          </w:p>
        </w:tc>
        <w:tc>
          <w:tcPr>
            <w:tcW w:w="1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001-36083</w:t>
            </w: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4.3</w:t>
            </w:r>
          </w:p>
        </w:tc>
        <w:tc>
          <w:tcPr>
            <w:tcW w:w="1800" w:type="dxa"/>
            <w:vAlign w:val="bottom"/>
          </w:tcPr>
          <w:p>
            <w:pPr>
              <w:jc w:val="center"/>
              <w:ind w:left="2"/>
              <w:spacing w:after="0"/>
              <w:rPr>
                <w:sz w:val="20"/>
                <w:szCs w:val="20"/>
                <w:color w:val="auto"/>
              </w:rPr>
            </w:pPr>
            <w:r>
              <w:rPr>
                <w:rFonts w:ascii="Times New Roman" w:cs="Times New Roman" w:eastAsia="Times New Roman" w:hAnsi="Times New Roman"/>
                <w:sz w:val="20"/>
                <w:szCs w:val="20"/>
                <w:color w:val="auto"/>
                <w:w w:val="97"/>
              </w:rPr>
              <w:t>December 23, 2024</w:t>
            </w:r>
          </w:p>
        </w:tc>
        <w:tc>
          <w:tcPr>
            <w:tcW w:w="0" w:type="dxa"/>
            <w:vAlign w:val="bottom"/>
          </w:tcPr>
          <w:p>
            <w:pPr>
              <w:spacing w:after="0"/>
              <w:rPr>
                <w:sz w:val="1"/>
                <w:szCs w:val="1"/>
                <w:color w:val="auto"/>
              </w:rPr>
            </w:pPr>
          </w:p>
        </w:tc>
      </w:tr>
      <w:tr>
        <w:trPr>
          <w:trHeight w:val="226"/>
        </w:trPr>
        <w:tc>
          <w:tcPr>
            <w:tcW w:w="1140" w:type="dxa"/>
            <w:vAlign w:val="bottom"/>
          </w:tcPr>
          <w:p>
            <w:pPr>
              <w:spacing w:after="0"/>
              <w:rPr>
                <w:sz w:val="19"/>
                <w:szCs w:val="19"/>
                <w:color w:val="auto"/>
              </w:rPr>
            </w:pPr>
          </w:p>
        </w:tc>
        <w:tc>
          <w:tcPr>
            <w:tcW w:w="4340" w:type="dxa"/>
            <w:vAlign w:val="bottom"/>
          </w:tcPr>
          <w:p>
            <w:pPr>
              <w:ind w:left="40"/>
              <w:spacing w:after="0" w:line="226" w:lineRule="exact"/>
              <w:rPr>
                <w:sz w:val="20"/>
                <w:szCs w:val="20"/>
                <w:color w:val="auto"/>
              </w:rPr>
            </w:pPr>
            <w:r>
              <w:rPr>
                <w:rFonts w:ascii="Times New Roman" w:cs="Times New Roman" w:eastAsia="Times New Roman" w:hAnsi="Times New Roman"/>
                <w:sz w:val="20"/>
                <w:szCs w:val="20"/>
                <w:color w:val="auto"/>
              </w:rPr>
              <w:t>December 23, 2024, between Applied</w:t>
            </w:r>
          </w:p>
        </w:tc>
        <w:tc>
          <w:tcPr>
            <w:tcW w:w="8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140" w:type="dxa"/>
            <w:vAlign w:val="bottom"/>
          </w:tcPr>
          <w:p>
            <w:pPr>
              <w:spacing w:after="0"/>
              <w:rPr>
                <w:sz w:val="19"/>
                <w:szCs w:val="19"/>
                <w:color w:val="auto"/>
              </w:rPr>
            </w:pPr>
          </w:p>
        </w:tc>
        <w:tc>
          <w:tcPr>
            <w:tcW w:w="4340" w:type="dxa"/>
            <w:vAlign w:val="bottom"/>
          </w:tcPr>
          <w:p>
            <w:pPr>
              <w:ind w:left="40"/>
              <w:spacing w:after="0" w:line="226" w:lineRule="exact"/>
              <w:rPr>
                <w:sz w:val="20"/>
                <w:szCs w:val="20"/>
                <w:color w:val="auto"/>
              </w:rPr>
            </w:pPr>
            <w:r>
              <w:rPr>
                <w:rFonts w:ascii="Times New Roman" w:cs="Times New Roman" w:eastAsia="Times New Roman" w:hAnsi="Times New Roman"/>
                <w:sz w:val="20"/>
                <w:szCs w:val="20"/>
                <w:color w:val="auto"/>
              </w:rPr>
              <w:t>Optoelectronics, Inc. and Computershare Trust</w:t>
            </w:r>
          </w:p>
        </w:tc>
        <w:tc>
          <w:tcPr>
            <w:tcW w:w="8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140" w:type="dxa"/>
            <w:vAlign w:val="bottom"/>
          </w:tcPr>
          <w:p>
            <w:pPr>
              <w:spacing w:after="0"/>
              <w:rPr>
                <w:sz w:val="22"/>
                <w:szCs w:val="22"/>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Company, N.A., as Trustee</w:t>
            </w:r>
          </w:p>
        </w:tc>
        <w:tc>
          <w:tcPr>
            <w:tcW w:w="8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4"/>
        </w:trPr>
        <w:tc>
          <w:tcPr>
            <w:tcW w:w="114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4.5</w:t>
            </w:r>
          </w:p>
        </w:tc>
        <w:tc>
          <w:tcPr>
            <w:tcW w:w="43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Warrant to Purchase Common Stock of Applied</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8-K</w:t>
            </w:r>
          </w:p>
        </w:tc>
        <w:tc>
          <w:tcPr>
            <w:tcW w:w="1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001-36083</w:t>
            </w: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4.1</w:t>
            </w:r>
          </w:p>
        </w:tc>
        <w:tc>
          <w:tcPr>
            <w:tcW w:w="1800" w:type="dxa"/>
            <w:vAlign w:val="bottom"/>
          </w:tcPr>
          <w:p>
            <w:pPr>
              <w:jc w:val="center"/>
              <w:ind w:left="2"/>
              <w:spacing w:after="0"/>
              <w:rPr>
                <w:sz w:val="20"/>
                <w:szCs w:val="20"/>
                <w:color w:val="auto"/>
              </w:rPr>
            </w:pPr>
            <w:r>
              <w:rPr>
                <w:rFonts w:ascii="Times New Roman" w:cs="Times New Roman" w:eastAsia="Times New Roman" w:hAnsi="Times New Roman"/>
                <w:sz w:val="20"/>
                <w:szCs w:val="20"/>
                <w:color w:val="auto"/>
                <w:w w:val="99"/>
              </w:rPr>
              <w:t>March 13, 2025</w:t>
            </w:r>
          </w:p>
        </w:tc>
        <w:tc>
          <w:tcPr>
            <w:tcW w:w="0" w:type="dxa"/>
            <w:vAlign w:val="bottom"/>
          </w:tcPr>
          <w:p>
            <w:pPr>
              <w:spacing w:after="0"/>
              <w:rPr>
                <w:sz w:val="1"/>
                <w:szCs w:val="1"/>
                <w:color w:val="auto"/>
              </w:rPr>
            </w:pPr>
          </w:p>
        </w:tc>
      </w:tr>
      <w:tr>
        <w:trPr>
          <w:trHeight w:val="226"/>
        </w:trPr>
        <w:tc>
          <w:tcPr>
            <w:tcW w:w="1140" w:type="dxa"/>
            <w:vAlign w:val="bottom"/>
          </w:tcPr>
          <w:p>
            <w:pPr>
              <w:spacing w:after="0"/>
              <w:rPr>
                <w:sz w:val="19"/>
                <w:szCs w:val="19"/>
                <w:color w:val="auto"/>
              </w:rPr>
            </w:pPr>
          </w:p>
        </w:tc>
        <w:tc>
          <w:tcPr>
            <w:tcW w:w="4340" w:type="dxa"/>
            <w:vAlign w:val="bottom"/>
          </w:tcPr>
          <w:p>
            <w:pPr>
              <w:ind w:left="40"/>
              <w:spacing w:after="0" w:line="226" w:lineRule="exact"/>
              <w:rPr>
                <w:sz w:val="20"/>
                <w:szCs w:val="20"/>
                <w:color w:val="auto"/>
              </w:rPr>
            </w:pPr>
            <w:r>
              <w:rPr>
                <w:rFonts w:ascii="Times New Roman" w:cs="Times New Roman" w:eastAsia="Times New Roman" w:hAnsi="Times New Roman"/>
                <w:sz w:val="20"/>
                <w:szCs w:val="20"/>
                <w:color w:val="auto"/>
              </w:rPr>
              <w:t>Optoelectronics, Inc. by and between Applied</w:t>
            </w:r>
          </w:p>
        </w:tc>
        <w:tc>
          <w:tcPr>
            <w:tcW w:w="8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140" w:type="dxa"/>
            <w:vAlign w:val="bottom"/>
          </w:tcPr>
          <w:p>
            <w:pPr>
              <w:spacing w:after="0"/>
              <w:rPr>
                <w:sz w:val="19"/>
                <w:szCs w:val="19"/>
                <w:color w:val="auto"/>
              </w:rPr>
            </w:pPr>
          </w:p>
        </w:tc>
        <w:tc>
          <w:tcPr>
            <w:tcW w:w="4340" w:type="dxa"/>
            <w:vAlign w:val="bottom"/>
          </w:tcPr>
          <w:p>
            <w:pPr>
              <w:ind w:left="40"/>
              <w:spacing w:after="0" w:line="226" w:lineRule="exact"/>
              <w:rPr>
                <w:sz w:val="20"/>
                <w:szCs w:val="20"/>
                <w:color w:val="auto"/>
              </w:rPr>
            </w:pPr>
            <w:r>
              <w:rPr>
                <w:rFonts w:ascii="Times New Roman" w:cs="Times New Roman" w:eastAsia="Times New Roman" w:hAnsi="Times New Roman"/>
                <w:sz w:val="20"/>
                <w:szCs w:val="20"/>
                <w:color w:val="auto"/>
              </w:rPr>
              <w:t>Optoelectronics, Inc. and Amazon.com NV</w:t>
            </w:r>
          </w:p>
        </w:tc>
        <w:tc>
          <w:tcPr>
            <w:tcW w:w="8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140" w:type="dxa"/>
            <w:vAlign w:val="bottom"/>
          </w:tcPr>
          <w:p>
            <w:pPr>
              <w:spacing w:after="0"/>
              <w:rPr>
                <w:sz w:val="19"/>
                <w:szCs w:val="19"/>
                <w:color w:val="auto"/>
              </w:rPr>
            </w:pPr>
          </w:p>
        </w:tc>
        <w:tc>
          <w:tcPr>
            <w:tcW w:w="4340" w:type="dxa"/>
            <w:vAlign w:val="bottom"/>
          </w:tcPr>
          <w:p>
            <w:pPr>
              <w:ind w:left="40"/>
              <w:spacing w:after="0" w:line="226" w:lineRule="exact"/>
              <w:rPr>
                <w:sz w:val="20"/>
                <w:szCs w:val="20"/>
                <w:color w:val="auto"/>
              </w:rPr>
            </w:pPr>
            <w:r>
              <w:rPr>
                <w:rFonts w:ascii="Times New Roman" w:cs="Times New Roman" w:eastAsia="Times New Roman" w:hAnsi="Times New Roman"/>
                <w:sz w:val="20"/>
                <w:szCs w:val="20"/>
                <w:color w:val="auto"/>
              </w:rPr>
              <w:t>Investment Holdings LLC, dated as of March 13,</w:t>
            </w:r>
          </w:p>
        </w:tc>
        <w:tc>
          <w:tcPr>
            <w:tcW w:w="8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140" w:type="dxa"/>
            <w:vAlign w:val="bottom"/>
          </w:tcPr>
          <w:p>
            <w:pPr>
              <w:spacing w:after="0"/>
              <w:rPr>
                <w:sz w:val="22"/>
                <w:szCs w:val="22"/>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2025</w:t>
            </w:r>
          </w:p>
        </w:tc>
        <w:tc>
          <w:tcPr>
            <w:tcW w:w="8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9"/>
        </w:trPr>
        <w:tc>
          <w:tcPr>
            <w:tcW w:w="114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4.6*</w:t>
            </w:r>
          </w:p>
        </w:tc>
        <w:tc>
          <w:tcPr>
            <w:tcW w:w="43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Description of the Company's Common Stock</w:t>
            </w:r>
          </w:p>
        </w:tc>
        <w:tc>
          <w:tcPr>
            <w:tcW w:w="8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w:t>
            </w:r>
          </w:p>
        </w:tc>
        <w:tc>
          <w:tcPr>
            <w:tcW w:w="43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Form of Indemnification Agreement between the</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3"/>
              </w:rPr>
              <w:t>S-1</w:t>
            </w:r>
          </w:p>
        </w:tc>
        <w:tc>
          <w:tcPr>
            <w:tcW w:w="1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333-190591</w:t>
            </w: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10.1</w:t>
            </w:r>
          </w:p>
        </w:tc>
        <w:tc>
          <w:tcPr>
            <w:tcW w:w="1800" w:type="dxa"/>
            <w:vAlign w:val="bottom"/>
          </w:tcPr>
          <w:p>
            <w:pPr>
              <w:jc w:val="center"/>
              <w:ind w:left="2"/>
              <w:spacing w:after="0"/>
              <w:rPr>
                <w:sz w:val="20"/>
                <w:szCs w:val="20"/>
                <w:color w:val="auto"/>
              </w:rPr>
            </w:pPr>
            <w:r>
              <w:rPr>
                <w:rFonts w:ascii="Times New Roman" w:cs="Times New Roman" w:eastAsia="Times New Roman" w:hAnsi="Times New Roman"/>
                <w:sz w:val="20"/>
                <w:szCs w:val="20"/>
                <w:color w:val="auto"/>
                <w:w w:val="97"/>
              </w:rPr>
              <w:t>August 13, 2013</w:t>
            </w:r>
          </w:p>
        </w:tc>
        <w:tc>
          <w:tcPr>
            <w:tcW w:w="0" w:type="dxa"/>
            <w:vAlign w:val="bottom"/>
          </w:tcPr>
          <w:p>
            <w:pPr>
              <w:spacing w:after="0"/>
              <w:rPr>
                <w:sz w:val="1"/>
                <w:szCs w:val="1"/>
                <w:color w:val="auto"/>
              </w:rPr>
            </w:pPr>
          </w:p>
        </w:tc>
      </w:tr>
      <w:tr>
        <w:trPr>
          <w:trHeight w:val="226"/>
        </w:trPr>
        <w:tc>
          <w:tcPr>
            <w:tcW w:w="1140" w:type="dxa"/>
            <w:vAlign w:val="bottom"/>
          </w:tcPr>
          <w:p>
            <w:pPr>
              <w:spacing w:after="0"/>
              <w:rPr>
                <w:sz w:val="19"/>
                <w:szCs w:val="19"/>
                <w:color w:val="auto"/>
              </w:rPr>
            </w:pPr>
          </w:p>
        </w:tc>
        <w:tc>
          <w:tcPr>
            <w:tcW w:w="4340" w:type="dxa"/>
            <w:vAlign w:val="bottom"/>
          </w:tcPr>
          <w:p>
            <w:pPr>
              <w:ind w:left="40"/>
              <w:spacing w:after="0" w:line="226" w:lineRule="exact"/>
              <w:rPr>
                <w:sz w:val="20"/>
                <w:szCs w:val="20"/>
                <w:color w:val="auto"/>
              </w:rPr>
            </w:pPr>
            <w:r>
              <w:rPr>
                <w:rFonts w:ascii="Times New Roman" w:cs="Times New Roman" w:eastAsia="Times New Roman" w:hAnsi="Times New Roman"/>
                <w:sz w:val="20"/>
                <w:szCs w:val="20"/>
                <w:color w:val="auto"/>
              </w:rPr>
              <w:t>registrant each of its Directors and certain of its</w:t>
            </w:r>
          </w:p>
        </w:tc>
        <w:tc>
          <w:tcPr>
            <w:tcW w:w="8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140" w:type="dxa"/>
            <w:vAlign w:val="bottom"/>
          </w:tcPr>
          <w:p>
            <w:pPr>
              <w:spacing w:after="0"/>
              <w:rPr>
                <w:sz w:val="22"/>
                <w:szCs w:val="22"/>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Executive Officers</w:t>
            </w:r>
          </w:p>
        </w:tc>
        <w:tc>
          <w:tcPr>
            <w:tcW w:w="8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9"/>
        </w:trPr>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w:t>
            </w:r>
          </w:p>
        </w:tc>
        <w:tc>
          <w:tcPr>
            <w:tcW w:w="43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Amended and Restated 2021 Equity Incentive Plan</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3"/>
              </w:rPr>
              <w:t>S-8</w:t>
            </w:r>
          </w:p>
        </w:tc>
        <w:tc>
          <w:tcPr>
            <w:tcW w:w="1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333-286464</w:t>
            </w: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99.1</w:t>
            </w:r>
          </w:p>
        </w:tc>
        <w:tc>
          <w:tcPr>
            <w:tcW w:w="1800" w:type="dxa"/>
            <w:vAlign w:val="bottom"/>
          </w:tcPr>
          <w:p>
            <w:pPr>
              <w:jc w:val="center"/>
              <w:ind w:left="2"/>
              <w:spacing w:after="0"/>
              <w:rPr>
                <w:sz w:val="20"/>
                <w:szCs w:val="20"/>
                <w:color w:val="auto"/>
              </w:rPr>
            </w:pPr>
            <w:r>
              <w:rPr>
                <w:rFonts w:ascii="Times New Roman" w:cs="Times New Roman" w:eastAsia="Times New Roman" w:hAnsi="Times New Roman"/>
                <w:sz w:val="20"/>
                <w:szCs w:val="20"/>
                <w:color w:val="auto"/>
                <w:w w:val="97"/>
              </w:rPr>
              <w:t>April 10, 2025</w:t>
            </w:r>
          </w:p>
        </w:tc>
        <w:tc>
          <w:tcPr>
            <w:tcW w:w="0" w:type="dxa"/>
            <w:vAlign w:val="bottom"/>
          </w:tcPr>
          <w:p>
            <w:pPr>
              <w:spacing w:after="0"/>
              <w:rPr>
                <w:sz w:val="1"/>
                <w:szCs w:val="1"/>
                <w:color w:val="auto"/>
              </w:rPr>
            </w:pPr>
          </w:p>
        </w:tc>
      </w:tr>
      <w:tr>
        <w:trPr>
          <w:trHeight w:val="454"/>
        </w:trPr>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10.2.1†</w:t>
            </w:r>
          </w:p>
        </w:tc>
        <w:tc>
          <w:tcPr>
            <w:tcW w:w="43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Form of Restricted Stock Unit Award Agreement</w:t>
            </w:r>
          </w:p>
        </w:tc>
        <w:tc>
          <w:tcPr>
            <w:tcW w:w="820" w:type="dxa"/>
            <w:vAlign w:val="bottom"/>
          </w:tcPr>
          <w:p>
            <w:pPr>
              <w:jc w:val="center"/>
              <w:ind w:right="2"/>
              <w:spacing w:after="0"/>
              <w:rPr>
                <w:sz w:val="20"/>
                <w:szCs w:val="20"/>
                <w:color w:val="auto"/>
              </w:rPr>
            </w:pPr>
            <w:r>
              <w:rPr>
                <w:rFonts w:ascii="Times New Roman" w:cs="Times New Roman" w:eastAsia="Times New Roman" w:hAnsi="Times New Roman"/>
                <w:sz w:val="20"/>
                <w:szCs w:val="20"/>
                <w:color w:val="auto"/>
                <w:w w:val="97"/>
              </w:rPr>
              <w:t>10-Q</w:t>
            </w:r>
          </w:p>
        </w:tc>
        <w:tc>
          <w:tcPr>
            <w:tcW w:w="1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001-36083</w:t>
            </w: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10.4.1</w:t>
            </w:r>
          </w:p>
        </w:tc>
        <w:tc>
          <w:tcPr>
            <w:tcW w:w="1800" w:type="dxa"/>
            <w:vAlign w:val="bottom"/>
          </w:tcPr>
          <w:p>
            <w:pPr>
              <w:jc w:val="center"/>
              <w:ind w:left="2"/>
              <w:spacing w:after="0"/>
              <w:rPr>
                <w:sz w:val="20"/>
                <w:szCs w:val="20"/>
                <w:color w:val="auto"/>
              </w:rPr>
            </w:pPr>
            <w:r>
              <w:rPr>
                <w:rFonts w:ascii="Times New Roman" w:cs="Times New Roman" w:eastAsia="Times New Roman" w:hAnsi="Times New Roman"/>
                <w:sz w:val="20"/>
                <w:szCs w:val="20"/>
                <w:color w:val="auto"/>
                <w:w w:val="99"/>
              </w:rPr>
              <w:t>August 5, 2021</w:t>
            </w:r>
          </w:p>
        </w:tc>
        <w:tc>
          <w:tcPr>
            <w:tcW w:w="0" w:type="dxa"/>
            <w:vAlign w:val="bottom"/>
          </w:tcPr>
          <w:p>
            <w:pPr>
              <w:spacing w:after="0"/>
              <w:rPr>
                <w:sz w:val="1"/>
                <w:szCs w:val="1"/>
                <w:color w:val="auto"/>
              </w:rPr>
            </w:pPr>
          </w:p>
        </w:tc>
      </w:tr>
      <w:tr>
        <w:trPr>
          <w:trHeight w:val="261"/>
        </w:trPr>
        <w:tc>
          <w:tcPr>
            <w:tcW w:w="1140" w:type="dxa"/>
            <w:vAlign w:val="bottom"/>
          </w:tcPr>
          <w:p>
            <w:pPr>
              <w:spacing w:after="0"/>
              <w:rPr>
                <w:sz w:val="22"/>
                <w:szCs w:val="22"/>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under 2021 Equity Incentive Plan</w:t>
            </w:r>
          </w:p>
        </w:tc>
        <w:tc>
          <w:tcPr>
            <w:tcW w:w="8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6"/>
        </w:trPr>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10.2.2†</w:t>
            </w:r>
          </w:p>
        </w:tc>
        <w:tc>
          <w:tcPr>
            <w:tcW w:w="43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Form of Performance Restricted Stock Unit Award</w:t>
            </w:r>
          </w:p>
        </w:tc>
        <w:tc>
          <w:tcPr>
            <w:tcW w:w="820" w:type="dxa"/>
            <w:vAlign w:val="bottom"/>
          </w:tcPr>
          <w:p>
            <w:pPr>
              <w:jc w:val="center"/>
              <w:ind w:right="2"/>
              <w:spacing w:after="0"/>
              <w:rPr>
                <w:sz w:val="20"/>
                <w:szCs w:val="20"/>
                <w:color w:val="auto"/>
              </w:rPr>
            </w:pPr>
            <w:r>
              <w:rPr>
                <w:rFonts w:ascii="Times New Roman" w:cs="Times New Roman" w:eastAsia="Times New Roman" w:hAnsi="Times New Roman"/>
                <w:sz w:val="20"/>
                <w:szCs w:val="20"/>
                <w:color w:val="auto"/>
                <w:w w:val="97"/>
              </w:rPr>
              <w:t>10-Q</w:t>
            </w:r>
          </w:p>
        </w:tc>
        <w:tc>
          <w:tcPr>
            <w:tcW w:w="1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001-36083</w:t>
            </w: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10.4.2</w:t>
            </w:r>
          </w:p>
        </w:tc>
        <w:tc>
          <w:tcPr>
            <w:tcW w:w="1800" w:type="dxa"/>
            <w:vAlign w:val="bottom"/>
          </w:tcPr>
          <w:p>
            <w:pPr>
              <w:jc w:val="center"/>
              <w:ind w:left="2"/>
              <w:spacing w:after="0"/>
              <w:rPr>
                <w:sz w:val="20"/>
                <w:szCs w:val="20"/>
                <w:color w:val="auto"/>
              </w:rPr>
            </w:pPr>
            <w:r>
              <w:rPr>
                <w:rFonts w:ascii="Times New Roman" w:cs="Times New Roman" w:eastAsia="Times New Roman" w:hAnsi="Times New Roman"/>
                <w:sz w:val="20"/>
                <w:szCs w:val="20"/>
                <w:color w:val="auto"/>
                <w:w w:val="99"/>
              </w:rPr>
              <w:t>August 5, 2021</w:t>
            </w:r>
          </w:p>
        </w:tc>
        <w:tc>
          <w:tcPr>
            <w:tcW w:w="0" w:type="dxa"/>
            <w:vAlign w:val="bottom"/>
          </w:tcPr>
          <w:p>
            <w:pPr>
              <w:spacing w:after="0"/>
              <w:rPr>
                <w:sz w:val="1"/>
                <w:szCs w:val="1"/>
                <w:color w:val="auto"/>
              </w:rPr>
            </w:pPr>
          </w:p>
        </w:tc>
      </w:tr>
      <w:tr>
        <w:trPr>
          <w:trHeight w:val="261"/>
        </w:trPr>
        <w:tc>
          <w:tcPr>
            <w:tcW w:w="1140" w:type="dxa"/>
            <w:vAlign w:val="bottom"/>
          </w:tcPr>
          <w:p>
            <w:pPr>
              <w:spacing w:after="0"/>
              <w:rPr>
                <w:sz w:val="22"/>
                <w:szCs w:val="22"/>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Agreement under 2021 Equity Incentive Plan</w:t>
            </w:r>
          </w:p>
        </w:tc>
        <w:tc>
          <w:tcPr>
            <w:tcW w:w="8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4"/>
        </w:trPr>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w:t>
            </w:r>
          </w:p>
        </w:tc>
        <w:tc>
          <w:tcPr>
            <w:tcW w:w="43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Applied Optoelectronic, Inc. 2023 Equity</w:t>
            </w:r>
          </w:p>
        </w:tc>
        <w:tc>
          <w:tcPr>
            <w:tcW w:w="820" w:type="dxa"/>
            <w:vAlign w:val="bottom"/>
          </w:tcPr>
          <w:p>
            <w:pPr>
              <w:jc w:val="center"/>
              <w:ind w:right="2"/>
              <w:spacing w:after="0"/>
              <w:rPr>
                <w:sz w:val="20"/>
                <w:szCs w:val="20"/>
                <w:color w:val="auto"/>
              </w:rPr>
            </w:pPr>
            <w:r>
              <w:rPr>
                <w:rFonts w:ascii="Times New Roman" w:cs="Times New Roman" w:eastAsia="Times New Roman" w:hAnsi="Times New Roman"/>
                <w:sz w:val="20"/>
                <w:szCs w:val="20"/>
                <w:color w:val="auto"/>
                <w:w w:val="97"/>
              </w:rPr>
              <w:t>10-Q</w:t>
            </w:r>
          </w:p>
        </w:tc>
        <w:tc>
          <w:tcPr>
            <w:tcW w:w="1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001-36083</w:t>
            </w: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10.1</w:t>
            </w:r>
          </w:p>
        </w:tc>
        <w:tc>
          <w:tcPr>
            <w:tcW w:w="1800" w:type="dxa"/>
            <w:vAlign w:val="bottom"/>
          </w:tcPr>
          <w:p>
            <w:pPr>
              <w:jc w:val="center"/>
              <w:ind w:left="2"/>
              <w:spacing w:after="0"/>
              <w:rPr>
                <w:sz w:val="20"/>
                <w:szCs w:val="20"/>
                <w:color w:val="auto"/>
              </w:rPr>
            </w:pPr>
            <w:r>
              <w:rPr>
                <w:rFonts w:ascii="Times New Roman" w:cs="Times New Roman" w:eastAsia="Times New Roman" w:hAnsi="Times New Roman"/>
                <w:sz w:val="20"/>
                <w:szCs w:val="20"/>
                <w:color w:val="auto"/>
                <w:w w:val="97"/>
              </w:rPr>
              <w:t>November 9, 2023</w:t>
            </w:r>
          </w:p>
        </w:tc>
        <w:tc>
          <w:tcPr>
            <w:tcW w:w="0" w:type="dxa"/>
            <w:vAlign w:val="bottom"/>
          </w:tcPr>
          <w:p>
            <w:pPr>
              <w:spacing w:after="0"/>
              <w:rPr>
                <w:sz w:val="1"/>
                <w:szCs w:val="1"/>
                <w:color w:val="auto"/>
              </w:rPr>
            </w:pPr>
          </w:p>
        </w:tc>
      </w:tr>
      <w:tr>
        <w:trPr>
          <w:trHeight w:val="261"/>
        </w:trPr>
        <w:tc>
          <w:tcPr>
            <w:tcW w:w="1140" w:type="dxa"/>
            <w:vAlign w:val="bottom"/>
          </w:tcPr>
          <w:p>
            <w:pPr>
              <w:spacing w:after="0"/>
              <w:rPr>
                <w:sz w:val="22"/>
                <w:szCs w:val="22"/>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Inducement Plan</w:t>
            </w:r>
          </w:p>
        </w:tc>
        <w:tc>
          <w:tcPr>
            <w:tcW w:w="8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4"/>
        </w:trPr>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w:t>
            </w:r>
          </w:p>
        </w:tc>
        <w:tc>
          <w:tcPr>
            <w:tcW w:w="43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Amended and Restated Employment Agreement</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3"/>
              </w:rPr>
              <w:t>S-1</w:t>
            </w:r>
          </w:p>
        </w:tc>
        <w:tc>
          <w:tcPr>
            <w:tcW w:w="1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333-190591</w:t>
            </w: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10.12.1</w:t>
            </w:r>
          </w:p>
        </w:tc>
        <w:tc>
          <w:tcPr>
            <w:tcW w:w="1800" w:type="dxa"/>
            <w:vAlign w:val="bottom"/>
          </w:tcPr>
          <w:p>
            <w:pPr>
              <w:jc w:val="center"/>
              <w:ind w:left="2"/>
              <w:spacing w:after="0"/>
              <w:rPr>
                <w:sz w:val="20"/>
                <w:szCs w:val="20"/>
                <w:color w:val="auto"/>
              </w:rPr>
            </w:pPr>
            <w:r>
              <w:rPr>
                <w:rFonts w:ascii="Times New Roman" w:cs="Times New Roman" w:eastAsia="Times New Roman" w:hAnsi="Times New Roman"/>
                <w:sz w:val="20"/>
                <w:szCs w:val="20"/>
                <w:color w:val="auto"/>
                <w:w w:val="97"/>
              </w:rPr>
              <w:t>August 13, 2013</w:t>
            </w:r>
          </w:p>
        </w:tc>
        <w:tc>
          <w:tcPr>
            <w:tcW w:w="0" w:type="dxa"/>
            <w:vAlign w:val="bottom"/>
          </w:tcPr>
          <w:p>
            <w:pPr>
              <w:spacing w:after="0"/>
              <w:rPr>
                <w:sz w:val="1"/>
                <w:szCs w:val="1"/>
                <w:color w:val="auto"/>
              </w:rPr>
            </w:pPr>
          </w:p>
        </w:tc>
      </w:tr>
      <w:tr>
        <w:trPr>
          <w:trHeight w:val="226"/>
        </w:trPr>
        <w:tc>
          <w:tcPr>
            <w:tcW w:w="1140" w:type="dxa"/>
            <w:vAlign w:val="bottom"/>
          </w:tcPr>
          <w:p>
            <w:pPr>
              <w:spacing w:after="0"/>
              <w:rPr>
                <w:sz w:val="19"/>
                <w:szCs w:val="19"/>
                <w:color w:val="auto"/>
              </w:rPr>
            </w:pPr>
          </w:p>
        </w:tc>
        <w:tc>
          <w:tcPr>
            <w:tcW w:w="4340" w:type="dxa"/>
            <w:vAlign w:val="bottom"/>
          </w:tcPr>
          <w:p>
            <w:pPr>
              <w:ind w:left="40"/>
              <w:spacing w:after="0" w:line="226" w:lineRule="exact"/>
              <w:rPr>
                <w:sz w:val="20"/>
                <w:szCs w:val="20"/>
                <w:color w:val="auto"/>
              </w:rPr>
            </w:pPr>
            <w:r>
              <w:rPr>
                <w:rFonts w:ascii="Times New Roman" w:cs="Times New Roman" w:eastAsia="Times New Roman" w:hAnsi="Times New Roman"/>
                <w:sz w:val="20"/>
                <w:szCs w:val="20"/>
                <w:color w:val="auto"/>
              </w:rPr>
              <w:t>regarding Change of Control or Separation of</w:t>
            </w:r>
          </w:p>
        </w:tc>
        <w:tc>
          <w:tcPr>
            <w:tcW w:w="8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140" w:type="dxa"/>
            <w:vAlign w:val="bottom"/>
          </w:tcPr>
          <w:p>
            <w:pPr>
              <w:spacing w:after="0"/>
              <w:rPr>
                <w:sz w:val="19"/>
                <w:szCs w:val="19"/>
                <w:color w:val="auto"/>
              </w:rPr>
            </w:pPr>
          </w:p>
        </w:tc>
        <w:tc>
          <w:tcPr>
            <w:tcW w:w="4340" w:type="dxa"/>
            <w:vAlign w:val="bottom"/>
          </w:tcPr>
          <w:p>
            <w:pPr>
              <w:ind w:left="40"/>
              <w:spacing w:after="0" w:line="226" w:lineRule="exact"/>
              <w:rPr>
                <w:sz w:val="20"/>
                <w:szCs w:val="20"/>
                <w:color w:val="auto"/>
              </w:rPr>
            </w:pPr>
            <w:r>
              <w:rPr>
                <w:rFonts w:ascii="Times New Roman" w:cs="Times New Roman" w:eastAsia="Times New Roman" w:hAnsi="Times New Roman"/>
                <w:sz w:val="20"/>
                <w:szCs w:val="20"/>
                <w:color w:val="auto"/>
              </w:rPr>
              <w:t>Service between the registrant and Chih-Hsiang</w:t>
            </w:r>
          </w:p>
        </w:tc>
        <w:tc>
          <w:tcPr>
            <w:tcW w:w="8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140" w:type="dxa"/>
            <w:vAlign w:val="bottom"/>
          </w:tcPr>
          <w:p>
            <w:pPr>
              <w:spacing w:after="0"/>
              <w:rPr>
                <w:sz w:val="22"/>
                <w:szCs w:val="22"/>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(Thompson) Lin, dated April 16, 2013</w:t>
            </w:r>
          </w:p>
        </w:tc>
        <w:tc>
          <w:tcPr>
            <w:tcW w:w="8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4"/>
        </w:trPr>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w:t>
            </w:r>
          </w:p>
        </w:tc>
        <w:tc>
          <w:tcPr>
            <w:tcW w:w="43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Employment Agreement, dated August 5, 2016,</w:t>
            </w:r>
          </w:p>
        </w:tc>
        <w:tc>
          <w:tcPr>
            <w:tcW w:w="820" w:type="dxa"/>
            <w:vAlign w:val="bottom"/>
          </w:tcPr>
          <w:p>
            <w:pPr>
              <w:jc w:val="center"/>
              <w:ind w:right="2"/>
              <w:spacing w:after="0"/>
              <w:rPr>
                <w:sz w:val="20"/>
                <w:szCs w:val="20"/>
                <w:color w:val="auto"/>
              </w:rPr>
            </w:pPr>
            <w:r>
              <w:rPr>
                <w:rFonts w:ascii="Times New Roman" w:cs="Times New Roman" w:eastAsia="Times New Roman" w:hAnsi="Times New Roman"/>
                <w:sz w:val="20"/>
                <w:szCs w:val="20"/>
                <w:color w:val="auto"/>
                <w:w w:val="98"/>
              </w:rPr>
              <w:t>10-Q/A</w:t>
            </w:r>
          </w:p>
        </w:tc>
        <w:tc>
          <w:tcPr>
            <w:tcW w:w="1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001-36083</w:t>
            </w: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10.20</w:t>
            </w:r>
          </w:p>
        </w:tc>
        <w:tc>
          <w:tcPr>
            <w:tcW w:w="1800" w:type="dxa"/>
            <w:vAlign w:val="bottom"/>
          </w:tcPr>
          <w:p>
            <w:pPr>
              <w:jc w:val="center"/>
              <w:ind w:left="2"/>
              <w:spacing w:after="0"/>
              <w:rPr>
                <w:sz w:val="20"/>
                <w:szCs w:val="20"/>
                <w:color w:val="auto"/>
              </w:rPr>
            </w:pPr>
            <w:r>
              <w:rPr>
                <w:rFonts w:ascii="Times New Roman" w:cs="Times New Roman" w:eastAsia="Times New Roman" w:hAnsi="Times New Roman"/>
                <w:sz w:val="20"/>
                <w:szCs w:val="20"/>
                <w:color w:val="auto"/>
                <w:w w:val="99"/>
              </w:rPr>
              <w:t>August 9, 2016</w:t>
            </w:r>
          </w:p>
        </w:tc>
        <w:tc>
          <w:tcPr>
            <w:tcW w:w="0" w:type="dxa"/>
            <w:vAlign w:val="bottom"/>
          </w:tcPr>
          <w:p>
            <w:pPr>
              <w:spacing w:after="0"/>
              <w:rPr>
                <w:sz w:val="1"/>
                <w:szCs w:val="1"/>
                <w:color w:val="auto"/>
              </w:rPr>
            </w:pPr>
          </w:p>
        </w:tc>
      </w:tr>
      <w:tr>
        <w:trPr>
          <w:trHeight w:val="226"/>
        </w:trPr>
        <w:tc>
          <w:tcPr>
            <w:tcW w:w="1140" w:type="dxa"/>
            <w:vAlign w:val="bottom"/>
          </w:tcPr>
          <w:p>
            <w:pPr>
              <w:spacing w:after="0"/>
              <w:rPr>
                <w:sz w:val="19"/>
                <w:szCs w:val="19"/>
                <w:color w:val="auto"/>
              </w:rPr>
            </w:pPr>
          </w:p>
        </w:tc>
        <w:tc>
          <w:tcPr>
            <w:tcW w:w="4340" w:type="dxa"/>
            <w:vAlign w:val="bottom"/>
          </w:tcPr>
          <w:p>
            <w:pPr>
              <w:ind w:left="40"/>
              <w:spacing w:after="0" w:line="226" w:lineRule="exact"/>
              <w:rPr>
                <w:sz w:val="20"/>
                <w:szCs w:val="20"/>
                <w:color w:val="auto"/>
              </w:rPr>
            </w:pPr>
            <w:r>
              <w:rPr>
                <w:rFonts w:ascii="Times New Roman" w:cs="Times New Roman" w:eastAsia="Times New Roman" w:hAnsi="Times New Roman"/>
                <w:sz w:val="20"/>
                <w:szCs w:val="20"/>
                <w:color w:val="auto"/>
              </w:rPr>
              <w:t xml:space="preserve">between Applied </w:t>
            </w:r>
            <w:r>
              <w:rPr>
                <w:rFonts w:ascii="Times New Roman" w:cs="Times New Roman" w:eastAsia="Times New Roman" w:hAnsi="Times New Roman"/>
                <w:sz w:val="19"/>
                <w:szCs w:val="19"/>
                <w:color w:val="auto"/>
              </w:rPr>
              <w:t>Optoelectronics, Inc. and Stefan J.</w:t>
            </w:r>
          </w:p>
        </w:tc>
        <w:tc>
          <w:tcPr>
            <w:tcW w:w="8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140" w:type="dxa"/>
            <w:vAlign w:val="bottom"/>
          </w:tcPr>
          <w:p>
            <w:pPr>
              <w:spacing w:after="0"/>
              <w:rPr>
                <w:sz w:val="22"/>
                <w:szCs w:val="22"/>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Murry</w:t>
            </w:r>
          </w:p>
        </w:tc>
        <w:tc>
          <w:tcPr>
            <w:tcW w:w="8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480"/>
          </w:cols>
          <w:pgMar w:left="660" w:top="407"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52</w:t>
      </w:r>
    </w:p>
    <w:p>
      <w:pPr>
        <w:sectPr>
          <w:pgSz w:w="11880" w:h="15480" w:orient="portrait"/>
          <w:cols w:equalWidth="0" w:num="1">
            <w:col w:w="10480"/>
          </w:cols>
          <w:pgMar w:left="660" w:top="407" w:right="740" w:bottom="0" w:gutter="0" w:footer="0" w:header="0"/>
          <w:type w:val="continuous"/>
        </w:sectPr>
      </w:pPr>
    </w:p>
    <w:bookmarkStart w:id="54" w:name="page55"/>
    <w:bookmarkEnd w:id="54"/>
    <w:tbl>
      <w:tblPr>
        <w:tblLayout w:type="fixed"/>
        <w:tblInd w:w="0" w:type="dxa"/>
        <w:tblCellMar>
          <w:top w:w="0" w:type="dxa"/>
          <w:left w:w="0" w:type="dxa"/>
          <w:bottom w:w="0" w:type="dxa"/>
          <w:right w:w="0" w:type="dxa"/>
        </w:tblCellMar>
      </w:tblPr>
      <w:tr>
        <w:trPr>
          <w:trHeight w:val="252"/>
        </w:trPr>
        <w:tc>
          <w:tcPr>
            <w:tcW w:w="1140" w:type="dxa"/>
            <w:vAlign w:val="bottom"/>
            <w:vMerge w:val="restart"/>
          </w:tcPr>
          <w:p>
            <w:pPr>
              <w:jc w:val="right"/>
              <w:ind w:right="342"/>
              <w:spacing w:after="0"/>
              <w:rPr>
                <w:sz w:val="20"/>
                <w:szCs w:val="20"/>
                <w:color w:val="auto"/>
              </w:rPr>
            </w:pPr>
            <w:r>
              <w:rPr>
                <w:rFonts w:ascii="Times New Roman" w:cs="Times New Roman" w:eastAsia="Times New Roman" w:hAnsi="Times New Roman"/>
                <w:sz w:val="20"/>
                <w:szCs w:val="20"/>
                <w:b w:val="1"/>
                <w:bCs w:val="1"/>
                <w:color w:val="auto"/>
                <w:w w:val="95"/>
              </w:rPr>
              <w:t>Number</w:t>
            </w:r>
          </w:p>
        </w:tc>
        <w:tc>
          <w:tcPr>
            <w:tcW w:w="4340" w:type="dxa"/>
            <w:vAlign w:val="bottom"/>
            <w:vMerge w:val="restart"/>
          </w:tcPr>
          <w:p>
            <w:pPr>
              <w:ind w:left="1280"/>
              <w:spacing w:after="0"/>
              <w:rPr>
                <w:sz w:val="20"/>
                <w:szCs w:val="20"/>
                <w:color w:val="auto"/>
              </w:rPr>
            </w:pPr>
            <w:r>
              <w:rPr>
                <w:rFonts w:ascii="Times New Roman" w:cs="Times New Roman" w:eastAsia="Times New Roman" w:hAnsi="Times New Roman"/>
                <w:sz w:val="20"/>
                <w:szCs w:val="20"/>
                <w:b w:val="1"/>
                <w:bCs w:val="1"/>
                <w:color w:val="auto"/>
              </w:rPr>
              <w:t>Exhibit Description</w:t>
            </w:r>
          </w:p>
        </w:tc>
        <w:tc>
          <w:tcPr>
            <w:tcW w:w="860" w:type="dxa"/>
            <w:vAlign w:val="bottom"/>
            <w:tcBorders>
              <w:bottom w:val="single" w:sz="8" w:color="auto"/>
            </w:tcBorders>
          </w:tcPr>
          <w:p>
            <w:pPr>
              <w:spacing w:after="0"/>
              <w:rPr>
                <w:sz w:val="21"/>
                <w:szCs w:val="21"/>
                <w:color w:val="auto"/>
              </w:rPr>
            </w:pPr>
          </w:p>
        </w:tc>
        <w:tc>
          <w:tcPr>
            <w:tcW w:w="414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20"/>
                <w:szCs w:val="20"/>
                <w:b w:val="1"/>
                <w:bCs w:val="1"/>
                <w:color w:val="auto"/>
              </w:rPr>
              <w:t>Incorporated By Reference</w:t>
            </w:r>
          </w:p>
        </w:tc>
        <w:tc>
          <w:tcPr>
            <w:tcW w:w="0" w:type="dxa"/>
            <w:vAlign w:val="bottom"/>
          </w:tcPr>
          <w:p>
            <w:pPr>
              <w:spacing w:after="0"/>
              <w:rPr>
                <w:sz w:val="1"/>
                <w:szCs w:val="1"/>
                <w:color w:val="auto"/>
              </w:rPr>
            </w:pPr>
          </w:p>
        </w:tc>
      </w:tr>
      <w:tr>
        <w:trPr>
          <w:trHeight w:val="225"/>
        </w:trPr>
        <w:tc>
          <w:tcPr>
            <w:tcW w:w="1140" w:type="dxa"/>
            <w:vAlign w:val="bottom"/>
            <w:tcBorders>
              <w:bottom w:val="single" w:sz="8" w:color="auto"/>
            </w:tcBorders>
            <w:vMerge w:val="continue"/>
          </w:tcPr>
          <w:p>
            <w:pPr>
              <w:spacing w:after="0"/>
              <w:rPr>
                <w:sz w:val="19"/>
                <w:szCs w:val="19"/>
                <w:color w:val="auto"/>
              </w:rPr>
            </w:pPr>
          </w:p>
        </w:tc>
        <w:tc>
          <w:tcPr>
            <w:tcW w:w="4340" w:type="dxa"/>
            <w:vAlign w:val="bottom"/>
            <w:tcBorders>
              <w:bottom w:val="single" w:sz="8" w:color="auto"/>
            </w:tcBorders>
            <w:vMerge w:val="continue"/>
          </w:tcPr>
          <w:p>
            <w:pPr>
              <w:spacing w:after="0"/>
              <w:rPr>
                <w:sz w:val="19"/>
                <w:szCs w:val="19"/>
                <w:color w:val="auto"/>
              </w:rPr>
            </w:pPr>
          </w:p>
        </w:tc>
        <w:tc>
          <w:tcPr>
            <w:tcW w:w="860" w:type="dxa"/>
            <w:vAlign w:val="bottom"/>
            <w:tcBorders>
              <w:bottom w:val="single" w:sz="8" w:color="auto"/>
            </w:tcBorders>
          </w:tcPr>
          <w:p>
            <w:pPr>
              <w:jc w:val="center"/>
              <w:ind w:right="22"/>
              <w:spacing w:after="0" w:line="225" w:lineRule="exact"/>
              <w:rPr>
                <w:sz w:val="20"/>
                <w:szCs w:val="20"/>
                <w:color w:val="auto"/>
              </w:rPr>
            </w:pPr>
            <w:r>
              <w:rPr>
                <w:rFonts w:ascii="Times New Roman" w:cs="Times New Roman" w:eastAsia="Times New Roman" w:hAnsi="Times New Roman"/>
                <w:sz w:val="20"/>
                <w:szCs w:val="20"/>
                <w:b w:val="1"/>
                <w:bCs w:val="1"/>
                <w:color w:val="auto"/>
                <w:w w:val="96"/>
              </w:rPr>
              <w:t>Form</w:t>
            </w:r>
          </w:p>
        </w:tc>
        <w:tc>
          <w:tcPr>
            <w:tcW w:w="1200" w:type="dxa"/>
            <w:vAlign w:val="bottom"/>
            <w:tcBorders>
              <w:bottom w:val="single" w:sz="8" w:color="auto"/>
            </w:tcBorders>
          </w:tcPr>
          <w:p>
            <w:pPr>
              <w:jc w:val="center"/>
              <w:spacing w:after="0" w:line="225" w:lineRule="exact"/>
              <w:rPr>
                <w:sz w:val="20"/>
                <w:szCs w:val="20"/>
                <w:color w:val="auto"/>
              </w:rPr>
            </w:pPr>
            <w:r>
              <w:rPr>
                <w:rFonts w:ascii="Times New Roman" w:cs="Times New Roman" w:eastAsia="Times New Roman" w:hAnsi="Times New Roman"/>
                <w:sz w:val="20"/>
                <w:szCs w:val="20"/>
                <w:b w:val="1"/>
                <w:bCs w:val="1"/>
                <w:color w:val="auto"/>
                <w:w w:val="98"/>
              </w:rPr>
              <w:t>File No.</w:t>
            </w:r>
          </w:p>
        </w:tc>
        <w:tc>
          <w:tcPr>
            <w:tcW w:w="1160" w:type="dxa"/>
            <w:vAlign w:val="bottom"/>
            <w:tcBorders>
              <w:bottom w:val="single" w:sz="8" w:color="auto"/>
            </w:tcBorders>
          </w:tcPr>
          <w:p>
            <w:pPr>
              <w:jc w:val="center"/>
              <w:spacing w:after="0" w:line="225" w:lineRule="exact"/>
              <w:rPr>
                <w:sz w:val="20"/>
                <w:szCs w:val="20"/>
                <w:color w:val="auto"/>
              </w:rPr>
            </w:pPr>
            <w:r>
              <w:rPr>
                <w:rFonts w:ascii="Times New Roman" w:cs="Times New Roman" w:eastAsia="Times New Roman" w:hAnsi="Times New Roman"/>
                <w:sz w:val="20"/>
                <w:szCs w:val="20"/>
                <w:b w:val="1"/>
                <w:bCs w:val="1"/>
                <w:color w:val="auto"/>
                <w:w w:val="94"/>
              </w:rPr>
              <w:t>Exhibit</w:t>
            </w:r>
          </w:p>
        </w:tc>
        <w:tc>
          <w:tcPr>
            <w:tcW w:w="1780" w:type="dxa"/>
            <w:vAlign w:val="bottom"/>
            <w:tcBorders>
              <w:bottom w:val="single" w:sz="8" w:color="auto"/>
            </w:tcBorders>
          </w:tcPr>
          <w:p>
            <w:pPr>
              <w:jc w:val="center"/>
              <w:spacing w:after="0" w:line="225" w:lineRule="exact"/>
              <w:rPr>
                <w:sz w:val="20"/>
                <w:szCs w:val="20"/>
                <w:color w:val="auto"/>
              </w:rPr>
            </w:pPr>
            <w:r>
              <w:rPr>
                <w:rFonts w:ascii="Times New Roman" w:cs="Times New Roman" w:eastAsia="Times New Roman" w:hAnsi="Times New Roman"/>
                <w:sz w:val="20"/>
                <w:szCs w:val="20"/>
                <w:b w:val="1"/>
                <w:bCs w:val="1"/>
                <w:color w:val="auto"/>
                <w:w w:val="98"/>
              </w:rPr>
              <w:t>Filing Date</w:t>
            </w:r>
          </w:p>
        </w:tc>
        <w:tc>
          <w:tcPr>
            <w:tcW w:w="0" w:type="dxa"/>
            <w:vAlign w:val="bottom"/>
          </w:tcPr>
          <w:p>
            <w:pPr>
              <w:spacing w:after="0"/>
              <w:rPr>
                <w:sz w:val="1"/>
                <w:szCs w:val="1"/>
                <w:color w:val="auto"/>
              </w:rPr>
            </w:pPr>
          </w:p>
        </w:tc>
      </w:tr>
      <w:tr>
        <w:trPr>
          <w:trHeight w:val="200"/>
        </w:trPr>
        <w:tc>
          <w:tcPr>
            <w:tcW w:w="11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10.6†</w:t>
            </w:r>
          </w:p>
        </w:tc>
        <w:tc>
          <w:tcPr>
            <w:tcW w:w="4340" w:type="dxa"/>
            <w:vAlign w:val="bottom"/>
          </w:tcPr>
          <w:p>
            <w:pPr>
              <w:ind w:left="40"/>
              <w:spacing w:after="0" w:line="201" w:lineRule="exact"/>
              <w:rPr>
                <w:sz w:val="20"/>
                <w:szCs w:val="20"/>
                <w:color w:val="auto"/>
              </w:rPr>
            </w:pPr>
            <w:r>
              <w:rPr>
                <w:rFonts w:ascii="Times New Roman" w:cs="Times New Roman" w:eastAsia="Times New Roman" w:hAnsi="Times New Roman"/>
                <w:sz w:val="20"/>
                <w:szCs w:val="20"/>
                <w:color w:val="auto"/>
              </w:rPr>
              <w:t>Employment Agreement, dated August 5, 2016,</w:t>
            </w:r>
          </w:p>
        </w:tc>
        <w:tc>
          <w:tcPr>
            <w:tcW w:w="860" w:type="dxa"/>
            <w:vAlign w:val="bottom"/>
          </w:tcPr>
          <w:p>
            <w:pPr>
              <w:jc w:val="center"/>
              <w:ind w:right="2"/>
              <w:spacing w:after="0" w:line="201" w:lineRule="exact"/>
              <w:rPr>
                <w:sz w:val="20"/>
                <w:szCs w:val="20"/>
                <w:color w:val="auto"/>
              </w:rPr>
            </w:pPr>
            <w:r>
              <w:rPr>
                <w:rFonts w:ascii="Times New Roman" w:cs="Times New Roman" w:eastAsia="Times New Roman" w:hAnsi="Times New Roman"/>
                <w:sz w:val="20"/>
                <w:szCs w:val="20"/>
                <w:color w:val="auto"/>
                <w:w w:val="98"/>
              </w:rPr>
              <w:t>10-Q/A</w:t>
            </w:r>
          </w:p>
        </w:tc>
        <w:tc>
          <w:tcPr>
            <w:tcW w:w="1200" w:type="dxa"/>
            <w:vAlign w:val="bottom"/>
          </w:tcPr>
          <w:p>
            <w:pPr>
              <w:jc w:val="center"/>
              <w:spacing w:after="0" w:line="201" w:lineRule="exact"/>
              <w:rPr>
                <w:sz w:val="20"/>
                <w:szCs w:val="20"/>
                <w:color w:val="auto"/>
              </w:rPr>
            </w:pPr>
            <w:r>
              <w:rPr>
                <w:rFonts w:ascii="Times New Roman" w:cs="Times New Roman" w:eastAsia="Times New Roman" w:hAnsi="Times New Roman"/>
                <w:sz w:val="20"/>
                <w:szCs w:val="20"/>
                <w:color w:val="auto"/>
                <w:w w:val="96"/>
              </w:rPr>
              <w:t>001-36083</w:t>
            </w:r>
          </w:p>
        </w:tc>
        <w:tc>
          <w:tcPr>
            <w:tcW w:w="1160" w:type="dxa"/>
            <w:vAlign w:val="bottom"/>
          </w:tcPr>
          <w:p>
            <w:pPr>
              <w:jc w:val="center"/>
              <w:spacing w:after="0" w:line="201" w:lineRule="exact"/>
              <w:rPr>
                <w:sz w:val="20"/>
                <w:szCs w:val="20"/>
                <w:color w:val="auto"/>
              </w:rPr>
            </w:pPr>
            <w:r>
              <w:rPr>
                <w:rFonts w:ascii="Times New Roman" w:cs="Times New Roman" w:eastAsia="Times New Roman" w:hAnsi="Times New Roman"/>
                <w:sz w:val="20"/>
                <w:szCs w:val="20"/>
                <w:color w:val="auto"/>
                <w:w w:val="97"/>
              </w:rPr>
              <w:t>10.21</w:t>
            </w:r>
          </w:p>
        </w:tc>
        <w:tc>
          <w:tcPr>
            <w:tcW w:w="1780" w:type="dxa"/>
            <w:vAlign w:val="bottom"/>
          </w:tcPr>
          <w:p>
            <w:pPr>
              <w:jc w:val="center"/>
              <w:spacing w:after="0" w:line="201" w:lineRule="exact"/>
              <w:rPr>
                <w:sz w:val="20"/>
                <w:szCs w:val="20"/>
                <w:color w:val="auto"/>
              </w:rPr>
            </w:pPr>
            <w:r>
              <w:rPr>
                <w:rFonts w:ascii="Times New Roman" w:cs="Times New Roman" w:eastAsia="Times New Roman" w:hAnsi="Times New Roman"/>
                <w:sz w:val="20"/>
                <w:szCs w:val="20"/>
                <w:color w:val="auto"/>
                <w:w w:val="99"/>
              </w:rPr>
              <w:t>August 9, 2016</w:t>
            </w:r>
          </w:p>
        </w:tc>
        <w:tc>
          <w:tcPr>
            <w:tcW w:w="0" w:type="dxa"/>
            <w:vAlign w:val="bottom"/>
          </w:tcPr>
          <w:p>
            <w:pPr>
              <w:spacing w:after="0"/>
              <w:rPr>
                <w:sz w:val="1"/>
                <w:szCs w:val="1"/>
                <w:color w:val="auto"/>
              </w:rPr>
            </w:pPr>
          </w:p>
        </w:tc>
      </w:tr>
      <w:tr>
        <w:trPr>
          <w:trHeight w:val="226"/>
        </w:trPr>
        <w:tc>
          <w:tcPr>
            <w:tcW w:w="1140" w:type="dxa"/>
            <w:vAlign w:val="bottom"/>
          </w:tcPr>
          <w:p>
            <w:pPr>
              <w:spacing w:after="0"/>
              <w:rPr>
                <w:sz w:val="19"/>
                <w:szCs w:val="19"/>
                <w:color w:val="auto"/>
              </w:rPr>
            </w:pPr>
          </w:p>
        </w:tc>
        <w:tc>
          <w:tcPr>
            <w:tcW w:w="4340" w:type="dxa"/>
            <w:vAlign w:val="bottom"/>
          </w:tcPr>
          <w:p>
            <w:pPr>
              <w:ind w:left="40"/>
              <w:spacing w:after="0" w:line="226" w:lineRule="exact"/>
              <w:rPr>
                <w:sz w:val="20"/>
                <w:szCs w:val="20"/>
                <w:color w:val="auto"/>
              </w:rPr>
            </w:pPr>
            <w:r>
              <w:rPr>
                <w:rFonts w:ascii="Times New Roman" w:cs="Times New Roman" w:eastAsia="Times New Roman" w:hAnsi="Times New Roman"/>
                <w:sz w:val="20"/>
                <w:szCs w:val="20"/>
                <w:color w:val="auto"/>
              </w:rPr>
              <w:t>between Applied Optoelectronics, Inc. and Mr.</w:t>
            </w:r>
          </w:p>
        </w:tc>
        <w:tc>
          <w:tcPr>
            <w:tcW w:w="8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140" w:type="dxa"/>
            <w:vAlign w:val="bottom"/>
          </w:tcPr>
          <w:p>
            <w:pPr>
              <w:spacing w:after="0"/>
              <w:rPr>
                <w:sz w:val="22"/>
                <w:szCs w:val="22"/>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Joshua Yeh</w:t>
            </w:r>
          </w:p>
        </w:tc>
        <w:tc>
          <w:tcPr>
            <w:tcW w:w="8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0"/>
        </w:trPr>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w:t>
            </w:r>
          </w:p>
        </w:tc>
        <w:tc>
          <w:tcPr>
            <w:tcW w:w="43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Employment Agreement, dated August 5, 2016,</w:t>
            </w:r>
          </w:p>
        </w:tc>
        <w:tc>
          <w:tcPr>
            <w:tcW w:w="860" w:type="dxa"/>
            <w:vAlign w:val="bottom"/>
          </w:tcPr>
          <w:p>
            <w:pPr>
              <w:jc w:val="center"/>
              <w:ind w:right="2"/>
              <w:spacing w:after="0"/>
              <w:rPr>
                <w:sz w:val="20"/>
                <w:szCs w:val="20"/>
                <w:color w:val="auto"/>
              </w:rPr>
            </w:pPr>
            <w:r>
              <w:rPr>
                <w:rFonts w:ascii="Times New Roman" w:cs="Times New Roman" w:eastAsia="Times New Roman" w:hAnsi="Times New Roman"/>
                <w:sz w:val="20"/>
                <w:szCs w:val="20"/>
                <w:color w:val="auto"/>
                <w:w w:val="98"/>
              </w:rPr>
              <w:t>10-Q/A</w:t>
            </w:r>
          </w:p>
        </w:tc>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001-36083</w:t>
            </w:r>
          </w:p>
        </w:tc>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10.22</w:t>
            </w: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August 9, 2016</w:t>
            </w:r>
          </w:p>
        </w:tc>
        <w:tc>
          <w:tcPr>
            <w:tcW w:w="0" w:type="dxa"/>
            <w:vAlign w:val="bottom"/>
          </w:tcPr>
          <w:p>
            <w:pPr>
              <w:spacing w:after="0"/>
              <w:rPr>
                <w:sz w:val="1"/>
                <w:szCs w:val="1"/>
                <w:color w:val="auto"/>
              </w:rPr>
            </w:pPr>
          </w:p>
        </w:tc>
      </w:tr>
      <w:tr>
        <w:trPr>
          <w:trHeight w:val="226"/>
        </w:trPr>
        <w:tc>
          <w:tcPr>
            <w:tcW w:w="1140" w:type="dxa"/>
            <w:vAlign w:val="bottom"/>
          </w:tcPr>
          <w:p>
            <w:pPr>
              <w:spacing w:after="0"/>
              <w:rPr>
                <w:sz w:val="19"/>
                <w:szCs w:val="19"/>
                <w:color w:val="auto"/>
              </w:rPr>
            </w:pPr>
          </w:p>
        </w:tc>
        <w:tc>
          <w:tcPr>
            <w:tcW w:w="4340" w:type="dxa"/>
            <w:vAlign w:val="bottom"/>
          </w:tcPr>
          <w:p>
            <w:pPr>
              <w:ind w:left="40"/>
              <w:spacing w:after="0" w:line="226" w:lineRule="exact"/>
              <w:rPr>
                <w:sz w:val="20"/>
                <w:szCs w:val="20"/>
                <w:color w:val="auto"/>
              </w:rPr>
            </w:pPr>
            <w:r>
              <w:rPr>
                <w:rFonts w:ascii="Times New Roman" w:cs="Times New Roman" w:eastAsia="Times New Roman" w:hAnsi="Times New Roman"/>
                <w:sz w:val="20"/>
                <w:szCs w:val="20"/>
                <w:color w:val="auto"/>
              </w:rPr>
              <w:t>between Applied Optoelectronics, Inc. and Dr. Fred</w:t>
            </w:r>
          </w:p>
        </w:tc>
        <w:tc>
          <w:tcPr>
            <w:tcW w:w="8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140" w:type="dxa"/>
            <w:vAlign w:val="bottom"/>
          </w:tcPr>
          <w:p>
            <w:pPr>
              <w:spacing w:after="0"/>
              <w:rPr>
                <w:sz w:val="22"/>
                <w:szCs w:val="22"/>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Chang</w:t>
            </w:r>
          </w:p>
        </w:tc>
        <w:tc>
          <w:tcPr>
            <w:tcW w:w="8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3"/>
        </w:trPr>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w:t>
            </w:r>
          </w:p>
        </w:tc>
        <w:tc>
          <w:tcPr>
            <w:tcW w:w="43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Employment Agreement, dated August 5, 2016,</w:t>
            </w:r>
          </w:p>
        </w:tc>
        <w:tc>
          <w:tcPr>
            <w:tcW w:w="860" w:type="dxa"/>
            <w:vAlign w:val="bottom"/>
          </w:tcPr>
          <w:p>
            <w:pPr>
              <w:jc w:val="center"/>
              <w:ind w:right="22"/>
              <w:spacing w:after="0"/>
              <w:rPr>
                <w:sz w:val="20"/>
                <w:szCs w:val="20"/>
                <w:color w:val="auto"/>
              </w:rPr>
            </w:pPr>
            <w:r>
              <w:rPr>
                <w:rFonts w:ascii="Times New Roman" w:cs="Times New Roman" w:eastAsia="Times New Roman" w:hAnsi="Times New Roman"/>
                <w:sz w:val="20"/>
                <w:szCs w:val="20"/>
                <w:color w:val="auto"/>
              </w:rPr>
              <w:t>10-K</w:t>
            </w:r>
          </w:p>
        </w:tc>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001-36083</w:t>
            </w:r>
          </w:p>
        </w:tc>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10.9</w:t>
            </w:r>
          </w:p>
        </w:tc>
        <w:tc>
          <w:tcPr>
            <w:tcW w:w="1780" w:type="dxa"/>
            <w:vAlign w:val="bottom"/>
          </w:tcPr>
          <w:p>
            <w:pPr>
              <w:jc w:val="center"/>
              <w:ind w:left="2"/>
              <w:spacing w:after="0"/>
              <w:rPr>
                <w:sz w:val="20"/>
                <w:szCs w:val="20"/>
                <w:color w:val="auto"/>
              </w:rPr>
            </w:pPr>
            <w:r>
              <w:rPr>
                <w:rFonts w:ascii="Times New Roman" w:cs="Times New Roman" w:eastAsia="Times New Roman" w:hAnsi="Times New Roman"/>
                <w:sz w:val="20"/>
                <w:szCs w:val="20"/>
                <w:color w:val="auto"/>
                <w:w w:val="97"/>
              </w:rPr>
              <w:t>February 28, 2018</w:t>
            </w:r>
          </w:p>
        </w:tc>
        <w:tc>
          <w:tcPr>
            <w:tcW w:w="0" w:type="dxa"/>
            <w:vAlign w:val="bottom"/>
          </w:tcPr>
          <w:p>
            <w:pPr>
              <w:spacing w:after="0"/>
              <w:rPr>
                <w:sz w:val="1"/>
                <w:szCs w:val="1"/>
                <w:color w:val="auto"/>
              </w:rPr>
            </w:pPr>
          </w:p>
        </w:tc>
      </w:tr>
      <w:tr>
        <w:trPr>
          <w:trHeight w:val="226"/>
        </w:trPr>
        <w:tc>
          <w:tcPr>
            <w:tcW w:w="1140" w:type="dxa"/>
            <w:vAlign w:val="bottom"/>
          </w:tcPr>
          <w:p>
            <w:pPr>
              <w:spacing w:after="0"/>
              <w:rPr>
                <w:sz w:val="19"/>
                <w:szCs w:val="19"/>
                <w:color w:val="auto"/>
              </w:rPr>
            </w:pPr>
          </w:p>
        </w:tc>
        <w:tc>
          <w:tcPr>
            <w:tcW w:w="4340" w:type="dxa"/>
            <w:vAlign w:val="bottom"/>
          </w:tcPr>
          <w:p>
            <w:pPr>
              <w:ind w:left="40"/>
              <w:spacing w:after="0" w:line="226" w:lineRule="exact"/>
              <w:rPr>
                <w:sz w:val="20"/>
                <w:szCs w:val="20"/>
                <w:color w:val="auto"/>
              </w:rPr>
            </w:pPr>
            <w:r>
              <w:rPr>
                <w:rFonts w:ascii="Times New Roman" w:cs="Times New Roman" w:eastAsia="Times New Roman" w:hAnsi="Times New Roman"/>
                <w:sz w:val="20"/>
                <w:szCs w:val="20"/>
                <w:color w:val="auto"/>
              </w:rPr>
              <w:t>between Applied Optoelectronics, Inc. and David</w:t>
            </w:r>
          </w:p>
        </w:tc>
        <w:tc>
          <w:tcPr>
            <w:tcW w:w="8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140" w:type="dxa"/>
            <w:vAlign w:val="bottom"/>
          </w:tcPr>
          <w:p>
            <w:pPr>
              <w:spacing w:after="0"/>
              <w:rPr>
                <w:sz w:val="22"/>
                <w:szCs w:val="22"/>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 Kuo</w:t>
            </w:r>
          </w:p>
        </w:tc>
        <w:tc>
          <w:tcPr>
            <w:tcW w:w="8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5"/>
        </w:trPr>
        <w:tc>
          <w:tcPr>
            <w:tcW w:w="114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10.9</w:t>
            </w:r>
          </w:p>
        </w:tc>
        <w:tc>
          <w:tcPr>
            <w:tcW w:w="43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Translation of Lease Agreement between Global</w:t>
            </w:r>
          </w:p>
        </w:tc>
        <w:tc>
          <w:tcPr>
            <w:tcW w:w="860" w:type="dxa"/>
            <w:vAlign w:val="bottom"/>
          </w:tcPr>
          <w:p>
            <w:pPr>
              <w:jc w:val="center"/>
              <w:ind w:right="22"/>
              <w:spacing w:after="0"/>
              <w:rPr>
                <w:sz w:val="20"/>
                <w:szCs w:val="20"/>
                <w:color w:val="auto"/>
              </w:rPr>
            </w:pPr>
            <w:r>
              <w:rPr>
                <w:rFonts w:ascii="Times New Roman" w:cs="Times New Roman" w:eastAsia="Times New Roman" w:hAnsi="Times New Roman"/>
                <w:sz w:val="20"/>
                <w:szCs w:val="20"/>
                <w:color w:val="auto"/>
              </w:rPr>
              <w:t>10-K</w:t>
            </w:r>
          </w:p>
        </w:tc>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001-36083</w:t>
            </w:r>
          </w:p>
        </w:tc>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87"/>
              </w:rPr>
              <w:t>10. 30</w:t>
            </w:r>
          </w:p>
        </w:tc>
        <w:tc>
          <w:tcPr>
            <w:tcW w:w="1780" w:type="dxa"/>
            <w:vAlign w:val="bottom"/>
          </w:tcPr>
          <w:p>
            <w:pPr>
              <w:jc w:val="center"/>
              <w:ind w:left="2"/>
              <w:spacing w:after="0"/>
              <w:rPr>
                <w:sz w:val="20"/>
                <w:szCs w:val="20"/>
                <w:color w:val="auto"/>
              </w:rPr>
            </w:pPr>
            <w:r>
              <w:rPr>
                <w:rFonts w:ascii="Times New Roman" w:cs="Times New Roman" w:eastAsia="Times New Roman" w:hAnsi="Times New Roman"/>
                <w:sz w:val="20"/>
                <w:szCs w:val="20"/>
                <w:color w:val="auto"/>
                <w:w w:val="97"/>
              </w:rPr>
              <w:t>February 28, 2018</w:t>
            </w:r>
          </w:p>
        </w:tc>
        <w:tc>
          <w:tcPr>
            <w:tcW w:w="0" w:type="dxa"/>
            <w:vAlign w:val="bottom"/>
          </w:tcPr>
          <w:p>
            <w:pPr>
              <w:spacing w:after="0"/>
              <w:rPr>
                <w:sz w:val="1"/>
                <w:szCs w:val="1"/>
                <w:color w:val="auto"/>
              </w:rPr>
            </w:pPr>
          </w:p>
        </w:tc>
      </w:tr>
      <w:tr>
        <w:trPr>
          <w:trHeight w:val="226"/>
        </w:trPr>
        <w:tc>
          <w:tcPr>
            <w:tcW w:w="1140" w:type="dxa"/>
            <w:vAlign w:val="bottom"/>
          </w:tcPr>
          <w:p>
            <w:pPr>
              <w:spacing w:after="0"/>
              <w:rPr>
                <w:sz w:val="19"/>
                <w:szCs w:val="19"/>
                <w:color w:val="auto"/>
              </w:rPr>
            </w:pPr>
          </w:p>
        </w:tc>
        <w:tc>
          <w:tcPr>
            <w:tcW w:w="4340" w:type="dxa"/>
            <w:vAlign w:val="bottom"/>
          </w:tcPr>
          <w:p>
            <w:pPr>
              <w:ind w:left="40"/>
              <w:spacing w:after="0" w:line="226" w:lineRule="exact"/>
              <w:rPr>
                <w:sz w:val="20"/>
                <w:szCs w:val="20"/>
                <w:color w:val="auto"/>
              </w:rPr>
            </w:pPr>
            <w:r>
              <w:rPr>
                <w:rFonts w:ascii="Times New Roman" w:cs="Times New Roman" w:eastAsia="Times New Roman" w:hAnsi="Times New Roman"/>
                <w:sz w:val="20"/>
                <w:szCs w:val="20"/>
                <w:color w:val="auto"/>
              </w:rPr>
              <w:t>Technology, Inc. and the People’s Republic of</w:t>
            </w:r>
          </w:p>
        </w:tc>
        <w:tc>
          <w:tcPr>
            <w:tcW w:w="8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140" w:type="dxa"/>
            <w:vAlign w:val="bottom"/>
          </w:tcPr>
          <w:p>
            <w:pPr>
              <w:spacing w:after="0"/>
              <w:rPr>
                <w:sz w:val="19"/>
                <w:szCs w:val="19"/>
                <w:color w:val="auto"/>
              </w:rPr>
            </w:pPr>
          </w:p>
        </w:tc>
        <w:tc>
          <w:tcPr>
            <w:tcW w:w="4340" w:type="dxa"/>
            <w:vAlign w:val="bottom"/>
          </w:tcPr>
          <w:p>
            <w:pPr>
              <w:ind w:left="40"/>
              <w:spacing w:after="0" w:line="226" w:lineRule="exact"/>
              <w:rPr>
                <w:sz w:val="20"/>
                <w:szCs w:val="20"/>
                <w:color w:val="auto"/>
              </w:rPr>
            </w:pPr>
            <w:r>
              <w:rPr>
                <w:rFonts w:ascii="Times New Roman" w:cs="Times New Roman" w:eastAsia="Times New Roman" w:hAnsi="Times New Roman"/>
                <w:sz w:val="20"/>
                <w:szCs w:val="20"/>
                <w:color w:val="auto"/>
              </w:rPr>
              <w:t>China in Zhejiang Province, Ningbo City, Land</w:t>
            </w:r>
          </w:p>
        </w:tc>
        <w:tc>
          <w:tcPr>
            <w:tcW w:w="8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140" w:type="dxa"/>
            <w:vAlign w:val="bottom"/>
          </w:tcPr>
          <w:p>
            <w:pPr>
              <w:spacing w:after="0"/>
              <w:rPr>
                <w:sz w:val="22"/>
                <w:szCs w:val="22"/>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Resources Bureau</w:t>
            </w:r>
          </w:p>
        </w:tc>
        <w:tc>
          <w:tcPr>
            <w:tcW w:w="8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5"/>
        </w:trPr>
        <w:tc>
          <w:tcPr>
            <w:tcW w:w="114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10.10</w:t>
            </w:r>
          </w:p>
        </w:tc>
        <w:tc>
          <w:tcPr>
            <w:tcW w:w="43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Statement of Work No. 1 – Foundry between</w:t>
            </w:r>
          </w:p>
        </w:tc>
        <w:tc>
          <w:tcPr>
            <w:tcW w:w="860" w:type="dxa"/>
            <w:vAlign w:val="bottom"/>
          </w:tcPr>
          <w:p>
            <w:pPr>
              <w:jc w:val="center"/>
              <w:ind w:right="22"/>
              <w:spacing w:after="0"/>
              <w:rPr>
                <w:sz w:val="20"/>
                <w:szCs w:val="20"/>
                <w:color w:val="auto"/>
              </w:rPr>
            </w:pPr>
            <w:r>
              <w:rPr>
                <w:rFonts w:ascii="Times New Roman" w:cs="Times New Roman" w:eastAsia="Times New Roman" w:hAnsi="Times New Roman"/>
                <w:sz w:val="20"/>
                <w:szCs w:val="20"/>
                <w:color w:val="auto"/>
                <w:w w:val="96"/>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001-36083</w:t>
            </w:r>
          </w:p>
        </w:tc>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10.1</w:t>
            </w:r>
          </w:p>
        </w:tc>
        <w:tc>
          <w:tcPr>
            <w:tcW w:w="1780" w:type="dxa"/>
            <w:vAlign w:val="bottom"/>
          </w:tcPr>
          <w:p>
            <w:pPr>
              <w:jc w:val="center"/>
              <w:ind w:left="2"/>
              <w:spacing w:after="0"/>
              <w:rPr>
                <w:sz w:val="20"/>
                <w:szCs w:val="20"/>
                <w:color w:val="auto"/>
              </w:rPr>
            </w:pPr>
            <w:r>
              <w:rPr>
                <w:rFonts w:ascii="Times New Roman" w:cs="Times New Roman" w:eastAsia="Times New Roman" w:hAnsi="Times New Roman"/>
                <w:sz w:val="20"/>
                <w:szCs w:val="20"/>
                <w:color w:val="auto"/>
                <w:w w:val="98"/>
              </w:rPr>
              <w:t>May 3, 2023</w:t>
            </w: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4340" w:type="dxa"/>
            <w:vAlign w:val="bottom"/>
          </w:tcPr>
          <w:p>
            <w:pPr>
              <w:ind w:left="40"/>
              <w:spacing w:after="0" w:line="224" w:lineRule="exact"/>
              <w:rPr>
                <w:sz w:val="20"/>
                <w:szCs w:val="20"/>
                <w:color w:val="auto"/>
              </w:rPr>
            </w:pPr>
            <w:r>
              <w:rPr>
                <w:rFonts w:ascii="Times New Roman" w:cs="Times New Roman" w:eastAsia="Times New Roman" w:hAnsi="Times New Roman"/>
                <w:sz w:val="20"/>
                <w:szCs w:val="20"/>
                <w:color w:val="auto"/>
              </w:rPr>
              <w:t>Applied Optoelectronics, Inc. and Microsoft</w:t>
            </w:r>
          </w:p>
        </w:tc>
        <w:tc>
          <w:tcPr>
            <w:tcW w:w="8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140" w:type="dxa"/>
            <w:vAlign w:val="bottom"/>
          </w:tcPr>
          <w:p>
            <w:pPr>
              <w:spacing w:after="0"/>
              <w:rPr>
                <w:sz w:val="22"/>
                <w:szCs w:val="22"/>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Corporation, effective December 16, 2022</w:t>
            </w:r>
          </w:p>
        </w:tc>
        <w:tc>
          <w:tcPr>
            <w:tcW w:w="8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0"/>
        </w:trPr>
        <w:tc>
          <w:tcPr>
            <w:tcW w:w="114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10.10.1</w:t>
            </w:r>
          </w:p>
        </w:tc>
        <w:tc>
          <w:tcPr>
            <w:tcW w:w="43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Microsoft Corporation Purchase Order Terms &amp;</w:t>
            </w:r>
          </w:p>
        </w:tc>
        <w:tc>
          <w:tcPr>
            <w:tcW w:w="860" w:type="dxa"/>
            <w:vAlign w:val="bottom"/>
          </w:tcPr>
          <w:p>
            <w:pPr>
              <w:jc w:val="center"/>
              <w:ind w:right="22"/>
              <w:spacing w:after="0"/>
              <w:rPr>
                <w:sz w:val="20"/>
                <w:szCs w:val="20"/>
                <w:color w:val="auto"/>
              </w:rPr>
            </w:pPr>
            <w:r>
              <w:rPr>
                <w:rFonts w:ascii="Times New Roman" w:cs="Times New Roman" w:eastAsia="Times New Roman" w:hAnsi="Times New Roman"/>
                <w:sz w:val="20"/>
                <w:szCs w:val="20"/>
                <w:color w:val="auto"/>
                <w:w w:val="96"/>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001-36083</w:t>
            </w:r>
          </w:p>
        </w:tc>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10.1</w:t>
            </w:r>
          </w:p>
        </w:tc>
        <w:tc>
          <w:tcPr>
            <w:tcW w:w="1780" w:type="dxa"/>
            <w:vAlign w:val="bottom"/>
          </w:tcPr>
          <w:p>
            <w:pPr>
              <w:jc w:val="center"/>
              <w:ind w:left="2"/>
              <w:spacing w:after="0"/>
              <w:rPr>
                <w:sz w:val="20"/>
                <w:szCs w:val="20"/>
                <w:color w:val="auto"/>
              </w:rPr>
            </w:pPr>
            <w:r>
              <w:rPr>
                <w:rFonts w:ascii="Times New Roman" w:cs="Times New Roman" w:eastAsia="Times New Roman" w:hAnsi="Times New Roman"/>
                <w:sz w:val="20"/>
                <w:szCs w:val="20"/>
                <w:color w:val="auto"/>
                <w:w w:val="98"/>
              </w:rPr>
              <w:t>May 3, 2023</w:t>
            </w:r>
          </w:p>
        </w:tc>
        <w:tc>
          <w:tcPr>
            <w:tcW w:w="0" w:type="dxa"/>
            <w:vAlign w:val="bottom"/>
          </w:tcPr>
          <w:p>
            <w:pPr>
              <w:spacing w:after="0"/>
              <w:rPr>
                <w:sz w:val="1"/>
                <w:szCs w:val="1"/>
                <w:color w:val="auto"/>
              </w:rPr>
            </w:pPr>
          </w:p>
        </w:tc>
      </w:tr>
      <w:tr>
        <w:trPr>
          <w:trHeight w:val="226"/>
        </w:trPr>
        <w:tc>
          <w:tcPr>
            <w:tcW w:w="1140" w:type="dxa"/>
            <w:vAlign w:val="bottom"/>
          </w:tcPr>
          <w:p>
            <w:pPr>
              <w:spacing w:after="0"/>
              <w:rPr>
                <w:sz w:val="19"/>
                <w:szCs w:val="19"/>
                <w:color w:val="auto"/>
              </w:rPr>
            </w:pPr>
          </w:p>
        </w:tc>
        <w:tc>
          <w:tcPr>
            <w:tcW w:w="4340" w:type="dxa"/>
            <w:vAlign w:val="bottom"/>
          </w:tcPr>
          <w:p>
            <w:pPr>
              <w:ind w:left="40"/>
              <w:spacing w:after="0" w:line="226" w:lineRule="exact"/>
              <w:rPr>
                <w:sz w:val="20"/>
                <w:szCs w:val="20"/>
                <w:color w:val="auto"/>
              </w:rPr>
            </w:pPr>
            <w:r>
              <w:rPr>
                <w:rFonts w:ascii="Times New Roman" w:cs="Times New Roman" w:eastAsia="Times New Roman" w:hAnsi="Times New Roman"/>
                <w:sz w:val="20"/>
                <w:szCs w:val="20"/>
                <w:color w:val="auto"/>
              </w:rPr>
              <w:t>Conditions (included as Appendix C to Exhibit</w:t>
            </w:r>
          </w:p>
        </w:tc>
        <w:tc>
          <w:tcPr>
            <w:tcW w:w="8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160" w:type="dxa"/>
            <w:vAlign w:val="bottom"/>
          </w:tcPr>
          <w:p>
            <w:pPr>
              <w:jc w:val="center"/>
              <w:spacing w:after="0" w:line="226" w:lineRule="exact"/>
              <w:rPr>
                <w:sz w:val="20"/>
                <w:szCs w:val="20"/>
                <w:color w:val="auto"/>
              </w:rPr>
            </w:pPr>
            <w:r>
              <w:rPr>
                <w:rFonts w:ascii="Times New Roman" w:cs="Times New Roman" w:eastAsia="Times New Roman" w:hAnsi="Times New Roman"/>
                <w:sz w:val="20"/>
                <w:szCs w:val="20"/>
                <w:color w:val="auto"/>
                <w:w w:val="98"/>
              </w:rPr>
              <w:t>(Appendix</w:t>
            </w: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140" w:type="dxa"/>
            <w:vAlign w:val="bottom"/>
          </w:tcPr>
          <w:p>
            <w:pPr>
              <w:spacing w:after="0"/>
              <w:rPr>
                <w:sz w:val="22"/>
                <w:szCs w:val="22"/>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10.10)</w:t>
            </w:r>
          </w:p>
        </w:tc>
        <w:tc>
          <w:tcPr>
            <w:tcW w:w="8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C)</w:t>
            </w:r>
          </w:p>
        </w:tc>
        <w:tc>
          <w:tcPr>
            <w:tcW w:w="1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4"/>
        </w:trPr>
        <w:tc>
          <w:tcPr>
            <w:tcW w:w="114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10.11</w:t>
            </w:r>
          </w:p>
        </w:tc>
        <w:tc>
          <w:tcPr>
            <w:tcW w:w="43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Statement of Work No. 2 – Design and Assembly,</w:t>
            </w:r>
          </w:p>
        </w:tc>
        <w:tc>
          <w:tcPr>
            <w:tcW w:w="860" w:type="dxa"/>
            <w:vAlign w:val="bottom"/>
          </w:tcPr>
          <w:p>
            <w:pPr>
              <w:jc w:val="center"/>
              <w:ind w:right="22"/>
              <w:spacing w:after="0"/>
              <w:rPr>
                <w:sz w:val="20"/>
                <w:szCs w:val="20"/>
                <w:color w:val="auto"/>
              </w:rPr>
            </w:pPr>
            <w:r>
              <w:rPr>
                <w:rFonts w:ascii="Times New Roman" w:cs="Times New Roman" w:eastAsia="Times New Roman" w:hAnsi="Times New Roman"/>
                <w:sz w:val="20"/>
                <w:szCs w:val="20"/>
                <w:color w:val="auto"/>
                <w:w w:val="96"/>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001-36083</w:t>
            </w:r>
          </w:p>
        </w:tc>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10.1</w:t>
            </w: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June 21, 2023</w:t>
            </w:r>
          </w:p>
        </w:tc>
        <w:tc>
          <w:tcPr>
            <w:tcW w:w="0" w:type="dxa"/>
            <w:vAlign w:val="bottom"/>
          </w:tcPr>
          <w:p>
            <w:pPr>
              <w:spacing w:after="0"/>
              <w:rPr>
                <w:sz w:val="1"/>
                <w:szCs w:val="1"/>
                <w:color w:val="auto"/>
              </w:rPr>
            </w:pPr>
          </w:p>
        </w:tc>
      </w:tr>
      <w:tr>
        <w:trPr>
          <w:trHeight w:val="226"/>
        </w:trPr>
        <w:tc>
          <w:tcPr>
            <w:tcW w:w="1140" w:type="dxa"/>
            <w:vAlign w:val="bottom"/>
          </w:tcPr>
          <w:p>
            <w:pPr>
              <w:spacing w:after="0"/>
              <w:rPr>
                <w:sz w:val="19"/>
                <w:szCs w:val="19"/>
                <w:color w:val="auto"/>
              </w:rPr>
            </w:pPr>
          </w:p>
        </w:tc>
        <w:tc>
          <w:tcPr>
            <w:tcW w:w="4340" w:type="dxa"/>
            <w:vAlign w:val="bottom"/>
          </w:tcPr>
          <w:p>
            <w:pPr>
              <w:ind w:left="40"/>
              <w:spacing w:after="0" w:line="226" w:lineRule="exact"/>
              <w:rPr>
                <w:sz w:val="20"/>
                <w:szCs w:val="20"/>
                <w:color w:val="auto"/>
              </w:rPr>
            </w:pPr>
            <w:r>
              <w:rPr>
                <w:rFonts w:ascii="Times New Roman" w:cs="Times New Roman" w:eastAsia="Times New Roman" w:hAnsi="Times New Roman"/>
                <w:sz w:val="20"/>
                <w:szCs w:val="20"/>
                <w:color w:val="auto"/>
              </w:rPr>
              <w:t>between Applied Optoelectronics, Inc. and</w:t>
            </w:r>
          </w:p>
        </w:tc>
        <w:tc>
          <w:tcPr>
            <w:tcW w:w="8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140" w:type="dxa"/>
            <w:vAlign w:val="bottom"/>
          </w:tcPr>
          <w:p>
            <w:pPr>
              <w:spacing w:after="0"/>
              <w:rPr>
                <w:sz w:val="22"/>
                <w:szCs w:val="22"/>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Microsoft Corporation, effective June 21, 2023</w:t>
            </w:r>
          </w:p>
        </w:tc>
        <w:tc>
          <w:tcPr>
            <w:tcW w:w="8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4"/>
        </w:trPr>
        <w:tc>
          <w:tcPr>
            <w:tcW w:w="114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10.11.1</w:t>
            </w:r>
          </w:p>
        </w:tc>
        <w:tc>
          <w:tcPr>
            <w:tcW w:w="43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Microsoft Corporation Purchase Order Terms &amp;</w:t>
            </w:r>
          </w:p>
        </w:tc>
        <w:tc>
          <w:tcPr>
            <w:tcW w:w="860" w:type="dxa"/>
            <w:vAlign w:val="bottom"/>
          </w:tcPr>
          <w:p>
            <w:pPr>
              <w:jc w:val="center"/>
              <w:ind w:right="22"/>
              <w:spacing w:after="0"/>
              <w:rPr>
                <w:sz w:val="20"/>
                <w:szCs w:val="20"/>
                <w:color w:val="auto"/>
              </w:rPr>
            </w:pPr>
            <w:r>
              <w:rPr>
                <w:rFonts w:ascii="Times New Roman" w:cs="Times New Roman" w:eastAsia="Times New Roman" w:hAnsi="Times New Roman"/>
                <w:sz w:val="20"/>
                <w:szCs w:val="20"/>
                <w:color w:val="auto"/>
                <w:w w:val="96"/>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001-36083</w:t>
            </w:r>
          </w:p>
        </w:tc>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10.1</w:t>
            </w: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June 21, 2023</w:t>
            </w:r>
          </w:p>
        </w:tc>
        <w:tc>
          <w:tcPr>
            <w:tcW w:w="0" w:type="dxa"/>
            <w:vAlign w:val="bottom"/>
          </w:tcPr>
          <w:p>
            <w:pPr>
              <w:spacing w:after="0"/>
              <w:rPr>
                <w:sz w:val="1"/>
                <w:szCs w:val="1"/>
                <w:color w:val="auto"/>
              </w:rPr>
            </w:pPr>
          </w:p>
        </w:tc>
      </w:tr>
      <w:tr>
        <w:trPr>
          <w:trHeight w:val="226"/>
        </w:trPr>
        <w:tc>
          <w:tcPr>
            <w:tcW w:w="1140" w:type="dxa"/>
            <w:vAlign w:val="bottom"/>
          </w:tcPr>
          <w:p>
            <w:pPr>
              <w:spacing w:after="0"/>
              <w:rPr>
                <w:sz w:val="19"/>
                <w:szCs w:val="19"/>
                <w:color w:val="auto"/>
              </w:rPr>
            </w:pPr>
          </w:p>
        </w:tc>
        <w:tc>
          <w:tcPr>
            <w:tcW w:w="4340" w:type="dxa"/>
            <w:vAlign w:val="bottom"/>
          </w:tcPr>
          <w:p>
            <w:pPr>
              <w:ind w:left="40"/>
              <w:spacing w:after="0" w:line="226" w:lineRule="exact"/>
              <w:rPr>
                <w:sz w:val="20"/>
                <w:szCs w:val="20"/>
                <w:color w:val="auto"/>
              </w:rPr>
            </w:pPr>
            <w:r>
              <w:rPr>
                <w:rFonts w:ascii="Times New Roman" w:cs="Times New Roman" w:eastAsia="Times New Roman" w:hAnsi="Times New Roman"/>
                <w:sz w:val="20"/>
                <w:szCs w:val="20"/>
                <w:color w:val="auto"/>
              </w:rPr>
              <w:t>Conditions (included as Appendix J to Exhibit</w:t>
            </w:r>
          </w:p>
        </w:tc>
        <w:tc>
          <w:tcPr>
            <w:tcW w:w="8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160" w:type="dxa"/>
            <w:vAlign w:val="bottom"/>
          </w:tcPr>
          <w:p>
            <w:pPr>
              <w:jc w:val="center"/>
              <w:spacing w:after="0" w:line="226" w:lineRule="exact"/>
              <w:rPr>
                <w:sz w:val="20"/>
                <w:szCs w:val="20"/>
                <w:color w:val="auto"/>
              </w:rPr>
            </w:pPr>
            <w:r>
              <w:rPr>
                <w:rFonts w:ascii="Times New Roman" w:cs="Times New Roman" w:eastAsia="Times New Roman" w:hAnsi="Times New Roman"/>
                <w:sz w:val="20"/>
                <w:szCs w:val="20"/>
                <w:color w:val="auto"/>
                <w:w w:val="98"/>
              </w:rPr>
              <w:t>(Appendix</w:t>
            </w: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140" w:type="dxa"/>
            <w:vAlign w:val="bottom"/>
          </w:tcPr>
          <w:p>
            <w:pPr>
              <w:spacing w:after="0"/>
              <w:rPr>
                <w:sz w:val="22"/>
                <w:szCs w:val="22"/>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10.11)</w:t>
            </w:r>
          </w:p>
        </w:tc>
        <w:tc>
          <w:tcPr>
            <w:tcW w:w="8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C)</w:t>
            </w:r>
          </w:p>
        </w:tc>
        <w:tc>
          <w:tcPr>
            <w:tcW w:w="1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4"/>
        </w:trPr>
        <w:tc>
          <w:tcPr>
            <w:tcW w:w="114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10.12</w:t>
            </w:r>
          </w:p>
        </w:tc>
        <w:tc>
          <w:tcPr>
            <w:tcW w:w="43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Translation of the Land and Building Lease</w:t>
            </w:r>
          </w:p>
        </w:tc>
        <w:tc>
          <w:tcPr>
            <w:tcW w:w="860" w:type="dxa"/>
            <w:vAlign w:val="bottom"/>
          </w:tcPr>
          <w:p>
            <w:pPr>
              <w:jc w:val="center"/>
              <w:ind w:right="22"/>
              <w:spacing w:after="0"/>
              <w:rPr>
                <w:sz w:val="20"/>
                <w:szCs w:val="20"/>
                <w:color w:val="auto"/>
              </w:rPr>
            </w:pPr>
            <w:r>
              <w:rPr>
                <w:rFonts w:ascii="Times New Roman" w:cs="Times New Roman" w:eastAsia="Times New Roman" w:hAnsi="Times New Roman"/>
                <w:sz w:val="20"/>
                <w:szCs w:val="20"/>
                <w:color w:val="auto"/>
                <w:w w:val="96"/>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001-36083</w:t>
            </w:r>
          </w:p>
        </w:tc>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10.1</w:t>
            </w: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October 10, 2024</w:t>
            </w:r>
          </w:p>
        </w:tc>
        <w:tc>
          <w:tcPr>
            <w:tcW w:w="0" w:type="dxa"/>
            <w:vAlign w:val="bottom"/>
          </w:tcPr>
          <w:p>
            <w:pPr>
              <w:spacing w:after="0"/>
              <w:rPr>
                <w:sz w:val="1"/>
                <w:szCs w:val="1"/>
                <w:color w:val="auto"/>
              </w:rPr>
            </w:pPr>
          </w:p>
        </w:tc>
      </w:tr>
      <w:tr>
        <w:trPr>
          <w:trHeight w:val="226"/>
        </w:trPr>
        <w:tc>
          <w:tcPr>
            <w:tcW w:w="1140" w:type="dxa"/>
            <w:vAlign w:val="bottom"/>
          </w:tcPr>
          <w:p>
            <w:pPr>
              <w:spacing w:after="0"/>
              <w:rPr>
                <w:sz w:val="19"/>
                <w:szCs w:val="19"/>
                <w:color w:val="auto"/>
              </w:rPr>
            </w:pPr>
          </w:p>
        </w:tc>
        <w:tc>
          <w:tcPr>
            <w:tcW w:w="4340" w:type="dxa"/>
            <w:vAlign w:val="bottom"/>
          </w:tcPr>
          <w:p>
            <w:pPr>
              <w:ind w:left="40"/>
              <w:spacing w:after="0" w:line="226" w:lineRule="exact"/>
              <w:rPr>
                <w:sz w:val="20"/>
                <w:szCs w:val="20"/>
                <w:color w:val="auto"/>
              </w:rPr>
            </w:pPr>
            <w:r>
              <w:rPr>
                <w:rFonts w:ascii="Times New Roman" w:cs="Times New Roman" w:eastAsia="Times New Roman" w:hAnsi="Times New Roman"/>
                <w:sz w:val="20"/>
                <w:szCs w:val="20"/>
                <w:color w:val="auto"/>
              </w:rPr>
              <w:t>Agreement, dated October 7, 2024, between Prime</w:t>
            </w:r>
          </w:p>
        </w:tc>
        <w:tc>
          <w:tcPr>
            <w:tcW w:w="8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140" w:type="dxa"/>
            <w:vAlign w:val="bottom"/>
          </w:tcPr>
          <w:p>
            <w:pPr>
              <w:spacing w:after="0"/>
              <w:rPr>
                <w:sz w:val="19"/>
                <w:szCs w:val="19"/>
                <w:color w:val="auto"/>
              </w:rPr>
            </w:pPr>
          </w:p>
        </w:tc>
        <w:tc>
          <w:tcPr>
            <w:tcW w:w="4340" w:type="dxa"/>
            <w:vAlign w:val="bottom"/>
          </w:tcPr>
          <w:p>
            <w:pPr>
              <w:ind w:left="40"/>
              <w:spacing w:after="0" w:line="226" w:lineRule="exact"/>
              <w:rPr>
                <w:sz w:val="20"/>
                <w:szCs w:val="20"/>
                <w:color w:val="auto"/>
              </w:rPr>
            </w:pPr>
            <w:r>
              <w:rPr>
                <w:rFonts w:ascii="Times New Roman" w:cs="Times New Roman" w:eastAsia="Times New Roman" w:hAnsi="Times New Roman"/>
                <w:sz w:val="20"/>
                <w:szCs w:val="20"/>
                <w:color w:val="auto"/>
              </w:rPr>
              <w:t>World International Holdings Ltd., Taiwan Branch</w:t>
            </w:r>
          </w:p>
        </w:tc>
        <w:tc>
          <w:tcPr>
            <w:tcW w:w="8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140" w:type="dxa"/>
            <w:vAlign w:val="bottom"/>
          </w:tcPr>
          <w:p>
            <w:pPr>
              <w:spacing w:after="0"/>
              <w:rPr>
                <w:sz w:val="22"/>
                <w:szCs w:val="22"/>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and San Ho Enterprise Co., Ltd.</w:t>
            </w:r>
          </w:p>
        </w:tc>
        <w:tc>
          <w:tcPr>
            <w:tcW w:w="8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4"/>
        </w:trPr>
        <w:tc>
          <w:tcPr>
            <w:tcW w:w="114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10.13</w:t>
            </w:r>
          </w:p>
        </w:tc>
        <w:tc>
          <w:tcPr>
            <w:tcW w:w="43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Form of Exchange Agreement, dated December 18,</w:t>
            </w:r>
          </w:p>
        </w:tc>
        <w:tc>
          <w:tcPr>
            <w:tcW w:w="860" w:type="dxa"/>
            <w:vAlign w:val="bottom"/>
          </w:tcPr>
          <w:p>
            <w:pPr>
              <w:jc w:val="center"/>
              <w:ind w:right="22"/>
              <w:spacing w:after="0"/>
              <w:rPr>
                <w:sz w:val="20"/>
                <w:szCs w:val="20"/>
                <w:color w:val="auto"/>
              </w:rPr>
            </w:pPr>
            <w:r>
              <w:rPr>
                <w:rFonts w:ascii="Times New Roman" w:cs="Times New Roman" w:eastAsia="Times New Roman" w:hAnsi="Times New Roman"/>
                <w:sz w:val="20"/>
                <w:szCs w:val="20"/>
                <w:color w:val="auto"/>
                <w:w w:val="96"/>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001-36083</w:t>
            </w:r>
          </w:p>
        </w:tc>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10.1</w:t>
            </w: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December 20, 2024</w:t>
            </w:r>
          </w:p>
        </w:tc>
        <w:tc>
          <w:tcPr>
            <w:tcW w:w="0" w:type="dxa"/>
            <w:vAlign w:val="bottom"/>
          </w:tcPr>
          <w:p>
            <w:pPr>
              <w:spacing w:after="0"/>
              <w:rPr>
                <w:sz w:val="1"/>
                <w:szCs w:val="1"/>
                <w:color w:val="auto"/>
              </w:rPr>
            </w:pPr>
          </w:p>
        </w:tc>
      </w:tr>
      <w:tr>
        <w:trPr>
          <w:trHeight w:val="226"/>
        </w:trPr>
        <w:tc>
          <w:tcPr>
            <w:tcW w:w="1140" w:type="dxa"/>
            <w:vAlign w:val="bottom"/>
          </w:tcPr>
          <w:p>
            <w:pPr>
              <w:spacing w:after="0"/>
              <w:rPr>
                <w:sz w:val="19"/>
                <w:szCs w:val="19"/>
                <w:color w:val="auto"/>
              </w:rPr>
            </w:pPr>
          </w:p>
        </w:tc>
        <w:tc>
          <w:tcPr>
            <w:tcW w:w="4340" w:type="dxa"/>
            <w:vAlign w:val="bottom"/>
          </w:tcPr>
          <w:p>
            <w:pPr>
              <w:ind w:left="40"/>
              <w:spacing w:after="0" w:line="226" w:lineRule="exact"/>
              <w:rPr>
                <w:sz w:val="20"/>
                <w:szCs w:val="20"/>
                <w:color w:val="auto"/>
              </w:rPr>
            </w:pPr>
            <w:r>
              <w:rPr>
                <w:rFonts w:ascii="Times New Roman" w:cs="Times New Roman" w:eastAsia="Times New Roman" w:hAnsi="Times New Roman"/>
                <w:sz w:val="20"/>
                <w:szCs w:val="20"/>
                <w:color w:val="auto"/>
              </w:rPr>
              <w:t>2024, between Applied Optoelectronics, Inc. and</w:t>
            </w:r>
          </w:p>
        </w:tc>
        <w:tc>
          <w:tcPr>
            <w:tcW w:w="8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140" w:type="dxa"/>
            <w:vAlign w:val="bottom"/>
          </w:tcPr>
          <w:p>
            <w:pPr>
              <w:spacing w:after="0"/>
              <w:rPr>
                <w:sz w:val="22"/>
                <w:szCs w:val="22"/>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the applicable Noteholders</w:t>
            </w:r>
          </w:p>
        </w:tc>
        <w:tc>
          <w:tcPr>
            <w:tcW w:w="8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4"/>
        </w:trPr>
        <w:tc>
          <w:tcPr>
            <w:tcW w:w="114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10.14</w:t>
            </w:r>
          </w:p>
        </w:tc>
        <w:tc>
          <w:tcPr>
            <w:tcW w:w="43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Transaction Agreement, by and between Applied</w:t>
            </w:r>
          </w:p>
        </w:tc>
        <w:tc>
          <w:tcPr>
            <w:tcW w:w="860" w:type="dxa"/>
            <w:vAlign w:val="bottom"/>
          </w:tcPr>
          <w:p>
            <w:pPr>
              <w:jc w:val="center"/>
              <w:ind w:right="22"/>
              <w:spacing w:after="0"/>
              <w:rPr>
                <w:sz w:val="20"/>
                <w:szCs w:val="20"/>
                <w:color w:val="auto"/>
              </w:rPr>
            </w:pPr>
            <w:r>
              <w:rPr>
                <w:rFonts w:ascii="Times New Roman" w:cs="Times New Roman" w:eastAsia="Times New Roman" w:hAnsi="Times New Roman"/>
                <w:sz w:val="20"/>
                <w:szCs w:val="20"/>
                <w:color w:val="auto"/>
                <w:w w:val="96"/>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001-36083</w:t>
            </w:r>
          </w:p>
        </w:tc>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10.1</w:t>
            </w: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March 13, 2025</w:t>
            </w:r>
          </w:p>
        </w:tc>
        <w:tc>
          <w:tcPr>
            <w:tcW w:w="0" w:type="dxa"/>
            <w:vAlign w:val="bottom"/>
          </w:tcPr>
          <w:p>
            <w:pPr>
              <w:spacing w:after="0"/>
              <w:rPr>
                <w:sz w:val="1"/>
                <w:szCs w:val="1"/>
                <w:color w:val="auto"/>
              </w:rPr>
            </w:pPr>
          </w:p>
        </w:tc>
      </w:tr>
      <w:tr>
        <w:trPr>
          <w:trHeight w:val="226"/>
        </w:trPr>
        <w:tc>
          <w:tcPr>
            <w:tcW w:w="1140" w:type="dxa"/>
            <w:vAlign w:val="bottom"/>
          </w:tcPr>
          <w:p>
            <w:pPr>
              <w:spacing w:after="0"/>
              <w:rPr>
                <w:sz w:val="19"/>
                <w:szCs w:val="19"/>
                <w:color w:val="auto"/>
              </w:rPr>
            </w:pPr>
          </w:p>
        </w:tc>
        <w:tc>
          <w:tcPr>
            <w:tcW w:w="4340" w:type="dxa"/>
            <w:vAlign w:val="bottom"/>
          </w:tcPr>
          <w:p>
            <w:pPr>
              <w:ind w:left="40"/>
              <w:spacing w:after="0" w:line="226" w:lineRule="exact"/>
              <w:rPr>
                <w:sz w:val="20"/>
                <w:szCs w:val="20"/>
                <w:color w:val="auto"/>
              </w:rPr>
            </w:pPr>
            <w:r>
              <w:rPr>
                <w:rFonts w:ascii="Times New Roman" w:cs="Times New Roman" w:eastAsia="Times New Roman" w:hAnsi="Times New Roman"/>
                <w:sz w:val="20"/>
                <w:szCs w:val="20"/>
                <w:color w:val="auto"/>
              </w:rPr>
              <w:t>Optoelectronics, Inc. and Amazon.com, Inc., dated</w:t>
            </w:r>
          </w:p>
        </w:tc>
        <w:tc>
          <w:tcPr>
            <w:tcW w:w="8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140" w:type="dxa"/>
            <w:vAlign w:val="bottom"/>
          </w:tcPr>
          <w:p>
            <w:pPr>
              <w:spacing w:after="0"/>
              <w:rPr>
                <w:sz w:val="22"/>
                <w:szCs w:val="22"/>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as of March 13, 2025</w:t>
            </w:r>
          </w:p>
        </w:tc>
        <w:tc>
          <w:tcPr>
            <w:tcW w:w="8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4"/>
        </w:trPr>
        <w:tc>
          <w:tcPr>
            <w:tcW w:w="114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10.15</w:t>
            </w:r>
          </w:p>
        </w:tc>
        <w:tc>
          <w:tcPr>
            <w:tcW w:w="43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Lease, dated April 3, 2025, between Applied</w:t>
            </w:r>
          </w:p>
        </w:tc>
        <w:tc>
          <w:tcPr>
            <w:tcW w:w="860" w:type="dxa"/>
            <w:vAlign w:val="bottom"/>
          </w:tcPr>
          <w:p>
            <w:pPr>
              <w:jc w:val="center"/>
              <w:ind w:right="22"/>
              <w:spacing w:after="0"/>
              <w:rPr>
                <w:sz w:val="20"/>
                <w:szCs w:val="20"/>
                <w:color w:val="auto"/>
              </w:rPr>
            </w:pPr>
            <w:r>
              <w:rPr>
                <w:rFonts w:ascii="Times New Roman" w:cs="Times New Roman" w:eastAsia="Times New Roman" w:hAnsi="Times New Roman"/>
                <w:sz w:val="20"/>
                <w:szCs w:val="20"/>
                <w:color w:val="auto"/>
                <w:w w:val="96"/>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001-36083</w:t>
            </w:r>
          </w:p>
        </w:tc>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10.1</w:t>
            </w: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April 9, 2025</w:t>
            </w:r>
          </w:p>
        </w:tc>
        <w:tc>
          <w:tcPr>
            <w:tcW w:w="0" w:type="dxa"/>
            <w:vAlign w:val="bottom"/>
          </w:tcPr>
          <w:p>
            <w:pPr>
              <w:spacing w:after="0"/>
              <w:rPr>
                <w:sz w:val="1"/>
                <w:szCs w:val="1"/>
                <w:color w:val="auto"/>
              </w:rPr>
            </w:pPr>
          </w:p>
        </w:tc>
      </w:tr>
      <w:tr>
        <w:trPr>
          <w:trHeight w:val="226"/>
        </w:trPr>
        <w:tc>
          <w:tcPr>
            <w:tcW w:w="1140" w:type="dxa"/>
            <w:vAlign w:val="bottom"/>
          </w:tcPr>
          <w:p>
            <w:pPr>
              <w:spacing w:after="0"/>
              <w:rPr>
                <w:sz w:val="19"/>
                <w:szCs w:val="19"/>
                <w:color w:val="auto"/>
              </w:rPr>
            </w:pPr>
          </w:p>
        </w:tc>
        <w:tc>
          <w:tcPr>
            <w:tcW w:w="4340" w:type="dxa"/>
            <w:vAlign w:val="bottom"/>
          </w:tcPr>
          <w:p>
            <w:pPr>
              <w:ind w:left="40"/>
              <w:spacing w:after="0" w:line="226" w:lineRule="exact"/>
              <w:rPr>
                <w:sz w:val="20"/>
                <w:szCs w:val="20"/>
                <w:color w:val="auto"/>
              </w:rPr>
            </w:pPr>
            <w:r>
              <w:rPr>
                <w:rFonts w:ascii="Times New Roman" w:cs="Times New Roman" w:eastAsia="Times New Roman" w:hAnsi="Times New Roman"/>
                <w:sz w:val="20"/>
                <w:szCs w:val="20"/>
                <w:color w:val="auto"/>
              </w:rPr>
              <w:t>Optoelectronics, Inc. and Albany Road-Breck</w:t>
            </w:r>
          </w:p>
        </w:tc>
        <w:tc>
          <w:tcPr>
            <w:tcW w:w="8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140" w:type="dxa"/>
            <w:vAlign w:val="bottom"/>
          </w:tcPr>
          <w:p>
            <w:pPr>
              <w:spacing w:after="0"/>
              <w:rPr>
                <w:sz w:val="22"/>
                <w:szCs w:val="22"/>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Exchange, LLC</w:t>
            </w:r>
          </w:p>
        </w:tc>
        <w:tc>
          <w:tcPr>
            <w:tcW w:w="8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4"/>
        </w:trPr>
        <w:tc>
          <w:tcPr>
            <w:tcW w:w="114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10.16</w:t>
            </w:r>
          </w:p>
        </w:tc>
        <w:tc>
          <w:tcPr>
            <w:tcW w:w="43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Translation of the Land and Building Lease</w:t>
            </w:r>
          </w:p>
        </w:tc>
        <w:tc>
          <w:tcPr>
            <w:tcW w:w="860" w:type="dxa"/>
            <w:vAlign w:val="bottom"/>
          </w:tcPr>
          <w:p>
            <w:pPr>
              <w:jc w:val="center"/>
              <w:ind w:right="22"/>
              <w:spacing w:after="0"/>
              <w:rPr>
                <w:sz w:val="20"/>
                <w:szCs w:val="20"/>
                <w:color w:val="auto"/>
              </w:rPr>
            </w:pPr>
            <w:r>
              <w:rPr>
                <w:rFonts w:ascii="Times New Roman" w:cs="Times New Roman" w:eastAsia="Times New Roman" w:hAnsi="Times New Roman"/>
                <w:sz w:val="20"/>
                <w:szCs w:val="20"/>
                <w:color w:val="auto"/>
                <w:w w:val="96"/>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001-36083</w:t>
            </w:r>
          </w:p>
        </w:tc>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10.1</w:t>
            </w: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June 11, 2025</w:t>
            </w:r>
          </w:p>
        </w:tc>
        <w:tc>
          <w:tcPr>
            <w:tcW w:w="0" w:type="dxa"/>
            <w:vAlign w:val="bottom"/>
          </w:tcPr>
          <w:p>
            <w:pPr>
              <w:spacing w:after="0"/>
              <w:rPr>
                <w:sz w:val="1"/>
                <w:szCs w:val="1"/>
                <w:color w:val="auto"/>
              </w:rPr>
            </w:pPr>
          </w:p>
        </w:tc>
      </w:tr>
      <w:tr>
        <w:trPr>
          <w:trHeight w:val="226"/>
        </w:trPr>
        <w:tc>
          <w:tcPr>
            <w:tcW w:w="1140" w:type="dxa"/>
            <w:vAlign w:val="bottom"/>
          </w:tcPr>
          <w:p>
            <w:pPr>
              <w:spacing w:after="0"/>
              <w:rPr>
                <w:sz w:val="19"/>
                <w:szCs w:val="19"/>
                <w:color w:val="auto"/>
              </w:rPr>
            </w:pPr>
          </w:p>
        </w:tc>
        <w:tc>
          <w:tcPr>
            <w:tcW w:w="4340" w:type="dxa"/>
            <w:vAlign w:val="bottom"/>
          </w:tcPr>
          <w:p>
            <w:pPr>
              <w:ind w:left="40"/>
              <w:spacing w:after="0" w:line="226" w:lineRule="exact"/>
              <w:rPr>
                <w:sz w:val="20"/>
                <w:szCs w:val="20"/>
                <w:color w:val="auto"/>
              </w:rPr>
            </w:pPr>
            <w:r>
              <w:rPr>
                <w:rFonts w:ascii="Times New Roman" w:cs="Times New Roman" w:eastAsia="Times New Roman" w:hAnsi="Times New Roman"/>
                <w:sz w:val="20"/>
                <w:szCs w:val="20"/>
                <w:color w:val="auto"/>
              </w:rPr>
              <w:t>Agreement, dated June 7, 2025, between Prime</w:t>
            </w:r>
          </w:p>
        </w:tc>
        <w:tc>
          <w:tcPr>
            <w:tcW w:w="8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180"/>
        <w:spacing w:after="0" w:line="235" w:lineRule="auto"/>
        <w:rPr>
          <w:sz w:val="20"/>
          <w:szCs w:val="20"/>
          <w:color w:val="auto"/>
        </w:rPr>
      </w:pPr>
      <w:r>
        <w:rPr>
          <w:rFonts w:ascii="Times New Roman" w:cs="Times New Roman" w:eastAsia="Times New Roman" w:hAnsi="Times New Roman"/>
          <w:sz w:val="20"/>
          <w:szCs w:val="20"/>
          <w:color w:val="auto"/>
        </w:rPr>
        <w:t>World International Holdings Ltd., Taiwan Branch</w:t>
      </w:r>
    </w:p>
    <w:p>
      <w:pPr>
        <w:spacing w:after="0" w:line="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0"/>
          <w:szCs w:val="20"/>
          <w:color w:val="auto"/>
        </w:rPr>
        <w:t>and San Ho Electric Machinery Industry Co., Ltd.</w:t>
      </w:r>
    </w:p>
    <w:p>
      <w:pPr>
        <w:sectPr>
          <w:pgSz w:w="11880" w:h="15480" w:orient="portrait"/>
          <w:cols w:equalWidth="0" w:num="1">
            <w:col w:w="10480"/>
          </w:cols>
          <w:pgMar w:left="660" w:top="413"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53</w:t>
      </w:r>
    </w:p>
    <w:p>
      <w:pPr>
        <w:sectPr>
          <w:pgSz w:w="11880" w:h="15480" w:orient="portrait"/>
          <w:cols w:equalWidth="0" w:num="1">
            <w:col w:w="10480"/>
          </w:cols>
          <w:pgMar w:left="660" w:top="413" w:right="740" w:bottom="0" w:gutter="0" w:footer="0" w:header="0"/>
          <w:type w:val="continuous"/>
        </w:sectPr>
      </w:pPr>
    </w:p>
    <w:bookmarkStart w:id="55" w:name="page56"/>
    <w:bookmarkEnd w:id="55"/>
    <w:tbl>
      <w:tblPr>
        <w:tblLayout w:type="fixed"/>
        <w:tblInd w:w="0" w:type="dxa"/>
        <w:tblCellMar>
          <w:top w:w="0" w:type="dxa"/>
          <w:left w:w="0" w:type="dxa"/>
          <w:bottom w:w="0" w:type="dxa"/>
          <w:right w:w="0" w:type="dxa"/>
        </w:tblCellMar>
      </w:tblPr>
      <w:tr>
        <w:trPr>
          <w:trHeight w:val="252"/>
        </w:trPr>
        <w:tc>
          <w:tcPr>
            <w:tcW w:w="1080" w:type="dxa"/>
            <w:vAlign w:val="bottom"/>
            <w:vMerge w:val="restart"/>
          </w:tcPr>
          <w:p>
            <w:pPr>
              <w:jc w:val="right"/>
              <w:ind w:right="162"/>
              <w:spacing w:after="0"/>
              <w:rPr>
                <w:sz w:val="20"/>
                <w:szCs w:val="20"/>
                <w:color w:val="auto"/>
              </w:rPr>
            </w:pPr>
            <w:r>
              <w:rPr>
                <w:rFonts w:ascii="Times New Roman" w:cs="Times New Roman" w:eastAsia="Times New Roman" w:hAnsi="Times New Roman"/>
                <w:sz w:val="20"/>
                <w:szCs w:val="20"/>
                <w:b w:val="1"/>
                <w:bCs w:val="1"/>
                <w:color w:val="auto"/>
              </w:rPr>
              <w:t>Number</w:t>
            </w:r>
          </w:p>
        </w:tc>
        <w:tc>
          <w:tcPr>
            <w:tcW w:w="4420" w:type="dxa"/>
            <w:vAlign w:val="bottom"/>
            <w:vMerge w:val="restart"/>
          </w:tcPr>
          <w:p>
            <w:pPr>
              <w:ind w:left="1340"/>
              <w:spacing w:after="0"/>
              <w:rPr>
                <w:sz w:val="20"/>
                <w:szCs w:val="20"/>
                <w:color w:val="auto"/>
              </w:rPr>
            </w:pPr>
            <w:r>
              <w:rPr>
                <w:rFonts w:ascii="Times New Roman" w:cs="Times New Roman" w:eastAsia="Times New Roman" w:hAnsi="Times New Roman"/>
                <w:sz w:val="20"/>
                <w:szCs w:val="20"/>
                <w:b w:val="1"/>
                <w:bCs w:val="1"/>
                <w:color w:val="auto"/>
              </w:rPr>
              <w:t>Exhibit Description</w:t>
            </w:r>
          </w:p>
        </w:tc>
        <w:tc>
          <w:tcPr>
            <w:tcW w:w="820" w:type="dxa"/>
            <w:vAlign w:val="bottom"/>
            <w:tcBorders>
              <w:bottom w:val="single" w:sz="8" w:color="auto"/>
            </w:tcBorders>
          </w:tcPr>
          <w:p>
            <w:pPr>
              <w:spacing w:after="0"/>
              <w:rPr>
                <w:sz w:val="21"/>
                <w:szCs w:val="21"/>
                <w:color w:val="auto"/>
              </w:rPr>
            </w:pPr>
          </w:p>
        </w:tc>
        <w:tc>
          <w:tcPr>
            <w:tcW w:w="416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20"/>
                <w:szCs w:val="20"/>
                <w:b w:val="1"/>
                <w:bCs w:val="1"/>
                <w:color w:val="auto"/>
              </w:rPr>
              <w:t>Incorporated By Reference</w:t>
            </w:r>
          </w:p>
        </w:tc>
        <w:tc>
          <w:tcPr>
            <w:tcW w:w="0" w:type="dxa"/>
            <w:vAlign w:val="bottom"/>
          </w:tcPr>
          <w:p>
            <w:pPr>
              <w:spacing w:after="0"/>
              <w:rPr>
                <w:sz w:val="1"/>
                <w:szCs w:val="1"/>
                <w:color w:val="auto"/>
              </w:rPr>
            </w:pPr>
          </w:p>
        </w:tc>
      </w:tr>
      <w:tr>
        <w:trPr>
          <w:trHeight w:val="259"/>
        </w:trPr>
        <w:tc>
          <w:tcPr>
            <w:tcW w:w="1080" w:type="dxa"/>
            <w:vAlign w:val="bottom"/>
            <w:vMerge w:val="continue"/>
          </w:tcPr>
          <w:p>
            <w:pPr>
              <w:spacing w:after="0"/>
              <w:rPr>
                <w:sz w:val="22"/>
                <w:szCs w:val="22"/>
                <w:color w:val="auto"/>
              </w:rPr>
            </w:pPr>
          </w:p>
        </w:tc>
        <w:tc>
          <w:tcPr>
            <w:tcW w:w="4420" w:type="dxa"/>
            <w:vAlign w:val="bottom"/>
            <w:vMerge w:val="continue"/>
          </w:tcPr>
          <w:p>
            <w:pPr>
              <w:spacing w:after="0"/>
              <w:rPr>
                <w:sz w:val="22"/>
                <w:szCs w:val="2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6"/>
              </w:rPr>
              <w:t>Form</w:t>
            </w:r>
          </w:p>
        </w:tc>
        <w:tc>
          <w:tcPr>
            <w:tcW w:w="12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File No.</w:t>
            </w: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Exhibit</w:t>
            </w:r>
          </w:p>
        </w:tc>
        <w:tc>
          <w:tcPr>
            <w:tcW w:w="1840" w:type="dxa"/>
            <w:vAlign w:val="bottom"/>
          </w:tcPr>
          <w:p>
            <w:pPr>
              <w:jc w:val="center"/>
              <w:ind w:left="22"/>
              <w:spacing w:after="0"/>
              <w:rPr>
                <w:sz w:val="20"/>
                <w:szCs w:val="20"/>
                <w:color w:val="auto"/>
              </w:rPr>
            </w:pPr>
            <w:r>
              <w:rPr>
                <w:rFonts w:ascii="Times New Roman" w:cs="Times New Roman" w:eastAsia="Times New Roman" w:hAnsi="Times New Roman"/>
                <w:sz w:val="20"/>
                <w:szCs w:val="20"/>
                <w:b w:val="1"/>
                <w:bCs w:val="1"/>
                <w:color w:val="auto"/>
                <w:w w:val="96"/>
              </w:rPr>
              <w:t>Filing Date</w:t>
            </w:r>
          </w:p>
        </w:tc>
        <w:tc>
          <w:tcPr>
            <w:tcW w:w="0" w:type="dxa"/>
            <w:vAlign w:val="bottom"/>
          </w:tcPr>
          <w:p>
            <w:pPr>
              <w:spacing w:after="0"/>
              <w:rPr>
                <w:sz w:val="1"/>
                <w:szCs w:val="1"/>
                <w:color w:val="auto"/>
              </w:rPr>
            </w:pPr>
          </w:p>
        </w:tc>
      </w:tr>
      <w:tr>
        <w:trPr>
          <w:trHeight w:val="192"/>
        </w:trPr>
        <w:tc>
          <w:tcPr>
            <w:tcW w:w="5500" w:type="dxa"/>
            <w:vAlign w:val="bottom"/>
            <w:tcBorders>
              <w:bottom w:val="single" w:sz="8" w:color="auto"/>
            </w:tcBorders>
            <w:gridSpan w:val="2"/>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500" w:type="dxa"/>
            <w:vAlign w:val="bottom"/>
            <w:gridSpan w:val="2"/>
          </w:tcPr>
          <w:p>
            <w:pPr>
              <w:ind w:left="540"/>
              <w:spacing w:after="0" w:line="201" w:lineRule="exact"/>
              <w:rPr>
                <w:sz w:val="20"/>
                <w:szCs w:val="20"/>
                <w:color w:val="auto"/>
              </w:rPr>
            </w:pPr>
            <w:r>
              <w:rPr>
                <w:rFonts w:ascii="Times New Roman" w:cs="Times New Roman" w:eastAsia="Times New Roman" w:hAnsi="Times New Roman"/>
                <w:sz w:val="20"/>
                <w:szCs w:val="20"/>
                <w:color w:val="auto"/>
              </w:rPr>
              <w:t>10.17  Translation of the RMB Working Capital Loan</w:t>
            </w:r>
          </w:p>
        </w:tc>
        <w:tc>
          <w:tcPr>
            <w:tcW w:w="820" w:type="dxa"/>
            <w:vAlign w:val="bottom"/>
          </w:tcPr>
          <w:p>
            <w:pPr>
              <w:jc w:val="center"/>
              <w:spacing w:after="0" w:line="201" w:lineRule="exact"/>
              <w:rPr>
                <w:sz w:val="20"/>
                <w:szCs w:val="20"/>
                <w:color w:val="auto"/>
              </w:rPr>
            </w:pPr>
            <w:r>
              <w:rPr>
                <w:rFonts w:ascii="Times New Roman" w:cs="Times New Roman" w:eastAsia="Times New Roman" w:hAnsi="Times New Roman"/>
                <w:sz w:val="20"/>
                <w:szCs w:val="20"/>
                <w:color w:val="auto"/>
                <w:w w:val="96"/>
              </w:rPr>
              <w:t>8-K</w:t>
            </w:r>
          </w:p>
        </w:tc>
        <w:tc>
          <w:tcPr>
            <w:tcW w:w="1280" w:type="dxa"/>
            <w:vAlign w:val="bottom"/>
          </w:tcPr>
          <w:p>
            <w:pPr>
              <w:jc w:val="center"/>
              <w:spacing w:after="0" w:line="201" w:lineRule="exact"/>
              <w:rPr>
                <w:sz w:val="20"/>
                <w:szCs w:val="20"/>
                <w:color w:val="auto"/>
              </w:rPr>
            </w:pPr>
            <w:r>
              <w:rPr>
                <w:rFonts w:ascii="Times New Roman" w:cs="Times New Roman" w:eastAsia="Times New Roman" w:hAnsi="Times New Roman"/>
                <w:sz w:val="20"/>
                <w:szCs w:val="20"/>
                <w:color w:val="auto"/>
                <w:w w:val="99"/>
              </w:rPr>
              <w:t>001-36083</w:t>
            </w:r>
          </w:p>
        </w:tc>
        <w:tc>
          <w:tcPr>
            <w:tcW w:w="1040" w:type="dxa"/>
            <w:vAlign w:val="bottom"/>
          </w:tcPr>
          <w:p>
            <w:pPr>
              <w:jc w:val="center"/>
              <w:spacing w:after="0" w:line="201" w:lineRule="exact"/>
              <w:rPr>
                <w:sz w:val="20"/>
                <w:szCs w:val="20"/>
                <w:color w:val="auto"/>
              </w:rPr>
            </w:pPr>
            <w:r>
              <w:rPr>
                <w:rFonts w:ascii="Times New Roman" w:cs="Times New Roman" w:eastAsia="Times New Roman" w:hAnsi="Times New Roman"/>
                <w:sz w:val="20"/>
                <w:szCs w:val="20"/>
                <w:color w:val="auto"/>
                <w:w w:val="97"/>
              </w:rPr>
              <w:t>10.1</w:t>
            </w:r>
          </w:p>
        </w:tc>
        <w:tc>
          <w:tcPr>
            <w:tcW w:w="1840" w:type="dxa"/>
            <w:vAlign w:val="bottom"/>
          </w:tcPr>
          <w:p>
            <w:pPr>
              <w:jc w:val="center"/>
              <w:ind w:left="22"/>
              <w:spacing w:after="0" w:line="201" w:lineRule="exact"/>
              <w:rPr>
                <w:sz w:val="20"/>
                <w:szCs w:val="20"/>
                <w:color w:val="auto"/>
              </w:rPr>
            </w:pPr>
            <w:r>
              <w:rPr>
                <w:rFonts w:ascii="Times New Roman" w:cs="Times New Roman" w:eastAsia="Times New Roman" w:hAnsi="Times New Roman"/>
                <w:sz w:val="20"/>
                <w:szCs w:val="20"/>
                <w:color w:val="auto"/>
                <w:w w:val="96"/>
              </w:rPr>
              <w:t>June 18, 2025</w:t>
            </w:r>
          </w:p>
        </w:tc>
        <w:tc>
          <w:tcPr>
            <w:tcW w:w="0" w:type="dxa"/>
            <w:vAlign w:val="bottom"/>
          </w:tcPr>
          <w:p>
            <w:pPr>
              <w:spacing w:after="0"/>
              <w:rPr>
                <w:sz w:val="1"/>
                <w:szCs w:val="1"/>
                <w:color w:val="auto"/>
              </w:rPr>
            </w:pPr>
          </w:p>
        </w:tc>
      </w:tr>
      <w:tr>
        <w:trPr>
          <w:trHeight w:val="226"/>
        </w:trPr>
        <w:tc>
          <w:tcPr>
            <w:tcW w:w="1080" w:type="dxa"/>
            <w:vAlign w:val="bottom"/>
          </w:tcPr>
          <w:p>
            <w:pPr>
              <w:spacing w:after="0"/>
              <w:rPr>
                <w:sz w:val="19"/>
                <w:szCs w:val="19"/>
                <w:color w:val="auto"/>
              </w:rPr>
            </w:pPr>
          </w:p>
        </w:tc>
        <w:tc>
          <w:tcPr>
            <w:tcW w:w="4420" w:type="dxa"/>
            <w:vAlign w:val="bottom"/>
          </w:tcPr>
          <w:p>
            <w:pPr>
              <w:ind w:left="100"/>
              <w:spacing w:after="0" w:line="226" w:lineRule="exact"/>
              <w:rPr>
                <w:sz w:val="20"/>
                <w:szCs w:val="20"/>
                <w:color w:val="auto"/>
              </w:rPr>
            </w:pPr>
            <w:r>
              <w:rPr>
                <w:rFonts w:ascii="Times New Roman" w:cs="Times New Roman" w:eastAsia="Times New Roman" w:hAnsi="Times New Roman"/>
                <w:sz w:val="20"/>
                <w:szCs w:val="20"/>
                <w:color w:val="auto"/>
              </w:rPr>
              <w:t>Contract (RMB 96,800,000), between Global</w:t>
            </w:r>
          </w:p>
        </w:tc>
        <w:tc>
          <w:tcPr>
            <w:tcW w:w="8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080" w:type="dxa"/>
            <w:vAlign w:val="bottom"/>
          </w:tcPr>
          <w:p>
            <w:pPr>
              <w:spacing w:after="0"/>
              <w:rPr>
                <w:sz w:val="19"/>
                <w:szCs w:val="19"/>
                <w:color w:val="auto"/>
              </w:rPr>
            </w:pPr>
          </w:p>
        </w:tc>
        <w:tc>
          <w:tcPr>
            <w:tcW w:w="4420" w:type="dxa"/>
            <w:vAlign w:val="bottom"/>
          </w:tcPr>
          <w:p>
            <w:pPr>
              <w:ind w:left="100"/>
              <w:spacing w:after="0" w:line="226" w:lineRule="exact"/>
              <w:rPr>
                <w:sz w:val="20"/>
                <w:szCs w:val="20"/>
                <w:color w:val="auto"/>
              </w:rPr>
            </w:pPr>
            <w:r>
              <w:rPr>
                <w:rFonts w:ascii="Times New Roman" w:cs="Times New Roman" w:eastAsia="Times New Roman" w:hAnsi="Times New Roman"/>
                <w:sz w:val="20"/>
                <w:szCs w:val="20"/>
                <w:color w:val="auto"/>
              </w:rPr>
              <w:t>Technology, Inc. and China Construction Bank Co.,</w:t>
            </w:r>
          </w:p>
        </w:tc>
        <w:tc>
          <w:tcPr>
            <w:tcW w:w="8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080" w:type="dxa"/>
            <w:vAlign w:val="bottom"/>
          </w:tcPr>
          <w:p>
            <w:pPr>
              <w:spacing w:after="0"/>
              <w:rPr>
                <w:sz w:val="22"/>
                <w:szCs w:val="22"/>
                <w:color w:val="auto"/>
              </w:rPr>
            </w:pPr>
          </w:p>
        </w:tc>
        <w:tc>
          <w:tcPr>
            <w:tcW w:w="44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Ltd., dated June 12, 2025</w:t>
            </w:r>
          </w:p>
        </w:tc>
        <w:tc>
          <w:tcPr>
            <w:tcW w:w="8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0"/>
        </w:trPr>
        <w:tc>
          <w:tcPr>
            <w:tcW w:w="5500" w:type="dxa"/>
            <w:vAlign w:val="bottom"/>
            <w:gridSpan w:val="2"/>
          </w:tcPr>
          <w:p>
            <w:pPr>
              <w:ind w:left="540"/>
              <w:spacing w:after="0"/>
              <w:rPr>
                <w:sz w:val="20"/>
                <w:szCs w:val="20"/>
                <w:color w:val="auto"/>
              </w:rPr>
            </w:pPr>
            <w:r>
              <w:rPr>
                <w:rFonts w:ascii="Times New Roman" w:cs="Times New Roman" w:eastAsia="Times New Roman" w:hAnsi="Times New Roman"/>
                <w:sz w:val="20"/>
                <w:szCs w:val="20"/>
                <w:color w:val="auto"/>
              </w:rPr>
              <w:t>10.18  Translation of the Maximum Loan (Credit) Contract</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8-K</w:t>
            </w:r>
          </w:p>
        </w:tc>
        <w:tc>
          <w:tcPr>
            <w:tcW w:w="1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001-36083</w:t>
            </w: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10.1</w:t>
            </w:r>
          </w:p>
        </w:tc>
        <w:tc>
          <w:tcPr>
            <w:tcW w:w="1840" w:type="dxa"/>
            <w:vAlign w:val="bottom"/>
          </w:tcPr>
          <w:p>
            <w:pPr>
              <w:jc w:val="center"/>
              <w:ind w:left="22"/>
              <w:spacing w:after="0"/>
              <w:rPr>
                <w:sz w:val="20"/>
                <w:szCs w:val="20"/>
                <w:color w:val="auto"/>
              </w:rPr>
            </w:pPr>
            <w:r>
              <w:rPr>
                <w:rFonts w:ascii="Times New Roman" w:cs="Times New Roman" w:eastAsia="Times New Roman" w:hAnsi="Times New Roman"/>
                <w:sz w:val="20"/>
                <w:szCs w:val="20"/>
                <w:color w:val="auto"/>
                <w:w w:val="97"/>
              </w:rPr>
              <w:t>July 1, 2025</w:t>
            </w:r>
          </w:p>
        </w:tc>
        <w:tc>
          <w:tcPr>
            <w:tcW w:w="0" w:type="dxa"/>
            <w:vAlign w:val="bottom"/>
          </w:tcPr>
          <w:p>
            <w:pPr>
              <w:spacing w:after="0"/>
              <w:rPr>
                <w:sz w:val="1"/>
                <w:szCs w:val="1"/>
                <w:color w:val="auto"/>
              </w:rPr>
            </w:pPr>
          </w:p>
        </w:tc>
      </w:tr>
      <w:tr>
        <w:trPr>
          <w:trHeight w:val="224"/>
        </w:trPr>
        <w:tc>
          <w:tcPr>
            <w:tcW w:w="1080" w:type="dxa"/>
            <w:vAlign w:val="bottom"/>
          </w:tcPr>
          <w:p>
            <w:pPr>
              <w:spacing w:after="0"/>
              <w:rPr>
                <w:sz w:val="19"/>
                <w:szCs w:val="19"/>
                <w:color w:val="auto"/>
              </w:rPr>
            </w:pPr>
          </w:p>
        </w:tc>
        <w:tc>
          <w:tcPr>
            <w:tcW w:w="4420" w:type="dxa"/>
            <w:vAlign w:val="bottom"/>
          </w:tcPr>
          <w:p>
            <w:pPr>
              <w:ind w:left="100"/>
              <w:spacing w:after="0" w:line="224" w:lineRule="exact"/>
              <w:rPr>
                <w:sz w:val="20"/>
                <w:szCs w:val="20"/>
                <w:color w:val="auto"/>
              </w:rPr>
            </w:pPr>
            <w:r>
              <w:rPr>
                <w:rFonts w:ascii="Times New Roman" w:cs="Times New Roman" w:eastAsia="Times New Roman" w:hAnsi="Times New Roman"/>
                <w:sz w:val="20"/>
                <w:szCs w:val="20"/>
                <w:color w:val="auto"/>
              </w:rPr>
              <w:t>(Credit Line Agreement), dated June 26, 2025,</w:t>
            </w:r>
          </w:p>
        </w:tc>
        <w:tc>
          <w:tcPr>
            <w:tcW w:w="8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080" w:type="dxa"/>
            <w:vAlign w:val="bottom"/>
          </w:tcPr>
          <w:p>
            <w:pPr>
              <w:spacing w:after="0"/>
              <w:rPr>
                <w:sz w:val="19"/>
                <w:szCs w:val="19"/>
                <w:color w:val="auto"/>
              </w:rPr>
            </w:pPr>
          </w:p>
        </w:tc>
        <w:tc>
          <w:tcPr>
            <w:tcW w:w="4420" w:type="dxa"/>
            <w:vAlign w:val="bottom"/>
          </w:tcPr>
          <w:p>
            <w:pPr>
              <w:ind w:left="100"/>
              <w:spacing w:after="0" w:line="226" w:lineRule="exact"/>
              <w:rPr>
                <w:sz w:val="20"/>
                <w:szCs w:val="20"/>
                <w:color w:val="auto"/>
              </w:rPr>
            </w:pPr>
            <w:r>
              <w:rPr>
                <w:rFonts w:ascii="Times New Roman" w:cs="Times New Roman" w:eastAsia="Times New Roman" w:hAnsi="Times New Roman"/>
                <w:sz w:val="20"/>
                <w:szCs w:val="20"/>
                <w:color w:val="auto"/>
              </w:rPr>
              <w:t>between Global Technology, Inc. and China</w:t>
            </w:r>
          </w:p>
        </w:tc>
        <w:tc>
          <w:tcPr>
            <w:tcW w:w="8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080" w:type="dxa"/>
            <w:vAlign w:val="bottom"/>
          </w:tcPr>
          <w:p>
            <w:pPr>
              <w:spacing w:after="0"/>
              <w:rPr>
                <w:sz w:val="22"/>
                <w:szCs w:val="22"/>
                <w:color w:val="auto"/>
              </w:rPr>
            </w:pPr>
          </w:p>
        </w:tc>
        <w:tc>
          <w:tcPr>
            <w:tcW w:w="44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Construction Bank Co., Ltd.</w:t>
            </w:r>
          </w:p>
        </w:tc>
        <w:tc>
          <w:tcPr>
            <w:tcW w:w="8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5"/>
        </w:trPr>
        <w:tc>
          <w:tcPr>
            <w:tcW w:w="5500" w:type="dxa"/>
            <w:vAlign w:val="bottom"/>
            <w:gridSpan w:val="2"/>
          </w:tcPr>
          <w:p>
            <w:pPr>
              <w:ind w:left="380"/>
              <w:spacing w:after="0"/>
              <w:rPr>
                <w:sz w:val="20"/>
                <w:szCs w:val="20"/>
                <w:color w:val="auto"/>
              </w:rPr>
            </w:pPr>
            <w:r>
              <w:rPr>
                <w:rFonts w:ascii="Times New Roman" w:cs="Times New Roman" w:eastAsia="Times New Roman" w:hAnsi="Times New Roman"/>
                <w:sz w:val="20"/>
                <w:szCs w:val="20"/>
                <w:color w:val="auto"/>
              </w:rPr>
              <w:t>10.18.1  Translation of the Maximum Mortgage Contract</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8-K</w:t>
            </w:r>
          </w:p>
        </w:tc>
        <w:tc>
          <w:tcPr>
            <w:tcW w:w="1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001-36083</w:t>
            </w: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10.2</w:t>
            </w:r>
          </w:p>
        </w:tc>
        <w:tc>
          <w:tcPr>
            <w:tcW w:w="1840" w:type="dxa"/>
            <w:vAlign w:val="bottom"/>
          </w:tcPr>
          <w:p>
            <w:pPr>
              <w:jc w:val="center"/>
              <w:ind w:left="22"/>
              <w:spacing w:after="0"/>
              <w:rPr>
                <w:sz w:val="20"/>
                <w:szCs w:val="20"/>
                <w:color w:val="auto"/>
              </w:rPr>
            </w:pPr>
            <w:r>
              <w:rPr>
                <w:rFonts w:ascii="Times New Roman" w:cs="Times New Roman" w:eastAsia="Times New Roman" w:hAnsi="Times New Roman"/>
                <w:sz w:val="20"/>
                <w:szCs w:val="20"/>
                <w:color w:val="auto"/>
                <w:w w:val="97"/>
              </w:rPr>
              <w:t>July 1, 2025</w:t>
            </w:r>
          </w:p>
        </w:tc>
        <w:tc>
          <w:tcPr>
            <w:tcW w:w="0" w:type="dxa"/>
            <w:vAlign w:val="bottom"/>
          </w:tcPr>
          <w:p>
            <w:pPr>
              <w:spacing w:after="0"/>
              <w:rPr>
                <w:sz w:val="1"/>
                <w:szCs w:val="1"/>
                <w:color w:val="auto"/>
              </w:rPr>
            </w:pPr>
          </w:p>
        </w:tc>
      </w:tr>
      <w:tr>
        <w:trPr>
          <w:trHeight w:val="226"/>
        </w:trPr>
        <w:tc>
          <w:tcPr>
            <w:tcW w:w="1080" w:type="dxa"/>
            <w:vAlign w:val="bottom"/>
          </w:tcPr>
          <w:p>
            <w:pPr>
              <w:spacing w:after="0"/>
              <w:rPr>
                <w:sz w:val="19"/>
                <w:szCs w:val="19"/>
                <w:color w:val="auto"/>
              </w:rPr>
            </w:pPr>
          </w:p>
        </w:tc>
        <w:tc>
          <w:tcPr>
            <w:tcW w:w="4420" w:type="dxa"/>
            <w:vAlign w:val="bottom"/>
          </w:tcPr>
          <w:p>
            <w:pPr>
              <w:ind w:left="100"/>
              <w:spacing w:after="0" w:line="226" w:lineRule="exact"/>
              <w:rPr>
                <w:sz w:val="20"/>
                <w:szCs w:val="20"/>
                <w:color w:val="auto"/>
              </w:rPr>
            </w:pPr>
            <w:r>
              <w:rPr>
                <w:rFonts w:ascii="Times New Roman" w:cs="Times New Roman" w:eastAsia="Times New Roman" w:hAnsi="Times New Roman"/>
                <w:sz w:val="20"/>
                <w:szCs w:val="20"/>
                <w:color w:val="auto"/>
              </w:rPr>
              <w:t>(Security Agreement), dated June 26, 2025,</w:t>
            </w:r>
          </w:p>
        </w:tc>
        <w:tc>
          <w:tcPr>
            <w:tcW w:w="8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080" w:type="dxa"/>
            <w:vAlign w:val="bottom"/>
          </w:tcPr>
          <w:p>
            <w:pPr>
              <w:spacing w:after="0"/>
              <w:rPr>
                <w:sz w:val="19"/>
                <w:szCs w:val="19"/>
                <w:color w:val="auto"/>
              </w:rPr>
            </w:pPr>
          </w:p>
        </w:tc>
        <w:tc>
          <w:tcPr>
            <w:tcW w:w="4420" w:type="dxa"/>
            <w:vAlign w:val="bottom"/>
          </w:tcPr>
          <w:p>
            <w:pPr>
              <w:ind w:left="100"/>
              <w:spacing w:after="0" w:line="226" w:lineRule="exact"/>
              <w:rPr>
                <w:sz w:val="20"/>
                <w:szCs w:val="20"/>
                <w:color w:val="auto"/>
              </w:rPr>
            </w:pPr>
            <w:r>
              <w:rPr>
                <w:rFonts w:ascii="Times New Roman" w:cs="Times New Roman" w:eastAsia="Times New Roman" w:hAnsi="Times New Roman"/>
                <w:sz w:val="20"/>
                <w:szCs w:val="20"/>
                <w:color w:val="auto"/>
              </w:rPr>
              <w:t>between Global Technology, Inc. and China</w:t>
            </w:r>
          </w:p>
        </w:tc>
        <w:tc>
          <w:tcPr>
            <w:tcW w:w="8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080" w:type="dxa"/>
            <w:vAlign w:val="bottom"/>
          </w:tcPr>
          <w:p>
            <w:pPr>
              <w:spacing w:after="0"/>
              <w:rPr>
                <w:sz w:val="22"/>
                <w:szCs w:val="22"/>
                <w:color w:val="auto"/>
              </w:rPr>
            </w:pPr>
          </w:p>
        </w:tc>
        <w:tc>
          <w:tcPr>
            <w:tcW w:w="44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Construction Bank Co., Ltd.</w:t>
            </w:r>
          </w:p>
        </w:tc>
        <w:tc>
          <w:tcPr>
            <w:tcW w:w="8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3"/>
        </w:trPr>
        <w:tc>
          <w:tcPr>
            <w:tcW w:w="5500" w:type="dxa"/>
            <w:vAlign w:val="bottom"/>
            <w:gridSpan w:val="2"/>
          </w:tcPr>
          <w:p>
            <w:pPr>
              <w:ind w:left="540"/>
              <w:spacing w:after="0"/>
              <w:rPr>
                <w:sz w:val="20"/>
                <w:szCs w:val="20"/>
                <w:color w:val="auto"/>
              </w:rPr>
            </w:pPr>
            <w:r>
              <w:rPr>
                <w:rFonts w:ascii="Times New Roman" w:cs="Times New Roman" w:eastAsia="Times New Roman" w:hAnsi="Times New Roman"/>
                <w:sz w:val="20"/>
                <w:szCs w:val="20"/>
                <w:color w:val="auto"/>
              </w:rPr>
              <w:t>10.19  Translation of the Working Capital Loan Contract</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8-K</w:t>
            </w:r>
          </w:p>
        </w:tc>
        <w:tc>
          <w:tcPr>
            <w:tcW w:w="1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001-36083</w:t>
            </w: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10.1</w:t>
            </w:r>
          </w:p>
        </w:tc>
        <w:tc>
          <w:tcPr>
            <w:tcW w:w="1840" w:type="dxa"/>
            <w:vAlign w:val="bottom"/>
          </w:tcPr>
          <w:p>
            <w:pPr>
              <w:jc w:val="center"/>
              <w:ind w:left="42"/>
              <w:spacing w:after="0"/>
              <w:rPr>
                <w:sz w:val="20"/>
                <w:szCs w:val="20"/>
                <w:color w:val="auto"/>
              </w:rPr>
            </w:pPr>
            <w:r>
              <w:rPr>
                <w:rFonts w:ascii="Times New Roman" w:cs="Times New Roman" w:eastAsia="Times New Roman" w:hAnsi="Times New Roman"/>
                <w:sz w:val="20"/>
                <w:szCs w:val="20"/>
                <w:color w:val="auto"/>
                <w:w w:val="97"/>
              </w:rPr>
              <w:t>July 23, 2025</w:t>
            </w:r>
          </w:p>
        </w:tc>
        <w:tc>
          <w:tcPr>
            <w:tcW w:w="0" w:type="dxa"/>
            <w:vAlign w:val="bottom"/>
          </w:tcPr>
          <w:p>
            <w:pPr>
              <w:spacing w:after="0"/>
              <w:rPr>
                <w:sz w:val="1"/>
                <w:szCs w:val="1"/>
                <w:color w:val="auto"/>
              </w:rPr>
            </w:pPr>
          </w:p>
        </w:tc>
      </w:tr>
      <w:tr>
        <w:trPr>
          <w:trHeight w:val="226"/>
        </w:trPr>
        <w:tc>
          <w:tcPr>
            <w:tcW w:w="1080" w:type="dxa"/>
            <w:vAlign w:val="bottom"/>
          </w:tcPr>
          <w:p>
            <w:pPr>
              <w:spacing w:after="0"/>
              <w:rPr>
                <w:sz w:val="19"/>
                <w:szCs w:val="19"/>
                <w:color w:val="auto"/>
              </w:rPr>
            </w:pPr>
          </w:p>
        </w:tc>
        <w:tc>
          <w:tcPr>
            <w:tcW w:w="4420" w:type="dxa"/>
            <w:vAlign w:val="bottom"/>
          </w:tcPr>
          <w:p>
            <w:pPr>
              <w:ind w:left="100"/>
              <w:spacing w:after="0" w:line="226" w:lineRule="exact"/>
              <w:rPr>
                <w:sz w:val="20"/>
                <w:szCs w:val="20"/>
                <w:color w:val="auto"/>
              </w:rPr>
            </w:pPr>
            <w:r>
              <w:rPr>
                <w:rFonts w:ascii="Times New Roman" w:cs="Times New Roman" w:eastAsia="Times New Roman" w:hAnsi="Times New Roman"/>
                <w:sz w:val="20"/>
                <w:szCs w:val="20"/>
                <w:color w:val="auto"/>
              </w:rPr>
              <w:t>(RMB82,000,000), between Global Technology,</w:t>
            </w:r>
          </w:p>
        </w:tc>
        <w:tc>
          <w:tcPr>
            <w:tcW w:w="8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080" w:type="dxa"/>
            <w:vAlign w:val="bottom"/>
          </w:tcPr>
          <w:p>
            <w:pPr>
              <w:spacing w:after="0"/>
              <w:rPr>
                <w:sz w:val="19"/>
                <w:szCs w:val="19"/>
                <w:color w:val="auto"/>
              </w:rPr>
            </w:pPr>
          </w:p>
        </w:tc>
        <w:tc>
          <w:tcPr>
            <w:tcW w:w="4420" w:type="dxa"/>
            <w:vAlign w:val="bottom"/>
          </w:tcPr>
          <w:p>
            <w:pPr>
              <w:ind w:left="100"/>
              <w:spacing w:after="0" w:line="226" w:lineRule="exact"/>
              <w:rPr>
                <w:sz w:val="20"/>
                <w:szCs w:val="20"/>
                <w:color w:val="auto"/>
              </w:rPr>
            </w:pPr>
            <w:r>
              <w:rPr>
                <w:rFonts w:ascii="Times New Roman" w:cs="Times New Roman" w:eastAsia="Times New Roman" w:hAnsi="Times New Roman"/>
                <w:sz w:val="20"/>
                <w:szCs w:val="20"/>
                <w:color w:val="auto"/>
              </w:rPr>
              <w:t>Inc. and Shanghai Pudong Development Bank Co.,</w:t>
            </w:r>
          </w:p>
        </w:tc>
        <w:tc>
          <w:tcPr>
            <w:tcW w:w="8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080" w:type="dxa"/>
            <w:vAlign w:val="bottom"/>
          </w:tcPr>
          <w:p>
            <w:pPr>
              <w:spacing w:after="0"/>
              <w:rPr>
                <w:sz w:val="22"/>
                <w:szCs w:val="22"/>
                <w:color w:val="auto"/>
              </w:rPr>
            </w:pPr>
          </w:p>
        </w:tc>
        <w:tc>
          <w:tcPr>
            <w:tcW w:w="44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Ltd., dated July 18, 2025</w:t>
            </w:r>
          </w:p>
        </w:tc>
        <w:tc>
          <w:tcPr>
            <w:tcW w:w="8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5"/>
        </w:trPr>
        <w:tc>
          <w:tcPr>
            <w:tcW w:w="5500" w:type="dxa"/>
            <w:vAlign w:val="bottom"/>
            <w:gridSpan w:val="2"/>
          </w:tcPr>
          <w:p>
            <w:pPr>
              <w:ind w:left="540"/>
              <w:spacing w:after="0"/>
              <w:rPr>
                <w:sz w:val="20"/>
                <w:szCs w:val="20"/>
                <w:color w:val="auto"/>
              </w:rPr>
            </w:pPr>
            <w:r>
              <w:rPr>
                <w:rFonts w:ascii="Times New Roman" w:cs="Times New Roman" w:eastAsia="Times New Roman" w:hAnsi="Times New Roman"/>
                <w:sz w:val="20"/>
                <w:szCs w:val="20"/>
                <w:color w:val="auto"/>
              </w:rPr>
              <w:t>10.20  Translation of the Financing Credit Line</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8-K</w:t>
            </w:r>
          </w:p>
        </w:tc>
        <w:tc>
          <w:tcPr>
            <w:tcW w:w="1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001-36083</w:t>
            </w: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10.1</w:t>
            </w:r>
          </w:p>
        </w:tc>
        <w:tc>
          <w:tcPr>
            <w:tcW w:w="1840" w:type="dxa"/>
            <w:vAlign w:val="bottom"/>
          </w:tcPr>
          <w:p>
            <w:pPr>
              <w:jc w:val="center"/>
              <w:ind w:left="22"/>
              <w:spacing w:after="0"/>
              <w:rPr>
                <w:sz w:val="20"/>
                <w:szCs w:val="20"/>
                <w:color w:val="auto"/>
              </w:rPr>
            </w:pPr>
            <w:r>
              <w:rPr>
                <w:rFonts w:ascii="Times New Roman" w:cs="Times New Roman" w:eastAsia="Times New Roman" w:hAnsi="Times New Roman"/>
                <w:sz w:val="20"/>
                <w:szCs w:val="20"/>
                <w:color w:val="auto"/>
                <w:w w:val="97"/>
              </w:rPr>
              <w:t>August 4, 2025</w:t>
            </w:r>
          </w:p>
        </w:tc>
        <w:tc>
          <w:tcPr>
            <w:tcW w:w="0" w:type="dxa"/>
            <w:vAlign w:val="bottom"/>
          </w:tcPr>
          <w:p>
            <w:pPr>
              <w:spacing w:after="0"/>
              <w:rPr>
                <w:sz w:val="1"/>
                <w:szCs w:val="1"/>
                <w:color w:val="auto"/>
              </w:rPr>
            </w:pPr>
          </w:p>
        </w:tc>
      </w:tr>
      <w:tr>
        <w:trPr>
          <w:trHeight w:val="226"/>
        </w:trPr>
        <w:tc>
          <w:tcPr>
            <w:tcW w:w="1080" w:type="dxa"/>
            <w:vAlign w:val="bottom"/>
          </w:tcPr>
          <w:p>
            <w:pPr>
              <w:spacing w:after="0"/>
              <w:rPr>
                <w:sz w:val="19"/>
                <w:szCs w:val="19"/>
                <w:color w:val="auto"/>
              </w:rPr>
            </w:pPr>
          </w:p>
        </w:tc>
        <w:tc>
          <w:tcPr>
            <w:tcW w:w="4420" w:type="dxa"/>
            <w:vAlign w:val="bottom"/>
          </w:tcPr>
          <w:p>
            <w:pPr>
              <w:ind w:left="100"/>
              <w:spacing w:after="0" w:line="226" w:lineRule="exact"/>
              <w:rPr>
                <w:sz w:val="20"/>
                <w:szCs w:val="20"/>
                <w:color w:val="auto"/>
              </w:rPr>
            </w:pPr>
            <w:r>
              <w:rPr>
                <w:rFonts w:ascii="Times New Roman" w:cs="Times New Roman" w:eastAsia="Times New Roman" w:hAnsi="Times New Roman"/>
                <w:sz w:val="20"/>
                <w:szCs w:val="20"/>
                <w:color w:val="auto"/>
              </w:rPr>
              <w:t>Agreement, dated July 29, 2025, between Global</w:t>
            </w:r>
          </w:p>
        </w:tc>
        <w:tc>
          <w:tcPr>
            <w:tcW w:w="8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080" w:type="dxa"/>
            <w:vAlign w:val="bottom"/>
          </w:tcPr>
          <w:p>
            <w:pPr>
              <w:spacing w:after="0"/>
              <w:rPr>
                <w:sz w:val="19"/>
                <w:szCs w:val="19"/>
                <w:color w:val="auto"/>
              </w:rPr>
            </w:pPr>
          </w:p>
        </w:tc>
        <w:tc>
          <w:tcPr>
            <w:tcW w:w="4420" w:type="dxa"/>
            <w:vAlign w:val="bottom"/>
          </w:tcPr>
          <w:p>
            <w:pPr>
              <w:ind w:left="100"/>
              <w:spacing w:after="0" w:line="226" w:lineRule="exact"/>
              <w:rPr>
                <w:sz w:val="20"/>
                <w:szCs w:val="20"/>
                <w:color w:val="auto"/>
              </w:rPr>
            </w:pPr>
            <w:r>
              <w:rPr>
                <w:rFonts w:ascii="Times New Roman" w:cs="Times New Roman" w:eastAsia="Times New Roman" w:hAnsi="Times New Roman"/>
                <w:sz w:val="20"/>
                <w:szCs w:val="20"/>
                <w:color w:val="auto"/>
              </w:rPr>
              <w:t>Technology, Inc. and Shanghai Pudong</w:t>
            </w:r>
          </w:p>
        </w:tc>
        <w:tc>
          <w:tcPr>
            <w:tcW w:w="8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080" w:type="dxa"/>
            <w:vAlign w:val="bottom"/>
          </w:tcPr>
          <w:p>
            <w:pPr>
              <w:spacing w:after="0"/>
              <w:rPr>
                <w:sz w:val="22"/>
                <w:szCs w:val="22"/>
                <w:color w:val="auto"/>
              </w:rPr>
            </w:pPr>
          </w:p>
        </w:tc>
        <w:tc>
          <w:tcPr>
            <w:tcW w:w="44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Development Bank Co., Ltd.</w:t>
            </w:r>
          </w:p>
        </w:tc>
        <w:tc>
          <w:tcPr>
            <w:tcW w:w="8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8"/>
        </w:trPr>
        <w:tc>
          <w:tcPr>
            <w:tcW w:w="108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10.20.1</w:t>
            </w:r>
          </w:p>
        </w:tc>
        <w:tc>
          <w:tcPr>
            <w:tcW w:w="44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Translation of the Maximum Mortgage Contract</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8-K</w:t>
            </w:r>
          </w:p>
        </w:tc>
        <w:tc>
          <w:tcPr>
            <w:tcW w:w="1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001-36083</w:t>
            </w: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10.2</w:t>
            </w:r>
          </w:p>
        </w:tc>
        <w:tc>
          <w:tcPr>
            <w:tcW w:w="1840" w:type="dxa"/>
            <w:vAlign w:val="bottom"/>
          </w:tcPr>
          <w:p>
            <w:pPr>
              <w:jc w:val="center"/>
              <w:ind w:left="22"/>
              <w:spacing w:after="0"/>
              <w:rPr>
                <w:sz w:val="20"/>
                <w:szCs w:val="20"/>
                <w:color w:val="auto"/>
              </w:rPr>
            </w:pPr>
            <w:r>
              <w:rPr>
                <w:rFonts w:ascii="Times New Roman" w:cs="Times New Roman" w:eastAsia="Times New Roman" w:hAnsi="Times New Roman"/>
                <w:sz w:val="20"/>
                <w:szCs w:val="20"/>
                <w:color w:val="auto"/>
                <w:w w:val="97"/>
              </w:rPr>
              <w:t>August 4, 2025</w:t>
            </w:r>
          </w:p>
        </w:tc>
        <w:tc>
          <w:tcPr>
            <w:tcW w:w="0" w:type="dxa"/>
            <w:vAlign w:val="bottom"/>
          </w:tcPr>
          <w:p>
            <w:pPr>
              <w:spacing w:after="0"/>
              <w:rPr>
                <w:sz w:val="1"/>
                <w:szCs w:val="1"/>
                <w:color w:val="auto"/>
              </w:rPr>
            </w:pPr>
          </w:p>
        </w:tc>
      </w:tr>
      <w:tr>
        <w:trPr>
          <w:trHeight w:val="226"/>
        </w:trPr>
        <w:tc>
          <w:tcPr>
            <w:tcW w:w="1080" w:type="dxa"/>
            <w:vAlign w:val="bottom"/>
          </w:tcPr>
          <w:p>
            <w:pPr>
              <w:spacing w:after="0"/>
              <w:rPr>
                <w:sz w:val="19"/>
                <w:szCs w:val="19"/>
                <w:color w:val="auto"/>
              </w:rPr>
            </w:pPr>
          </w:p>
        </w:tc>
        <w:tc>
          <w:tcPr>
            <w:tcW w:w="4420" w:type="dxa"/>
            <w:vAlign w:val="bottom"/>
          </w:tcPr>
          <w:p>
            <w:pPr>
              <w:ind w:left="120"/>
              <w:spacing w:after="0" w:line="226" w:lineRule="exact"/>
              <w:rPr>
                <w:sz w:val="20"/>
                <w:szCs w:val="20"/>
                <w:color w:val="auto"/>
              </w:rPr>
            </w:pPr>
            <w:r>
              <w:rPr>
                <w:rFonts w:ascii="Times New Roman" w:cs="Times New Roman" w:eastAsia="Times New Roman" w:hAnsi="Times New Roman"/>
                <w:sz w:val="20"/>
                <w:szCs w:val="20"/>
                <w:color w:val="auto"/>
              </w:rPr>
              <w:t>(Security Agreement), dated July 29, 2025, between</w:t>
            </w:r>
          </w:p>
        </w:tc>
        <w:tc>
          <w:tcPr>
            <w:tcW w:w="8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080" w:type="dxa"/>
            <w:vAlign w:val="bottom"/>
          </w:tcPr>
          <w:p>
            <w:pPr>
              <w:spacing w:after="0"/>
              <w:rPr>
                <w:sz w:val="19"/>
                <w:szCs w:val="19"/>
                <w:color w:val="auto"/>
              </w:rPr>
            </w:pPr>
          </w:p>
        </w:tc>
        <w:tc>
          <w:tcPr>
            <w:tcW w:w="4420" w:type="dxa"/>
            <w:vAlign w:val="bottom"/>
          </w:tcPr>
          <w:p>
            <w:pPr>
              <w:ind w:left="120"/>
              <w:spacing w:after="0" w:line="226" w:lineRule="exact"/>
              <w:rPr>
                <w:sz w:val="20"/>
                <w:szCs w:val="20"/>
                <w:color w:val="auto"/>
              </w:rPr>
            </w:pPr>
            <w:r>
              <w:rPr>
                <w:rFonts w:ascii="Times New Roman" w:cs="Times New Roman" w:eastAsia="Times New Roman" w:hAnsi="Times New Roman"/>
                <w:sz w:val="20"/>
                <w:szCs w:val="20"/>
                <w:color w:val="auto"/>
              </w:rPr>
              <w:t>Global Technology, Inc. and Shanghai Pudong</w:t>
            </w:r>
          </w:p>
        </w:tc>
        <w:tc>
          <w:tcPr>
            <w:tcW w:w="8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080" w:type="dxa"/>
            <w:vAlign w:val="bottom"/>
          </w:tcPr>
          <w:p>
            <w:pPr>
              <w:spacing w:after="0"/>
              <w:rPr>
                <w:sz w:val="22"/>
                <w:szCs w:val="22"/>
                <w:color w:val="auto"/>
              </w:rPr>
            </w:pPr>
          </w:p>
        </w:tc>
        <w:tc>
          <w:tcPr>
            <w:tcW w:w="44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Development Bank Co., Ltd.</w:t>
            </w:r>
          </w:p>
        </w:tc>
        <w:tc>
          <w:tcPr>
            <w:tcW w:w="8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4"/>
        </w:trPr>
        <w:tc>
          <w:tcPr>
            <w:tcW w:w="108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10.21</w:t>
            </w:r>
          </w:p>
        </w:tc>
        <w:tc>
          <w:tcPr>
            <w:tcW w:w="44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Loan and Security Agreement, dated July 31, 2025,</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8-K</w:t>
            </w:r>
          </w:p>
        </w:tc>
        <w:tc>
          <w:tcPr>
            <w:tcW w:w="1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001-36083</w:t>
            </w: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10.1</w:t>
            </w:r>
          </w:p>
        </w:tc>
        <w:tc>
          <w:tcPr>
            <w:tcW w:w="1840" w:type="dxa"/>
            <w:vAlign w:val="bottom"/>
          </w:tcPr>
          <w:p>
            <w:pPr>
              <w:jc w:val="center"/>
              <w:ind w:left="22"/>
              <w:spacing w:after="0"/>
              <w:rPr>
                <w:sz w:val="20"/>
                <w:szCs w:val="20"/>
                <w:color w:val="auto"/>
              </w:rPr>
            </w:pPr>
            <w:r>
              <w:rPr>
                <w:rFonts w:ascii="Times New Roman" w:cs="Times New Roman" w:eastAsia="Times New Roman" w:hAnsi="Times New Roman"/>
                <w:sz w:val="20"/>
                <w:szCs w:val="20"/>
                <w:color w:val="auto"/>
                <w:w w:val="97"/>
              </w:rPr>
              <w:t>August 6, 2025</w:t>
            </w:r>
          </w:p>
        </w:tc>
        <w:tc>
          <w:tcPr>
            <w:tcW w:w="0" w:type="dxa"/>
            <w:vAlign w:val="bottom"/>
          </w:tcPr>
          <w:p>
            <w:pPr>
              <w:spacing w:after="0"/>
              <w:rPr>
                <w:sz w:val="1"/>
                <w:szCs w:val="1"/>
                <w:color w:val="auto"/>
              </w:rPr>
            </w:pPr>
          </w:p>
        </w:tc>
      </w:tr>
      <w:tr>
        <w:trPr>
          <w:trHeight w:val="226"/>
        </w:trPr>
        <w:tc>
          <w:tcPr>
            <w:tcW w:w="1080" w:type="dxa"/>
            <w:vAlign w:val="bottom"/>
          </w:tcPr>
          <w:p>
            <w:pPr>
              <w:spacing w:after="0"/>
              <w:rPr>
                <w:sz w:val="19"/>
                <w:szCs w:val="19"/>
                <w:color w:val="auto"/>
              </w:rPr>
            </w:pPr>
          </w:p>
        </w:tc>
        <w:tc>
          <w:tcPr>
            <w:tcW w:w="4420" w:type="dxa"/>
            <w:vAlign w:val="bottom"/>
          </w:tcPr>
          <w:p>
            <w:pPr>
              <w:ind w:left="120"/>
              <w:spacing w:after="0" w:line="226" w:lineRule="exact"/>
              <w:rPr>
                <w:sz w:val="20"/>
                <w:szCs w:val="20"/>
                <w:color w:val="auto"/>
              </w:rPr>
            </w:pPr>
            <w:r>
              <w:rPr>
                <w:rFonts w:ascii="Times New Roman" w:cs="Times New Roman" w:eastAsia="Times New Roman" w:hAnsi="Times New Roman"/>
                <w:sz w:val="20"/>
                <w:szCs w:val="20"/>
                <w:color w:val="auto"/>
              </w:rPr>
              <w:t>between Applied Optoelectronics, Inc. and BOKF,</w:t>
            </w:r>
          </w:p>
        </w:tc>
        <w:tc>
          <w:tcPr>
            <w:tcW w:w="8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080" w:type="dxa"/>
            <w:vAlign w:val="bottom"/>
          </w:tcPr>
          <w:p>
            <w:pPr>
              <w:spacing w:after="0"/>
              <w:rPr>
                <w:sz w:val="22"/>
                <w:szCs w:val="22"/>
                <w:color w:val="auto"/>
              </w:rPr>
            </w:pPr>
          </w:p>
        </w:tc>
        <w:tc>
          <w:tcPr>
            <w:tcW w:w="44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NA dba BOK Financial</w:t>
            </w:r>
          </w:p>
        </w:tc>
        <w:tc>
          <w:tcPr>
            <w:tcW w:w="8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4"/>
        </w:trPr>
        <w:tc>
          <w:tcPr>
            <w:tcW w:w="108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10.21.1</w:t>
            </w:r>
          </w:p>
        </w:tc>
        <w:tc>
          <w:tcPr>
            <w:tcW w:w="44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Revolving Note, dated July 31, 2025, between</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8-K</w:t>
            </w:r>
          </w:p>
        </w:tc>
        <w:tc>
          <w:tcPr>
            <w:tcW w:w="1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001-36083</w:t>
            </w: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10.2</w:t>
            </w:r>
          </w:p>
        </w:tc>
        <w:tc>
          <w:tcPr>
            <w:tcW w:w="1840" w:type="dxa"/>
            <w:vAlign w:val="bottom"/>
          </w:tcPr>
          <w:p>
            <w:pPr>
              <w:jc w:val="center"/>
              <w:ind w:left="22"/>
              <w:spacing w:after="0"/>
              <w:rPr>
                <w:sz w:val="20"/>
                <w:szCs w:val="20"/>
                <w:color w:val="auto"/>
              </w:rPr>
            </w:pPr>
            <w:r>
              <w:rPr>
                <w:rFonts w:ascii="Times New Roman" w:cs="Times New Roman" w:eastAsia="Times New Roman" w:hAnsi="Times New Roman"/>
                <w:sz w:val="20"/>
                <w:szCs w:val="20"/>
                <w:color w:val="auto"/>
                <w:w w:val="97"/>
              </w:rPr>
              <w:t>August 6, 2025</w:t>
            </w:r>
          </w:p>
        </w:tc>
        <w:tc>
          <w:tcPr>
            <w:tcW w:w="0" w:type="dxa"/>
            <w:vAlign w:val="bottom"/>
          </w:tcPr>
          <w:p>
            <w:pPr>
              <w:spacing w:after="0"/>
              <w:rPr>
                <w:sz w:val="1"/>
                <w:szCs w:val="1"/>
                <w:color w:val="auto"/>
              </w:rPr>
            </w:pPr>
          </w:p>
        </w:tc>
      </w:tr>
      <w:tr>
        <w:trPr>
          <w:trHeight w:val="226"/>
        </w:trPr>
        <w:tc>
          <w:tcPr>
            <w:tcW w:w="1080" w:type="dxa"/>
            <w:vAlign w:val="bottom"/>
          </w:tcPr>
          <w:p>
            <w:pPr>
              <w:spacing w:after="0"/>
              <w:rPr>
                <w:sz w:val="19"/>
                <w:szCs w:val="19"/>
                <w:color w:val="auto"/>
              </w:rPr>
            </w:pPr>
          </w:p>
        </w:tc>
        <w:tc>
          <w:tcPr>
            <w:tcW w:w="4420" w:type="dxa"/>
            <w:vAlign w:val="bottom"/>
          </w:tcPr>
          <w:p>
            <w:pPr>
              <w:ind w:left="120"/>
              <w:spacing w:after="0" w:line="226" w:lineRule="exact"/>
              <w:rPr>
                <w:sz w:val="20"/>
                <w:szCs w:val="20"/>
                <w:color w:val="auto"/>
              </w:rPr>
            </w:pPr>
            <w:r>
              <w:rPr>
                <w:rFonts w:ascii="Times New Roman" w:cs="Times New Roman" w:eastAsia="Times New Roman" w:hAnsi="Times New Roman"/>
                <w:sz w:val="20"/>
                <w:szCs w:val="20"/>
                <w:color w:val="auto"/>
              </w:rPr>
              <w:t>Applied Optoelectronics, Inc. and BOKF, NA dba</w:t>
            </w:r>
          </w:p>
        </w:tc>
        <w:tc>
          <w:tcPr>
            <w:tcW w:w="8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080" w:type="dxa"/>
            <w:vAlign w:val="bottom"/>
          </w:tcPr>
          <w:p>
            <w:pPr>
              <w:spacing w:after="0"/>
              <w:rPr>
                <w:sz w:val="22"/>
                <w:szCs w:val="22"/>
                <w:color w:val="auto"/>
              </w:rPr>
            </w:pPr>
          </w:p>
        </w:tc>
        <w:tc>
          <w:tcPr>
            <w:tcW w:w="44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BOK Financial</w:t>
            </w:r>
          </w:p>
        </w:tc>
        <w:tc>
          <w:tcPr>
            <w:tcW w:w="8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4"/>
        </w:trPr>
        <w:tc>
          <w:tcPr>
            <w:tcW w:w="108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10.22</w:t>
            </w:r>
          </w:p>
        </w:tc>
        <w:tc>
          <w:tcPr>
            <w:tcW w:w="44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Translation of the Agreement to Terminate Land</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8-K</w:t>
            </w:r>
          </w:p>
        </w:tc>
        <w:tc>
          <w:tcPr>
            <w:tcW w:w="1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001-36083</w:t>
            </w: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10.1</w:t>
            </w:r>
          </w:p>
        </w:tc>
        <w:tc>
          <w:tcPr>
            <w:tcW w:w="1840" w:type="dxa"/>
            <w:vAlign w:val="bottom"/>
          </w:tcPr>
          <w:p>
            <w:pPr>
              <w:jc w:val="center"/>
              <w:ind w:left="42"/>
              <w:spacing w:after="0"/>
              <w:rPr>
                <w:sz w:val="20"/>
                <w:szCs w:val="20"/>
                <w:color w:val="auto"/>
              </w:rPr>
            </w:pPr>
            <w:r>
              <w:rPr>
                <w:rFonts w:ascii="Times New Roman" w:cs="Times New Roman" w:eastAsia="Times New Roman" w:hAnsi="Times New Roman"/>
                <w:sz w:val="20"/>
                <w:szCs w:val="20"/>
                <w:color w:val="auto"/>
                <w:w w:val="97"/>
              </w:rPr>
              <w:t>August 26, 2025</w:t>
            </w:r>
          </w:p>
        </w:tc>
        <w:tc>
          <w:tcPr>
            <w:tcW w:w="0" w:type="dxa"/>
            <w:vAlign w:val="bottom"/>
          </w:tcPr>
          <w:p>
            <w:pPr>
              <w:spacing w:after="0"/>
              <w:rPr>
                <w:sz w:val="1"/>
                <w:szCs w:val="1"/>
                <w:color w:val="auto"/>
              </w:rPr>
            </w:pPr>
          </w:p>
        </w:tc>
      </w:tr>
      <w:tr>
        <w:trPr>
          <w:trHeight w:val="226"/>
        </w:trPr>
        <w:tc>
          <w:tcPr>
            <w:tcW w:w="1080" w:type="dxa"/>
            <w:vAlign w:val="bottom"/>
          </w:tcPr>
          <w:p>
            <w:pPr>
              <w:spacing w:after="0"/>
              <w:rPr>
                <w:sz w:val="19"/>
                <w:szCs w:val="19"/>
                <w:color w:val="auto"/>
              </w:rPr>
            </w:pPr>
          </w:p>
        </w:tc>
        <w:tc>
          <w:tcPr>
            <w:tcW w:w="4420" w:type="dxa"/>
            <w:vAlign w:val="bottom"/>
          </w:tcPr>
          <w:p>
            <w:pPr>
              <w:ind w:left="120"/>
              <w:spacing w:after="0" w:line="226" w:lineRule="exact"/>
              <w:rPr>
                <w:sz w:val="20"/>
                <w:szCs w:val="20"/>
                <w:color w:val="auto"/>
              </w:rPr>
            </w:pPr>
            <w:r>
              <w:rPr>
                <w:rFonts w:ascii="Times New Roman" w:cs="Times New Roman" w:eastAsia="Times New Roman" w:hAnsi="Times New Roman"/>
                <w:sz w:val="20"/>
                <w:szCs w:val="20"/>
                <w:color w:val="auto"/>
              </w:rPr>
              <w:t>and Building Lease dated August 20, 2025,</w:t>
            </w:r>
          </w:p>
        </w:tc>
        <w:tc>
          <w:tcPr>
            <w:tcW w:w="8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080" w:type="dxa"/>
            <w:vAlign w:val="bottom"/>
          </w:tcPr>
          <w:p>
            <w:pPr>
              <w:spacing w:after="0"/>
              <w:rPr>
                <w:sz w:val="19"/>
                <w:szCs w:val="19"/>
                <w:color w:val="auto"/>
              </w:rPr>
            </w:pPr>
          </w:p>
        </w:tc>
        <w:tc>
          <w:tcPr>
            <w:tcW w:w="4420" w:type="dxa"/>
            <w:vAlign w:val="bottom"/>
          </w:tcPr>
          <w:p>
            <w:pPr>
              <w:ind w:left="120"/>
              <w:spacing w:after="0" w:line="226" w:lineRule="exact"/>
              <w:rPr>
                <w:sz w:val="20"/>
                <w:szCs w:val="20"/>
                <w:color w:val="auto"/>
              </w:rPr>
            </w:pPr>
            <w:r>
              <w:rPr>
                <w:rFonts w:ascii="Times New Roman" w:cs="Times New Roman" w:eastAsia="Times New Roman" w:hAnsi="Times New Roman"/>
                <w:sz w:val="20"/>
                <w:szCs w:val="20"/>
                <w:color w:val="auto"/>
              </w:rPr>
              <w:t>between Prime World International Holdings Ltd.,</w:t>
            </w:r>
          </w:p>
        </w:tc>
        <w:tc>
          <w:tcPr>
            <w:tcW w:w="8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080" w:type="dxa"/>
            <w:vAlign w:val="bottom"/>
          </w:tcPr>
          <w:p>
            <w:pPr>
              <w:spacing w:after="0"/>
              <w:rPr>
                <w:sz w:val="22"/>
                <w:szCs w:val="22"/>
                <w:color w:val="auto"/>
              </w:rPr>
            </w:pPr>
          </w:p>
        </w:tc>
        <w:tc>
          <w:tcPr>
            <w:tcW w:w="44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and San Ho Electric Machinery Industry Co., Ltd.</w:t>
            </w:r>
          </w:p>
        </w:tc>
        <w:tc>
          <w:tcPr>
            <w:tcW w:w="8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4"/>
        </w:trPr>
        <w:tc>
          <w:tcPr>
            <w:tcW w:w="108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10.23</w:t>
            </w:r>
          </w:p>
        </w:tc>
        <w:tc>
          <w:tcPr>
            <w:tcW w:w="44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Translation of the Premises Lease Agreement,</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8-K</w:t>
            </w:r>
          </w:p>
        </w:tc>
        <w:tc>
          <w:tcPr>
            <w:tcW w:w="1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001-36083</w:t>
            </w: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10.1</w:t>
            </w:r>
          </w:p>
        </w:tc>
        <w:tc>
          <w:tcPr>
            <w:tcW w:w="1840" w:type="dxa"/>
            <w:vAlign w:val="bottom"/>
          </w:tcPr>
          <w:p>
            <w:pPr>
              <w:jc w:val="center"/>
              <w:ind w:left="22"/>
              <w:spacing w:after="0"/>
              <w:rPr>
                <w:sz w:val="20"/>
                <w:szCs w:val="20"/>
                <w:color w:val="auto"/>
              </w:rPr>
            </w:pPr>
            <w:r>
              <w:rPr>
                <w:rFonts w:ascii="Times New Roman" w:cs="Times New Roman" w:eastAsia="Times New Roman" w:hAnsi="Times New Roman"/>
                <w:sz w:val="20"/>
                <w:szCs w:val="20"/>
                <w:color w:val="auto"/>
                <w:w w:val="98"/>
              </w:rPr>
              <w:t>September 4, 2025</w:t>
            </w:r>
          </w:p>
        </w:tc>
        <w:tc>
          <w:tcPr>
            <w:tcW w:w="0" w:type="dxa"/>
            <w:vAlign w:val="bottom"/>
          </w:tcPr>
          <w:p>
            <w:pPr>
              <w:spacing w:after="0"/>
              <w:rPr>
                <w:sz w:val="1"/>
                <w:szCs w:val="1"/>
                <w:color w:val="auto"/>
              </w:rPr>
            </w:pPr>
          </w:p>
        </w:tc>
      </w:tr>
      <w:tr>
        <w:trPr>
          <w:trHeight w:val="226"/>
        </w:trPr>
        <w:tc>
          <w:tcPr>
            <w:tcW w:w="1080" w:type="dxa"/>
            <w:vAlign w:val="bottom"/>
          </w:tcPr>
          <w:p>
            <w:pPr>
              <w:spacing w:after="0"/>
              <w:rPr>
                <w:sz w:val="19"/>
                <w:szCs w:val="19"/>
                <w:color w:val="auto"/>
              </w:rPr>
            </w:pPr>
          </w:p>
        </w:tc>
        <w:tc>
          <w:tcPr>
            <w:tcW w:w="4420" w:type="dxa"/>
            <w:vAlign w:val="bottom"/>
          </w:tcPr>
          <w:p>
            <w:pPr>
              <w:ind w:left="120"/>
              <w:spacing w:after="0" w:line="226" w:lineRule="exact"/>
              <w:rPr>
                <w:sz w:val="20"/>
                <w:szCs w:val="20"/>
                <w:color w:val="auto"/>
              </w:rPr>
            </w:pPr>
            <w:r>
              <w:rPr>
                <w:rFonts w:ascii="Times New Roman" w:cs="Times New Roman" w:eastAsia="Times New Roman" w:hAnsi="Times New Roman"/>
                <w:sz w:val="20"/>
                <w:szCs w:val="20"/>
                <w:color w:val="auto"/>
              </w:rPr>
              <w:t>dated September 1, 2025, between Prime World</w:t>
            </w:r>
          </w:p>
        </w:tc>
        <w:tc>
          <w:tcPr>
            <w:tcW w:w="8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080" w:type="dxa"/>
            <w:vAlign w:val="bottom"/>
          </w:tcPr>
          <w:p>
            <w:pPr>
              <w:spacing w:after="0"/>
              <w:rPr>
                <w:sz w:val="19"/>
                <w:szCs w:val="19"/>
                <w:color w:val="auto"/>
              </w:rPr>
            </w:pPr>
          </w:p>
        </w:tc>
        <w:tc>
          <w:tcPr>
            <w:tcW w:w="4420" w:type="dxa"/>
            <w:vAlign w:val="bottom"/>
          </w:tcPr>
          <w:p>
            <w:pPr>
              <w:ind w:left="120"/>
              <w:spacing w:after="0" w:line="226" w:lineRule="exact"/>
              <w:rPr>
                <w:sz w:val="20"/>
                <w:szCs w:val="20"/>
                <w:color w:val="auto"/>
              </w:rPr>
            </w:pPr>
            <w:r>
              <w:rPr>
                <w:rFonts w:ascii="Times New Roman" w:cs="Times New Roman" w:eastAsia="Times New Roman" w:hAnsi="Times New Roman"/>
                <w:sz w:val="20"/>
                <w:szCs w:val="20"/>
                <w:color w:val="auto"/>
              </w:rPr>
              <w:t>International Holdings Ltd., Taiwan Branch and</w:t>
            </w:r>
          </w:p>
        </w:tc>
        <w:tc>
          <w:tcPr>
            <w:tcW w:w="8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080" w:type="dxa"/>
            <w:vAlign w:val="bottom"/>
          </w:tcPr>
          <w:p>
            <w:pPr>
              <w:spacing w:after="0"/>
              <w:rPr>
                <w:sz w:val="22"/>
                <w:szCs w:val="22"/>
                <w:color w:val="auto"/>
              </w:rPr>
            </w:pPr>
          </w:p>
        </w:tc>
        <w:tc>
          <w:tcPr>
            <w:tcW w:w="44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International Games System Co., Ltd.</w:t>
            </w:r>
          </w:p>
        </w:tc>
        <w:tc>
          <w:tcPr>
            <w:tcW w:w="8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4"/>
        </w:trPr>
        <w:tc>
          <w:tcPr>
            <w:tcW w:w="108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10.24</w:t>
            </w:r>
          </w:p>
        </w:tc>
        <w:tc>
          <w:tcPr>
            <w:tcW w:w="44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Lease Agreement, dated September 19, 2025, by</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8-K</w:t>
            </w:r>
          </w:p>
        </w:tc>
        <w:tc>
          <w:tcPr>
            <w:tcW w:w="1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001-36083</w:t>
            </w: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10.1</w:t>
            </w:r>
          </w:p>
        </w:tc>
        <w:tc>
          <w:tcPr>
            <w:tcW w:w="1840" w:type="dxa"/>
            <w:vAlign w:val="bottom"/>
          </w:tcPr>
          <w:p>
            <w:pPr>
              <w:jc w:val="center"/>
              <w:ind w:left="22"/>
              <w:spacing w:after="0"/>
              <w:rPr>
                <w:sz w:val="20"/>
                <w:szCs w:val="20"/>
                <w:color w:val="auto"/>
              </w:rPr>
            </w:pPr>
            <w:r>
              <w:rPr>
                <w:rFonts w:ascii="Times New Roman" w:cs="Times New Roman" w:eastAsia="Times New Roman" w:hAnsi="Times New Roman"/>
                <w:sz w:val="20"/>
                <w:szCs w:val="20"/>
                <w:color w:val="auto"/>
                <w:w w:val="97"/>
              </w:rPr>
              <w:t>September 24, 2025</w:t>
            </w:r>
          </w:p>
        </w:tc>
        <w:tc>
          <w:tcPr>
            <w:tcW w:w="0" w:type="dxa"/>
            <w:vAlign w:val="bottom"/>
          </w:tcPr>
          <w:p>
            <w:pPr>
              <w:spacing w:after="0"/>
              <w:rPr>
                <w:sz w:val="1"/>
                <w:szCs w:val="1"/>
                <w:color w:val="auto"/>
              </w:rPr>
            </w:pPr>
          </w:p>
        </w:tc>
      </w:tr>
      <w:tr>
        <w:trPr>
          <w:trHeight w:val="226"/>
        </w:trPr>
        <w:tc>
          <w:tcPr>
            <w:tcW w:w="1080" w:type="dxa"/>
            <w:vAlign w:val="bottom"/>
          </w:tcPr>
          <w:p>
            <w:pPr>
              <w:spacing w:after="0"/>
              <w:rPr>
                <w:sz w:val="19"/>
                <w:szCs w:val="19"/>
                <w:color w:val="auto"/>
              </w:rPr>
            </w:pPr>
          </w:p>
        </w:tc>
        <w:tc>
          <w:tcPr>
            <w:tcW w:w="4420" w:type="dxa"/>
            <w:vAlign w:val="bottom"/>
          </w:tcPr>
          <w:p>
            <w:pPr>
              <w:ind w:left="120"/>
              <w:spacing w:after="0" w:line="226" w:lineRule="exact"/>
              <w:rPr>
                <w:sz w:val="20"/>
                <w:szCs w:val="20"/>
                <w:color w:val="auto"/>
              </w:rPr>
            </w:pPr>
            <w:r>
              <w:rPr>
                <w:rFonts w:ascii="Times New Roman" w:cs="Times New Roman" w:eastAsia="Times New Roman" w:hAnsi="Times New Roman"/>
                <w:sz w:val="20"/>
                <w:szCs w:val="20"/>
                <w:color w:val="auto"/>
              </w:rPr>
              <w:t>and between Applied Optoelectronics, Inc., and</w:t>
            </w:r>
          </w:p>
        </w:tc>
        <w:tc>
          <w:tcPr>
            <w:tcW w:w="8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080" w:type="dxa"/>
            <w:vAlign w:val="bottom"/>
          </w:tcPr>
          <w:p>
            <w:pPr>
              <w:spacing w:after="0"/>
              <w:rPr>
                <w:sz w:val="22"/>
                <w:szCs w:val="22"/>
                <w:color w:val="auto"/>
              </w:rPr>
            </w:pPr>
          </w:p>
        </w:tc>
        <w:tc>
          <w:tcPr>
            <w:tcW w:w="44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Coleman Logistics Assets, LLC</w:t>
            </w:r>
          </w:p>
        </w:tc>
        <w:tc>
          <w:tcPr>
            <w:tcW w:w="8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4"/>
        </w:trPr>
        <w:tc>
          <w:tcPr>
            <w:tcW w:w="108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10.25</w:t>
            </w:r>
          </w:p>
        </w:tc>
        <w:tc>
          <w:tcPr>
            <w:tcW w:w="44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Translation of the Premise Lease Agreement, dated</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8-K</w:t>
            </w:r>
          </w:p>
        </w:tc>
        <w:tc>
          <w:tcPr>
            <w:tcW w:w="1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001-36083</w:t>
            </w: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10.1</w:t>
            </w:r>
          </w:p>
        </w:tc>
        <w:tc>
          <w:tcPr>
            <w:tcW w:w="1840" w:type="dxa"/>
            <w:vAlign w:val="bottom"/>
          </w:tcPr>
          <w:p>
            <w:pPr>
              <w:jc w:val="center"/>
              <w:ind w:left="22"/>
              <w:spacing w:after="0"/>
              <w:rPr>
                <w:sz w:val="20"/>
                <w:szCs w:val="20"/>
                <w:color w:val="auto"/>
              </w:rPr>
            </w:pPr>
            <w:r>
              <w:rPr>
                <w:rFonts w:ascii="Times New Roman" w:cs="Times New Roman" w:eastAsia="Times New Roman" w:hAnsi="Times New Roman"/>
                <w:sz w:val="20"/>
                <w:szCs w:val="20"/>
                <w:color w:val="auto"/>
                <w:w w:val="99"/>
              </w:rPr>
              <w:t>November 3, 2025</w:t>
            </w:r>
          </w:p>
        </w:tc>
        <w:tc>
          <w:tcPr>
            <w:tcW w:w="0" w:type="dxa"/>
            <w:vAlign w:val="bottom"/>
          </w:tcPr>
          <w:p>
            <w:pPr>
              <w:spacing w:after="0"/>
              <w:rPr>
                <w:sz w:val="1"/>
                <w:szCs w:val="1"/>
                <w:color w:val="auto"/>
              </w:rPr>
            </w:pPr>
          </w:p>
        </w:tc>
      </w:tr>
      <w:tr>
        <w:trPr>
          <w:trHeight w:val="226"/>
        </w:trPr>
        <w:tc>
          <w:tcPr>
            <w:tcW w:w="1080" w:type="dxa"/>
            <w:vAlign w:val="bottom"/>
          </w:tcPr>
          <w:p>
            <w:pPr>
              <w:spacing w:after="0"/>
              <w:rPr>
                <w:sz w:val="19"/>
                <w:szCs w:val="19"/>
                <w:color w:val="auto"/>
              </w:rPr>
            </w:pPr>
          </w:p>
        </w:tc>
        <w:tc>
          <w:tcPr>
            <w:tcW w:w="4420" w:type="dxa"/>
            <w:vAlign w:val="bottom"/>
          </w:tcPr>
          <w:p>
            <w:pPr>
              <w:ind w:left="120"/>
              <w:spacing w:after="0" w:line="226" w:lineRule="exact"/>
              <w:rPr>
                <w:sz w:val="20"/>
                <w:szCs w:val="20"/>
                <w:color w:val="auto"/>
              </w:rPr>
            </w:pPr>
            <w:r>
              <w:rPr>
                <w:rFonts w:ascii="Times New Roman" w:cs="Times New Roman" w:eastAsia="Times New Roman" w:hAnsi="Times New Roman"/>
                <w:sz w:val="20"/>
                <w:szCs w:val="20"/>
                <w:color w:val="auto"/>
              </w:rPr>
              <w:t>October 28, 2025, between Prime World</w:t>
            </w:r>
          </w:p>
        </w:tc>
        <w:tc>
          <w:tcPr>
            <w:tcW w:w="8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0"/>
        <w:spacing w:after="0" w:line="233" w:lineRule="auto"/>
        <w:rPr>
          <w:sz w:val="20"/>
          <w:szCs w:val="20"/>
          <w:color w:val="auto"/>
        </w:rPr>
      </w:pPr>
      <w:r>
        <w:rPr>
          <w:rFonts w:ascii="Times New Roman" w:cs="Times New Roman" w:eastAsia="Times New Roman" w:hAnsi="Times New Roman"/>
          <w:sz w:val="20"/>
          <w:szCs w:val="20"/>
          <w:color w:val="auto"/>
        </w:rPr>
        <w:t>International Holdings Ltd., Taiwan Branch and</w:t>
      </w:r>
    </w:p>
    <w:p>
      <w:pPr>
        <w:ind w:left="1200"/>
        <w:spacing w:after="0"/>
        <w:rPr>
          <w:sz w:val="20"/>
          <w:szCs w:val="20"/>
          <w:color w:val="auto"/>
        </w:rPr>
      </w:pPr>
      <w:r>
        <w:rPr>
          <w:rFonts w:ascii="Times New Roman" w:cs="Times New Roman" w:eastAsia="Times New Roman" w:hAnsi="Times New Roman"/>
          <w:sz w:val="20"/>
          <w:szCs w:val="20"/>
          <w:color w:val="auto"/>
        </w:rPr>
        <w:t>International Games System Co., Ltd.</w:t>
      </w:r>
    </w:p>
    <w:p>
      <w:pPr>
        <w:sectPr>
          <w:pgSz w:w="11880" w:h="15480" w:orient="portrait"/>
          <w:cols w:equalWidth="0" w:num="1">
            <w:col w:w="10480"/>
          </w:cols>
          <w:pgMar w:left="660" w:top="413"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54</w:t>
      </w:r>
    </w:p>
    <w:p>
      <w:pPr>
        <w:sectPr>
          <w:pgSz w:w="11880" w:h="15480" w:orient="portrait"/>
          <w:cols w:equalWidth="0" w:num="1">
            <w:col w:w="10480"/>
          </w:cols>
          <w:pgMar w:left="660" w:top="413" w:right="740" w:bottom="0" w:gutter="0" w:footer="0" w:header="0"/>
          <w:type w:val="continuous"/>
        </w:sectPr>
      </w:pPr>
    </w:p>
    <w:bookmarkStart w:id="56" w:name="page57"/>
    <w:bookmarkEnd w:id="56"/>
    <w:tbl>
      <w:tblPr>
        <w:tblLayout w:type="fixed"/>
        <w:tblInd w:w="0" w:type="dxa"/>
        <w:tblCellMar>
          <w:top w:w="0" w:type="dxa"/>
          <w:left w:w="0" w:type="dxa"/>
          <w:bottom w:w="0" w:type="dxa"/>
          <w:right w:w="0" w:type="dxa"/>
        </w:tblCellMar>
      </w:tblPr>
      <w:tr>
        <w:trPr>
          <w:trHeight w:val="252"/>
        </w:trPr>
        <w:tc>
          <w:tcPr>
            <w:tcW w:w="1100" w:type="dxa"/>
            <w:vAlign w:val="bottom"/>
            <w:vMerge w:val="restart"/>
          </w:tcPr>
          <w:p>
            <w:pPr>
              <w:jc w:val="right"/>
              <w:ind w:right="162"/>
              <w:spacing w:after="0"/>
              <w:rPr>
                <w:sz w:val="20"/>
                <w:szCs w:val="20"/>
                <w:color w:val="auto"/>
              </w:rPr>
            </w:pPr>
            <w:r>
              <w:rPr>
                <w:rFonts w:ascii="Times New Roman" w:cs="Times New Roman" w:eastAsia="Times New Roman" w:hAnsi="Times New Roman"/>
                <w:sz w:val="20"/>
                <w:szCs w:val="20"/>
                <w:b w:val="1"/>
                <w:bCs w:val="1"/>
                <w:color w:val="auto"/>
              </w:rPr>
              <w:t>Number</w:t>
            </w:r>
          </w:p>
        </w:tc>
        <w:tc>
          <w:tcPr>
            <w:tcW w:w="4460" w:type="dxa"/>
            <w:vAlign w:val="bottom"/>
            <w:vMerge w:val="restart"/>
          </w:tcPr>
          <w:p>
            <w:pPr>
              <w:ind w:left="1360"/>
              <w:spacing w:after="0"/>
              <w:rPr>
                <w:sz w:val="20"/>
                <w:szCs w:val="20"/>
                <w:color w:val="auto"/>
              </w:rPr>
            </w:pPr>
            <w:r>
              <w:rPr>
                <w:rFonts w:ascii="Times New Roman" w:cs="Times New Roman" w:eastAsia="Times New Roman" w:hAnsi="Times New Roman"/>
                <w:sz w:val="20"/>
                <w:szCs w:val="20"/>
                <w:b w:val="1"/>
                <w:bCs w:val="1"/>
                <w:color w:val="auto"/>
              </w:rPr>
              <w:t>Exhibit Description</w:t>
            </w:r>
          </w:p>
        </w:tc>
        <w:tc>
          <w:tcPr>
            <w:tcW w:w="800" w:type="dxa"/>
            <w:vAlign w:val="bottom"/>
            <w:tcBorders>
              <w:bottom w:val="single" w:sz="8" w:color="auto"/>
            </w:tcBorders>
          </w:tcPr>
          <w:p>
            <w:pPr>
              <w:spacing w:after="0"/>
              <w:rPr>
                <w:sz w:val="21"/>
                <w:szCs w:val="21"/>
                <w:color w:val="auto"/>
              </w:rPr>
            </w:pPr>
          </w:p>
        </w:tc>
        <w:tc>
          <w:tcPr>
            <w:tcW w:w="412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20"/>
                <w:szCs w:val="20"/>
                <w:b w:val="1"/>
                <w:bCs w:val="1"/>
                <w:color w:val="auto"/>
              </w:rPr>
              <w:t>Incorporated By Reference</w:t>
            </w:r>
          </w:p>
        </w:tc>
        <w:tc>
          <w:tcPr>
            <w:tcW w:w="0" w:type="dxa"/>
            <w:vAlign w:val="bottom"/>
          </w:tcPr>
          <w:p>
            <w:pPr>
              <w:spacing w:after="0"/>
              <w:rPr>
                <w:sz w:val="1"/>
                <w:szCs w:val="1"/>
                <w:color w:val="auto"/>
              </w:rPr>
            </w:pPr>
          </w:p>
        </w:tc>
      </w:tr>
      <w:tr>
        <w:trPr>
          <w:trHeight w:val="225"/>
        </w:trPr>
        <w:tc>
          <w:tcPr>
            <w:tcW w:w="1100" w:type="dxa"/>
            <w:vAlign w:val="bottom"/>
            <w:tcBorders>
              <w:bottom w:val="single" w:sz="8" w:color="auto"/>
            </w:tcBorders>
            <w:vMerge w:val="continue"/>
          </w:tcPr>
          <w:p>
            <w:pPr>
              <w:spacing w:after="0"/>
              <w:rPr>
                <w:sz w:val="19"/>
                <w:szCs w:val="19"/>
                <w:color w:val="auto"/>
              </w:rPr>
            </w:pPr>
          </w:p>
        </w:tc>
        <w:tc>
          <w:tcPr>
            <w:tcW w:w="4460" w:type="dxa"/>
            <w:vAlign w:val="bottom"/>
            <w:tcBorders>
              <w:bottom w:val="single" w:sz="8" w:color="auto"/>
            </w:tcBorders>
            <w:vMerge w:val="continue"/>
          </w:tcPr>
          <w:p>
            <w:pPr>
              <w:spacing w:after="0"/>
              <w:rPr>
                <w:sz w:val="19"/>
                <w:szCs w:val="19"/>
                <w:color w:val="auto"/>
              </w:rPr>
            </w:pPr>
          </w:p>
        </w:tc>
        <w:tc>
          <w:tcPr>
            <w:tcW w:w="800" w:type="dxa"/>
            <w:vAlign w:val="bottom"/>
            <w:tcBorders>
              <w:bottom w:val="single" w:sz="8" w:color="auto"/>
            </w:tcBorders>
          </w:tcPr>
          <w:p>
            <w:pPr>
              <w:jc w:val="center"/>
              <w:spacing w:after="0" w:line="225" w:lineRule="exact"/>
              <w:rPr>
                <w:sz w:val="20"/>
                <w:szCs w:val="20"/>
                <w:color w:val="auto"/>
              </w:rPr>
            </w:pPr>
            <w:r>
              <w:rPr>
                <w:rFonts w:ascii="Times New Roman" w:cs="Times New Roman" w:eastAsia="Times New Roman" w:hAnsi="Times New Roman"/>
                <w:sz w:val="20"/>
                <w:szCs w:val="20"/>
                <w:b w:val="1"/>
                <w:bCs w:val="1"/>
                <w:color w:val="auto"/>
              </w:rPr>
              <w:t>Form</w:t>
            </w:r>
          </w:p>
        </w:tc>
        <w:tc>
          <w:tcPr>
            <w:tcW w:w="1320" w:type="dxa"/>
            <w:vAlign w:val="bottom"/>
            <w:tcBorders>
              <w:bottom w:val="single" w:sz="8" w:color="auto"/>
            </w:tcBorders>
          </w:tcPr>
          <w:p>
            <w:pPr>
              <w:ind w:left="340"/>
              <w:spacing w:after="0" w:line="225" w:lineRule="exact"/>
              <w:rPr>
                <w:sz w:val="20"/>
                <w:szCs w:val="20"/>
                <w:color w:val="auto"/>
              </w:rPr>
            </w:pPr>
            <w:r>
              <w:rPr>
                <w:rFonts w:ascii="Times New Roman" w:cs="Times New Roman" w:eastAsia="Times New Roman" w:hAnsi="Times New Roman"/>
                <w:sz w:val="20"/>
                <w:szCs w:val="20"/>
                <w:b w:val="1"/>
                <w:bCs w:val="1"/>
                <w:color w:val="auto"/>
              </w:rPr>
              <w:t>File No.</w:t>
            </w:r>
          </w:p>
        </w:tc>
        <w:tc>
          <w:tcPr>
            <w:tcW w:w="1020" w:type="dxa"/>
            <w:vAlign w:val="bottom"/>
            <w:tcBorders>
              <w:bottom w:val="single" w:sz="8" w:color="auto"/>
            </w:tcBorders>
          </w:tcPr>
          <w:p>
            <w:pPr>
              <w:ind w:left="180"/>
              <w:spacing w:after="0" w:line="225" w:lineRule="exact"/>
              <w:rPr>
                <w:sz w:val="20"/>
                <w:szCs w:val="20"/>
                <w:color w:val="auto"/>
              </w:rPr>
            </w:pPr>
            <w:r>
              <w:rPr>
                <w:rFonts w:ascii="Times New Roman" w:cs="Times New Roman" w:eastAsia="Times New Roman" w:hAnsi="Times New Roman"/>
                <w:sz w:val="20"/>
                <w:szCs w:val="20"/>
                <w:b w:val="1"/>
                <w:bCs w:val="1"/>
                <w:color w:val="auto"/>
              </w:rPr>
              <w:t>Exhibit</w:t>
            </w:r>
          </w:p>
        </w:tc>
        <w:tc>
          <w:tcPr>
            <w:tcW w:w="1780" w:type="dxa"/>
            <w:vAlign w:val="bottom"/>
            <w:tcBorders>
              <w:bottom w:val="single" w:sz="8" w:color="auto"/>
            </w:tcBorders>
          </w:tcPr>
          <w:p>
            <w:pPr>
              <w:jc w:val="center"/>
              <w:spacing w:after="0" w:line="225" w:lineRule="exact"/>
              <w:rPr>
                <w:sz w:val="20"/>
                <w:szCs w:val="20"/>
                <w:color w:val="auto"/>
              </w:rPr>
            </w:pPr>
            <w:r>
              <w:rPr>
                <w:rFonts w:ascii="Times New Roman" w:cs="Times New Roman" w:eastAsia="Times New Roman" w:hAnsi="Times New Roman"/>
                <w:sz w:val="20"/>
                <w:szCs w:val="20"/>
                <w:b w:val="1"/>
                <w:bCs w:val="1"/>
                <w:color w:val="auto"/>
                <w:w w:val="98"/>
              </w:rPr>
              <w:t>Filing Date</w:t>
            </w:r>
          </w:p>
        </w:tc>
        <w:tc>
          <w:tcPr>
            <w:tcW w:w="0" w:type="dxa"/>
            <w:vAlign w:val="bottom"/>
          </w:tcPr>
          <w:p>
            <w:pPr>
              <w:spacing w:after="0"/>
              <w:rPr>
                <w:sz w:val="1"/>
                <w:szCs w:val="1"/>
                <w:color w:val="auto"/>
              </w:rPr>
            </w:pPr>
          </w:p>
        </w:tc>
      </w:tr>
      <w:tr>
        <w:trPr>
          <w:trHeight w:val="200"/>
        </w:trPr>
        <w:tc>
          <w:tcPr>
            <w:tcW w:w="1100" w:type="dxa"/>
            <w:vAlign w:val="bottom"/>
          </w:tcPr>
          <w:p>
            <w:pPr>
              <w:jc w:val="right"/>
              <w:ind w:right="2"/>
              <w:spacing w:after="0" w:line="201" w:lineRule="exact"/>
              <w:rPr>
                <w:sz w:val="20"/>
                <w:szCs w:val="20"/>
                <w:color w:val="auto"/>
              </w:rPr>
            </w:pPr>
            <w:r>
              <w:rPr>
                <w:rFonts w:ascii="Times New Roman" w:cs="Times New Roman" w:eastAsia="Times New Roman" w:hAnsi="Times New Roman"/>
                <w:sz w:val="20"/>
                <w:szCs w:val="20"/>
                <w:color w:val="auto"/>
              </w:rPr>
              <w:t>10.26</w:t>
            </w:r>
          </w:p>
        </w:tc>
        <w:tc>
          <w:tcPr>
            <w:tcW w:w="4460" w:type="dxa"/>
            <w:vAlign w:val="bottom"/>
          </w:tcPr>
          <w:p>
            <w:pPr>
              <w:ind w:left="120"/>
              <w:spacing w:after="0" w:line="201" w:lineRule="exact"/>
              <w:rPr>
                <w:sz w:val="20"/>
                <w:szCs w:val="20"/>
                <w:color w:val="auto"/>
              </w:rPr>
            </w:pPr>
            <w:r>
              <w:rPr>
                <w:rFonts w:ascii="Times New Roman" w:cs="Times New Roman" w:eastAsia="Times New Roman" w:hAnsi="Times New Roman"/>
                <w:sz w:val="20"/>
                <w:szCs w:val="20"/>
                <w:color w:val="auto"/>
              </w:rPr>
              <w:t>Translation of the Approval Notice of Credit Line,</w:t>
            </w:r>
          </w:p>
        </w:tc>
        <w:tc>
          <w:tcPr>
            <w:tcW w:w="800" w:type="dxa"/>
            <w:vAlign w:val="bottom"/>
          </w:tcPr>
          <w:p>
            <w:pPr>
              <w:jc w:val="center"/>
              <w:spacing w:after="0" w:line="201" w:lineRule="exact"/>
              <w:rPr>
                <w:sz w:val="20"/>
                <w:szCs w:val="20"/>
                <w:color w:val="auto"/>
              </w:rPr>
            </w:pPr>
            <w:r>
              <w:rPr>
                <w:rFonts w:ascii="Times New Roman" w:cs="Times New Roman" w:eastAsia="Times New Roman" w:hAnsi="Times New Roman"/>
                <w:sz w:val="20"/>
                <w:szCs w:val="20"/>
                <w:color w:val="auto"/>
              </w:rPr>
              <w:t>8-K</w:t>
            </w:r>
          </w:p>
        </w:tc>
        <w:tc>
          <w:tcPr>
            <w:tcW w:w="1320" w:type="dxa"/>
            <w:vAlign w:val="bottom"/>
          </w:tcPr>
          <w:p>
            <w:pPr>
              <w:jc w:val="center"/>
              <w:spacing w:after="0" w:line="201" w:lineRule="exact"/>
              <w:rPr>
                <w:sz w:val="20"/>
                <w:szCs w:val="20"/>
                <w:color w:val="auto"/>
              </w:rPr>
            </w:pPr>
            <w:r>
              <w:rPr>
                <w:rFonts w:ascii="Times New Roman" w:cs="Times New Roman" w:eastAsia="Times New Roman" w:hAnsi="Times New Roman"/>
                <w:sz w:val="20"/>
                <w:szCs w:val="20"/>
                <w:color w:val="auto"/>
                <w:w w:val="99"/>
              </w:rPr>
              <w:t>001-36083</w:t>
            </w:r>
          </w:p>
        </w:tc>
        <w:tc>
          <w:tcPr>
            <w:tcW w:w="1020" w:type="dxa"/>
            <w:vAlign w:val="bottom"/>
          </w:tcPr>
          <w:p>
            <w:pPr>
              <w:jc w:val="center"/>
              <w:spacing w:after="0" w:line="201" w:lineRule="exact"/>
              <w:rPr>
                <w:sz w:val="20"/>
                <w:szCs w:val="20"/>
                <w:color w:val="auto"/>
              </w:rPr>
            </w:pPr>
            <w:r>
              <w:rPr>
                <w:rFonts w:ascii="Times New Roman" w:cs="Times New Roman" w:eastAsia="Times New Roman" w:hAnsi="Times New Roman"/>
                <w:sz w:val="20"/>
                <w:szCs w:val="20"/>
                <w:color w:val="auto"/>
                <w:w w:val="97"/>
              </w:rPr>
              <w:t>10.1</w:t>
            </w:r>
          </w:p>
        </w:tc>
        <w:tc>
          <w:tcPr>
            <w:tcW w:w="1780" w:type="dxa"/>
            <w:vAlign w:val="bottom"/>
          </w:tcPr>
          <w:p>
            <w:pPr>
              <w:jc w:val="center"/>
              <w:spacing w:after="0" w:line="201" w:lineRule="exact"/>
              <w:rPr>
                <w:sz w:val="20"/>
                <w:szCs w:val="20"/>
                <w:color w:val="auto"/>
              </w:rPr>
            </w:pPr>
            <w:r>
              <w:rPr>
                <w:rFonts w:ascii="Times New Roman" w:cs="Times New Roman" w:eastAsia="Times New Roman" w:hAnsi="Times New Roman"/>
                <w:sz w:val="20"/>
                <w:szCs w:val="20"/>
                <w:color w:val="auto"/>
                <w:w w:val="99"/>
              </w:rPr>
              <w:t>December 3, 2025</w:t>
            </w:r>
          </w:p>
        </w:tc>
        <w:tc>
          <w:tcPr>
            <w:tcW w:w="0" w:type="dxa"/>
            <w:vAlign w:val="bottom"/>
          </w:tcPr>
          <w:p>
            <w:pPr>
              <w:spacing w:after="0"/>
              <w:rPr>
                <w:sz w:val="1"/>
                <w:szCs w:val="1"/>
                <w:color w:val="auto"/>
              </w:rPr>
            </w:pPr>
          </w:p>
        </w:tc>
      </w:tr>
      <w:tr>
        <w:trPr>
          <w:trHeight w:val="261"/>
        </w:trPr>
        <w:tc>
          <w:tcPr>
            <w:tcW w:w="1100" w:type="dxa"/>
            <w:vAlign w:val="bottom"/>
          </w:tcPr>
          <w:p>
            <w:pPr>
              <w:spacing w:after="0"/>
              <w:rPr>
                <w:sz w:val="22"/>
                <w:szCs w:val="22"/>
                <w:color w:val="auto"/>
              </w:rPr>
            </w:pPr>
          </w:p>
        </w:tc>
        <w:tc>
          <w:tcPr>
            <w:tcW w:w="4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dated October 20, 2025</w:t>
            </w:r>
          </w:p>
        </w:tc>
        <w:tc>
          <w:tcPr>
            <w:tcW w:w="8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0"/>
        </w:trPr>
        <w:tc>
          <w:tcPr>
            <w:tcW w:w="11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10.26.1</w:t>
            </w:r>
          </w:p>
        </w:tc>
        <w:tc>
          <w:tcPr>
            <w:tcW w:w="4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Translation of the General Agreement for Financial</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001-36083</w:t>
            </w:r>
          </w:p>
        </w:tc>
        <w:tc>
          <w:tcPr>
            <w:tcW w:w="1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10.2</w:t>
            </w: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December 3, 2025</w:t>
            </w:r>
          </w:p>
        </w:tc>
        <w:tc>
          <w:tcPr>
            <w:tcW w:w="0" w:type="dxa"/>
            <w:vAlign w:val="bottom"/>
          </w:tcPr>
          <w:p>
            <w:pPr>
              <w:spacing w:after="0"/>
              <w:rPr>
                <w:sz w:val="1"/>
                <w:szCs w:val="1"/>
                <w:color w:val="auto"/>
              </w:rPr>
            </w:pPr>
          </w:p>
        </w:tc>
      </w:tr>
      <w:tr>
        <w:trPr>
          <w:trHeight w:val="226"/>
        </w:trPr>
        <w:tc>
          <w:tcPr>
            <w:tcW w:w="1100" w:type="dxa"/>
            <w:vAlign w:val="bottom"/>
          </w:tcPr>
          <w:p>
            <w:pPr>
              <w:spacing w:after="0"/>
              <w:rPr>
                <w:sz w:val="19"/>
                <w:szCs w:val="19"/>
                <w:color w:val="auto"/>
              </w:rPr>
            </w:pPr>
          </w:p>
        </w:tc>
        <w:tc>
          <w:tcPr>
            <w:tcW w:w="4460" w:type="dxa"/>
            <w:vAlign w:val="bottom"/>
          </w:tcPr>
          <w:p>
            <w:pPr>
              <w:ind w:left="120"/>
              <w:spacing w:after="0" w:line="226" w:lineRule="exact"/>
              <w:rPr>
                <w:sz w:val="20"/>
                <w:szCs w:val="20"/>
                <w:color w:val="auto"/>
              </w:rPr>
            </w:pPr>
            <w:r>
              <w:rPr>
                <w:rFonts w:ascii="Times New Roman" w:cs="Times New Roman" w:eastAsia="Times New Roman" w:hAnsi="Times New Roman"/>
                <w:sz w:val="20"/>
                <w:szCs w:val="20"/>
                <w:color w:val="auto"/>
              </w:rPr>
              <w:t>Transaction, dated November 27, 2025, between</w:t>
            </w:r>
          </w:p>
        </w:tc>
        <w:tc>
          <w:tcPr>
            <w:tcW w:w="8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100" w:type="dxa"/>
            <w:vAlign w:val="bottom"/>
          </w:tcPr>
          <w:p>
            <w:pPr>
              <w:spacing w:after="0"/>
              <w:rPr>
                <w:sz w:val="19"/>
                <w:szCs w:val="19"/>
                <w:color w:val="auto"/>
              </w:rPr>
            </w:pPr>
          </w:p>
        </w:tc>
        <w:tc>
          <w:tcPr>
            <w:tcW w:w="4460" w:type="dxa"/>
            <w:vAlign w:val="bottom"/>
          </w:tcPr>
          <w:p>
            <w:pPr>
              <w:ind w:left="120"/>
              <w:spacing w:after="0" w:line="226" w:lineRule="exact"/>
              <w:rPr>
                <w:sz w:val="20"/>
                <w:szCs w:val="20"/>
                <w:color w:val="auto"/>
              </w:rPr>
            </w:pPr>
            <w:r>
              <w:rPr>
                <w:rFonts w:ascii="Times New Roman" w:cs="Times New Roman" w:eastAsia="Times New Roman" w:hAnsi="Times New Roman"/>
                <w:sz w:val="20"/>
                <w:szCs w:val="20"/>
                <w:color w:val="auto"/>
              </w:rPr>
              <w:t>Prime World International Holdings Ltd. and</w:t>
            </w:r>
          </w:p>
        </w:tc>
        <w:tc>
          <w:tcPr>
            <w:tcW w:w="8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100" w:type="dxa"/>
            <w:vAlign w:val="bottom"/>
          </w:tcPr>
          <w:p>
            <w:pPr>
              <w:spacing w:after="0"/>
              <w:rPr>
                <w:sz w:val="22"/>
                <w:szCs w:val="22"/>
                <w:color w:val="auto"/>
              </w:rPr>
            </w:pPr>
          </w:p>
        </w:tc>
        <w:tc>
          <w:tcPr>
            <w:tcW w:w="4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Taishin International Bank</w:t>
            </w:r>
          </w:p>
        </w:tc>
        <w:tc>
          <w:tcPr>
            <w:tcW w:w="8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3"/>
        </w:trPr>
        <w:tc>
          <w:tcPr>
            <w:tcW w:w="11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10.26.2</w:t>
            </w:r>
          </w:p>
        </w:tc>
        <w:tc>
          <w:tcPr>
            <w:tcW w:w="4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Translation of the Loan Agreement, dated</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001-36083</w:t>
            </w:r>
          </w:p>
        </w:tc>
        <w:tc>
          <w:tcPr>
            <w:tcW w:w="1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10.3</w:t>
            </w: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December 3, 2025</w:t>
            </w:r>
          </w:p>
        </w:tc>
        <w:tc>
          <w:tcPr>
            <w:tcW w:w="0" w:type="dxa"/>
            <w:vAlign w:val="bottom"/>
          </w:tcPr>
          <w:p>
            <w:pPr>
              <w:spacing w:after="0"/>
              <w:rPr>
                <w:sz w:val="1"/>
                <w:szCs w:val="1"/>
                <w:color w:val="auto"/>
              </w:rPr>
            </w:pPr>
          </w:p>
        </w:tc>
      </w:tr>
      <w:tr>
        <w:trPr>
          <w:trHeight w:val="226"/>
        </w:trPr>
        <w:tc>
          <w:tcPr>
            <w:tcW w:w="1100" w:type="dxa"/>
            <w:vAlign w:val="bottom"/>
          </w:tcPr>
          <w:p>
            <w:pPr>
              <w:spacing w:after="0"/>
              <w:rPr>
                <w:sz w:val="19"/>
                <w:szCs w:val="19"/>
                <w:color w:val="auto"/>
              </w:rPr>
            </w:pPr>
          </w:p>
        </w:tc>
        <w:tc>
          <w:tcPr>
            <w:tcW w:w="4460" w:type="dxa"/>
            <w:vAlign w:val="bottom"/>
          </w:tcPr>
          <w:p>
            <w:pPr>
              <w:ind w:left="120"/>
              <w:spacing w:after="0" w:line="226" w:lineRule="exact"/>
              <w:rPr>
                <w:sz w:val="20"/>
                <w:szCs w:val="20"/>
                <w:color w:val="auto"/>
              </w:rPr>
            </w:pPr>
            <w:r>
              <w:rPr>
                <w:rFonts w:ascii="Times New Roman" w:cs="Times New Roman" w:eastAsia="Times New Roman" w:hAnsi="Times New Roman"/>
                <w:sz w:val="20"/>
                <w:szCs w:val="20"/>
                <w:color w:val="auto"/>
              </w:rPr>
              <w:t>November 27, 2025, between Prime World</w:t>
            </w:r>
          </w:p>
        </w:tc>
        <w:tc>
          <w:tcPr>
            <w:tcW w:w="8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100" w:type="dxa"/>
            <w:vAlign w:val="bottom"/>
          </w:tcPr>
          <w:p>
            <w:pPr>
              <w:spacing w:after="0"/>
              <w:rPr>
                <w:sz w:val="19"/>
                <w:szCs w:val="19"/>
                <w:color w:val="auto"/>
              </w:rPr>
            </w:pPr>
          </w:p>
        </w:tc>
        <w:tc>
          <w:tcPr>
            <w:tcW w:w="4460" w:type="dxa"/>
            <w:vAlign w:val="bottom"/>
          </w:tcPr>
          <w:p>
            <w:pPr>
              <w:ind w:left="120"/>
              <w:spacing w:after="0" w:line="226" w:lineRule="exact"/>
              <w:rPr>
                <w:sz w:val="20"/>
                <w:szCs w:val="20"/>
                <w:color w:val="auto"/>
              </w:rPr>
            </w:pPr>
            <w:r>
              <w:rPr>
                <w:rFonts w:ascii="Times New Roman" w:cs="Times New Roman" w:eastAsia="Times New Roman" w:hAnsi="Times New Roman"/>
                <w:sz w:val="20"/>
                <w:szCs w:val="20"/>
                <w:color w:val="auto"/>
              </w:rPr>
              <w:t>International Holdings Ltd. and Taishin</w:t>
            </w:r>
          </w:p>
        </w:tc>
        <w:tc>
          <w:tcPr>
            <w:tcW w:w="8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100" w:type="dxa"/>
            <w:vAlign w:val="bottom"/>
          </w:tcPr>
          <w:p>
            <w:pPr>
              <w:spacing w:after="0"/>
              <w:rPr>
                <w:sz w:val="22"/>
                <w:szCs w:val="22"/>
                <w:color w:val="auto"/>
              </w:rPr>
            </w:pPr>
          </w:p>
        </w:tc>
        <w:tc>
          <w:tcPr>
            <w:tcW w:w="4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International Bank</w:t>
            </w:r>
          </w:p>
        </w:tc>
        <w:tc>
          <w:tcPr>
            <w:tcW w:w="8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5"/>
        </w:trPr>
        <w:tc>
          <w:tcPr>
            <w:tcW w:w="11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10.26.3</w:t>
            </w:r>
          </w:p>
        </w:tc>
        <w:tc>
          <w:tcPr>
            <w:tcW w:w="4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Translation of the Promissory Note, dated</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001-36083</w:t>
            </w:r>
          </w:p>
        </w:tc>
        <w:tc>
          <w:tcPr>
            <w:tcW w:w="1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10.4</w:t>
            </w: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December 3, 2025</w:t>
            </w:r>
          </w:p>
        </w:tc>
        <w:tc>
          <w:tcPr>
            <w:tcW w:w="0" w:type="dxa"/>
            <w:vAlign w:val="bottom"/>
          </w:tcPr>
          <w:p>
            <w:pPr>
              <w:spacing w:after="0"/>
              <w:rPr>
                <w:sz w:val="1"/>
                <w:szCs w:val="1"/>
                <w:color w:val="auto"/>
              </w:rPr>
            </w:pPr>
          </w:p>
        </w:tc>
      </w:tr>
      <w:tr>
        <w:trPr>
          <w:trHeight w:val="226"/>
        </w:trPr>
        <w:tc>
          <w:tcPr>
            <w:tcW w:w="1100" w:type="dxa"/>
            <w:vAlign w:val="bottom"/>
          </w:tcPr>
          <w:p>
            <w:pPr>
              <w:spacing w:after="0"/>
              <w:rPr>
                <w:sz w:val="19"/>
                <w:szCs w:val="19"/>
                <w:color w:val="auto"/>
              </w:rPr>
            </w:pPr>
          </w:p>
        </w:tc>
        <w:tc>
          <w:tcPr>
            <w:tcW w:w="4460" w:type="dxa"/>
            <w:vAlign w:val="bottom"/>
          </w:tcPr>
          <w:p>
            <w:pPr>
              <w:ind w:left="120"/>
              <w:spacing w:after="0" w:line="226" w:lineRule="exact"/>
              <w:rPr>
                <w:sz w:val="20"/>
                <w:szCs w:val="20"/>
                <w:color w:val="auto"/>
              </w:rPr>
            </w:pPr>
            <w:r>
              <w:rPr>
                <w:rFonts w:ascii="Times New Roman" w:cs="Times New Roman" w:eastAsia="Times New Roman" w:hAnsi="Times New Roman"/>
                <w:sz w:val="20"/>
                <w:szCs w:val="20"/>
                <w:color w:val="auto"/>
              </w:rPr>
              <w:t>November 27, 2025, between Prime World</w:t>
            </w:r>
          </w:p>
        </w:tc>
        <w:tc>
          <w:tcPr>
            <w:tcW w:w="8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100" w:type="dxa"/>
            <w:vAlign w:val="bottom"/>
          </w:tcPr>
          <w:p>
            <w:pPr>
              <w:spacing w:after="0"/>
              <w:rPr>
                <w:sz w:val="19"/>
                <w:szCs w:val="19"/>
                <w:color w:val="auto"/>
              </w:rPr>
            </w:pPr>
          </w:p>
        </w:tc>
        <w:tc>
          <w:tcPr>
            <w:tcW w:w="4460" w:type="dxa"/>
            <w:vAlign w:val="bottom"/>
          </w:tcPr>
          <w:p>
            <w:pPr>
              <w:ind w:left="120"/>
              <w:spacing w:after="0" w:line="226" w:lineRule="exact"/>
              <w:rPr>
                <w:sz w:val="20"/>
                <w:szCs w:val="20"/>
                <w:color w:val="auto"/>
              </w:rPr>
            </w:pPr>
            <w:r>
              <w:rPr>
                <w:rFonts w:ascii="Times New Roman" w:cs="Times New Roman" w:eastAsia="Times New Roman" w:hAnsi="Times New Roman"/>
                <w:sz w:val="20"/>
                <w:szCs w:val="20"/>
                <w:color w:val="auto"/>
              </w:rPr>
              <w:t>International Holdings Ltd. and Taishin</w:t>
            </w:r>
          </w:p>
        </w:tc>
        <w:tc>
          <w:tcPr>
            <w:tcW w:w="8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100" w:type="dxa"/>
            <w:vAlign w:val="bottom"/>
          </w:tcPr>
          <w:p>
            <w:pPr>
              <w:spacing w:after="0"/>
              <w:rPr>
                <w:sz w:val="22"/>
                <w:szCs w:val="22"/>
                <w:color w:val="auto"/>
              </w:rPr>
            </w:pPr>
          </w:p>
        </w:tc>
        <w:tc>
          <w:tcPr>
            <w:tcW w:w="4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International Bank</w:t>
            </w:r>
          </w:p>
        </w:tc>
        <w:tc>
          <w:tcPr>
            <w:tcW w:w="8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3"/>
        </w:trPr>
        <w:tc>
          <w:tcPr>
            <w:tcW w:w="11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19</w:t>
            </w:r>
          </w:p>
        </w:tc>
        <w:tc>
          <w:tcPr>
            <w:tcW w:w="4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Applied Optoelectronics, Inc. Insider Trading</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10-K</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001-36083</w:t>
            </w:r>
          </w:p>
        </w:tc>
        <w:tc>
          <w:tcPr>
            <w:tcW w:w="1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89"/>
              </w:rPr>
              <w:t>19</w:t>
            </w: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February 28, 2025</w:t>
            </w:r>
          </w:p>
        </w:tc>
        <w:tc>
          <w:tcPr>
            <w:tcW w:w="0" w:type="dxa"/>
            <w:vAlign w:val="bottom"/>
          </w:tcPr>
          <w:p>
            <w:pPr>
              <w:spacing w:after="0"/>
              <w:rPr>
                <w:sz w:val="1"/>
                <w:szCs w:val="1"/>
                <w:color w:val="auto"/>
              </w:rPr>
            </w:pPr>
          </w:p>
        </w:tc>
      </w:tr>
      <w:tr>
        <w:trPr>
          <w:trHeight w:val="261"/>
        </w:trPr>
        <w:tc>
          <w:tcPr>
            <w:tcW w:w="1100" w:type="dxa"/>
            <w:vAlign w:val="bottom"/>
          </w:tcPr>
          <w:p>
            <w:pPr>
              <w:spacing w:after="0"/>
              <w:rPr>
                <w:sz w:val="22"/>
                <w:szCs w:val="22"/>
                <w:color w:val="auto"/>
              </w:rPr>
            </w:pPr>
          </w:p>
        </w:tc>
        <w:tc>
          <w:tcPr>
            <w:tcW w:w="4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Policy and Guidelines</w:t>
            </w:r>
          </w:p>
        </w:tc>
        <w:tc>
          <w:tcPr>
            <w:tcW w:w="8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0"/>
        </w:trPr>
        <w:tc>
          <w:tcPr>
            <w:tcW w:w="11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21</w:t>
            </w:r>
          </w:p>
        </w:tc>
        <w:tc>
          <w:tcPr>
            <w:tcW w:w="4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Subsidiaries of the registrant</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S-1</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333-190591</w:t>
            </w:r>
          </w:p>
        </w:tc>
        <w:tc>
          <w:tcPr>
            <w:tcW w:w="1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21.1</w:t>
            </w: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August 13, 2013</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23.1* Consent of Grant Thornton LLP</w:t>
      </w:r>
    </w:p>
    <w:p>
      <w:pPr>
        <w:spacing w:after="0" w:line="234" w:lineRule="exact"/>
        <w:rPr>
          <w:sz w:val="20"/>
          <w:szCs w:val="20"/>
          <w:color w:val="auto"/>
        </w:rPr>
      </w:pPr>
    </w:p>
    <w:p>
      <w:pPr>
        <w:ind w:left="640"/>
        <w:spacing w:after="0"/>
        <w:tabs>
          <w:tab w:leader="none" w:pos="1200" w:val="left"/>
        </w:tabs>
        <w:rPr>
          <w:sz w:val="20"/>
          <w:szCs w:val="20"/>
          <w:color w:val="auto"/>
        </w:rPr>
      </w:pPr>
      <w:r>
        <w:rPr>
          <w:rFonts w:ascii="Times New Roman" w:cs="Times New Roman" w:eastAsia="Times New Roman" w:hAnsi="Times New Roman"/>
          <w:sz w:val="20"/>
          <w:szCs w:val="20"/>
          <w:color w:val="auto"/>
        </w:rPr>
        <w:t>24.1</w:t>
      </w:r>
      <w:r>
        <w:rPr>
          <w:sz w:val="20"/>
          <w:szCs w:val="20"/>
          <w:color w:val="auto"/>
        </w:rPr>
        <w:tab/>
      </w:r>
      <w:r>
        <w:rPr>
          <w:rFonts w:ascii="Times New Roman" w:cs="Times New Roman" w:eastAsia="Times New Roman" w:hAnsi="Times New Roman"/>
          <w:sz w:val="18"/>
          <w:szCs w:val="18"/>
          <w:color w:val="auto"/>
        </w:rPr>
        <w:t>Power of Attorney (see the signature page in this</w:t>
      </w:r>
    </w:p>
    <w:p>
      <w:pPr>
        <w:ind w:left="1220"/>
        <w:spacing w:after="0"/>
        <w:rPr>
          <w:sz w:val="20"/>
          <w:szCs w:val="20"/>
          <w:color w:val="auto"/>
        </w:rPr>
      </w:pPr>
      <w:r>
        <w:rPr>
          <w:rFonts w:ascii="Times New Roman" w:cs="Times New Roman" w:eastAsia="Times New Roman" w:hAnsi="Times New Roman"/>
          <w:sz w:val="20"/>
          <w:szCs w:val="20"/>
          <w:color w:val="auto"/>
        </w:rPr>
        <w:t>Annual Report on Form 10-K).</w:t>
      </w:r>
    </w:p>
    <w:p>
      <w:pPr>
        <w:spacing w:after="0" w:line="2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31.1* Certification of Principal Executive Officer</w:t>
      </w:r>
    </w:p>
    <w:p>
      <w:pPr>
        <w:ind w:left="1220"/>
        <w:spacing w:after="0" w:line="235" w:lineRule="auto"/>
        <w:rPr>
          <w:sz w:val="20"/>
          <w:szCs w:val="20"/>
          <w:color w:val="auto"/>
        </w:rPr>
      </w:pPr>
      <w:r>
        <w:rPr>
          <w:rFonts w:ascii="Times New Roman" w:cs="Times New Roman" w:eastAsia="Times New Roman" w:hAnsi="Times New Roman"/>
          <w:sz w:val="20"/>
          <w:szCs w:val="20"/>
          <w:color w:val="auto"/>
        </w:rPr>
        <w:t>Required Under Rule 13a</w:t>
      </w:r>
      <w:r>
        <w:rPr>
          <w:rFonts w:ascii="Times New Roman" w:cs="Times New Roman" w:eastAsia="Times New Roman" w:hAnsi="Times New Roman"/>
          <w:sz w:val="19"/>
          <w:szCs w:val="19"/>
          <w:color w:val="auto"/>
        </w:rPr>
        <w:t>-14(a) and 15d-14(a) of</w:t>
      </w:r>
    </w:p>
    <w:p>
      <w:pPr>
        <w:ind w:left="1220"/>
        <w:spacing w:after="0" w:line="236" w:lineRule="auto"/>
        <w:rPr>
          <w:sz w:val="20"/>
          <w:szCs w:val="20"/>
          <w:color w:val="auto"/>
        </w:rPr>
      </w:pPr>
      <w:r>
        <w:rPr>
          <w:rFonts w:ascii="Times New Roman" w:cs="Times New Roman" w:eastAsia="Times New Roman" w:hAnsi="Times New Roman"/>
          <w:sz w:val="20"/>
          <w:szCs w:val="20"/>
          <w:color w:val="auto"/>
        </w:rPr>
        <w:t>the Securities Exchange Act of 1934, as amended,</w:t>
      </w:r>
    </w:p>
    <w:p>
      <w:pPr>
        <w:ind w:left="1220"/>
        <w:spacing w:after="0" w:line="233" w:lineRule="auto"/>
        <w:rPr>
          <w:sz w:val="20"/>
          <w:szCs w:val="20"/>
          <w:color w:val="auto"/>
        </w:rPr>
      </w:pPr>
      <w:r>
        <w:rPr>
          <w:rFonts w:ascii="Times New Roman" w:cs="Times New Roman" w:eastAsia="Times New Roman" w:hAnsi="Times New Roman"/>
          <w:sz w:val="20"/>
          <w:szCs w:val="20"/>
          <w:color w:val="auto"/>
        </w:rPr>
        <w:t xml:space="preserve">as adopted pursuant to Section 302 of </w:t>
      </w:r>
      <w:r>
        <w:rPr>
          <w:rFonts w:ascii="Times New Roman" w:cs="Times New Roman" w:eastAsia="Times New Roman" w:hAnsi="Times New Roman"/>
          <w:sz w:val="19"/>
          <w:szCs w:val="19"/>
          <w:color w:val="auto"/>
        </w:rPr>
        <w:t>The</w:t>
      </w:r>
    </w:p>
    <w:p>
      <w:pPr>
        <w:spacing w:after="0" w:line="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Sarbanes-Oxley Act of 2002.</w:t>
      </w:r>
    </w:p>
    <w:p>
      <w:pPr>
        <w:spacing w:after="0" w:line="2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31.2* Certification of Principal Financial Officer</w:t>
      </w:r>
    </w:p>
    <w:p>
      <w:pPr>
        <w:ind w:left="1220"/>
        <w:spacing w:after="0" w:line="235" w:lineRule="auto"/>
        <w:rPr>
          <w:sz w:val="20"/>
          <w:szCs w:val="20"/>
          <w:color w:val="auto"/>
        </w:rPr>
      </w:pPr>
      <w:r>
        <w:rPr>
          <w:rFonts w:ascii="Times New Roman" w:cs="Times New Roman" w:eastAsia="Times New Roman" w:hAnsi="Times New Roman"/>
          <w:sz w:val="20"/>
          <w:szCs w:val="20"/>
          <w:color w:val="auto"/>
        </w:rPr>
        <w:t>Required Under Rule 13a</w:t>
      </w:r>
      <w:r>
        <w:rPr>
          <w:rFonts w:ascii="Times New Roman" w:cs="Times New Roman" w:eastAsia="Times New Roman" w:hAnsi="Times New Roman"/>
          <w:sz w:val="19"/>
          <w:szCs w:val="19"/>
          <w:color w:val="auto"/>
        </w:rPr>
        <w:t>-14(a) and 15d-14(a) of</w:t>
      </w:r>
    </w:p>
    <w:p>
      <w:pPr>
        <w:ind w:left="1220"/>
        <w:spacing w:after="0" w:line="236" w:lineRule="auto"/>
        <w:rPr>
          <w:sz w:val="20"/>
          <w:szCs w:val="20"/>
          <w:color w:val="auto"/>
        </w:rPr>
      </w:pPr>
      <w:r>
        <w:rPr>
          <w:rFonts w:ascii="Times New Roman" w:cs="Times New Roman" w:eastAsia="Times New Roman" w:hAnsi="Times New Roman"/>
          <w:sz w:val="20"/>
          <w:szCs w:val="20"/>
          <w:color w:val="auto"/>
        </w:rPr>
        <w:t xml:space="preserve">the Securities Exchange Act of </w:t>
      </w:r>
      <w:r>
        <w:rPr>
          <w:rFonts w:ascii="Times New Roman" w:cs="Times New Roman" w:eastAsia="Times New Roman" w:hAnsi="Times New Roman"/>
          <w:sz w:val="19"/>
          <w:szCs w:val="19"/>
          <w:color w:val="auto"/>
        </w:rPr>
        <w:t>1934, as amended,</w:t>
      </w:r>
    </w:p>
    <w:p>
      <w:pPr>
        <w:ind w:left="1220"/>
        <w:spacing w:after="0" w:line="235" w:lineRule="auto"/>
        <w:rPr>
          <w:sz w:val="20"/>
          <w:szCs w:val="20"/>
          <w:color w:val="auto"/>
        </w:rPr>
      </w:pPr>
      <w:r>
        <w:rPr>
          <w:rFonts w:ascii="Times New Roman" w:cs="Times New Roman" w:eastAsia="Times New Roman" w:hAnsi="Times New Roman"/>
          <w:sz w:val="20"/>
          <w:szCs w:val="20"/>
          <w:color w:val="auto"/>
        </w:rPr>
        <w:t>as adopted pursuant to Section 302 of The</w:t>
      </w:r>
    </w:p>
    <w:p>
      <w:pPr>
        <w:spacing w:after="0" w:line="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Sarbanes-Oxley Act of 2002.</w:t>
      </w:r>
    </w:p>
    <w:p>
      <w:pPr>
        <w:spacing w:after="0" w:line="2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32.1* Certification of Principal Executive Officer and</w:t>
      </w:r>
    </w:p>
    <w:p>
      <w:pPr>
        <w:ind w:left="1220"/>
        <w:spacing w:after="0" w:line="233" w:lineRule="auto"/>
        <w:rPr>
          <w:sz w:val="20"/>
          <w:szCs w:val="20"/>
          <w:color w:val="auto"/>
        </w:rPr>
      </w:pPr>
      <w:r>
        <w:rPr>
          <w:rFonts w:ascii="Times New Roman" w:cs="Times New Roman" w:eastAsia="Times New Roman" w:hAnsi="Times New Roman"/>
          <w:sz w:val="20"/>
          <w:szCs w:val="20"/>
          <w:color w:val="auto"/>
        </w:rPr>
        <w:t xml:space="preserve">Principal Financial </w:t>
      </w:r>
      <w:r>
        <w:rPr>
          <w:rFonts w:ascii="Times New Roman" w:cs="Times New Roman" w:eastAsia="Times New Roman" w:hAnsi="Times New Roman"/>
          <w:sz w:val="19"/>
          <w:szCs w:val="19"/>
          <w:color w:val="auto"/>
        </w:rPr>
        <w:t>Officer Required Under Rule</w:t>
      </w:r>
    </w:p>
    <w:p>
      <w:pPr>
        <w:ind w:left="1220"/>
        <w:spacing w:after="0" w:line="235" w:lineRule="auto"/>
        <w:rPr>
          <w:sz w:val="20"/>
          <w:szCs w:val="20"/>
          <w:color w:val="auto"/>
        </w:rPr>
      </w:pPr>
      <w:r>
        <w:rPr>
          <w:rFonts w:ascii="Times New Roman" w:cs="Times New Roman" w:eastAsia="Times New Roman" w:hAnsi="Times New Roman"/>
          <w:sz w:val="20"/>
          <w:szCs w:val="20"/>
          <w:color w:val="auto"/>
        </w:rPr>
        <w:t>13a</w:t>
      </w:r>
      <w:r>
        <w:rPr>
          <w:rFonts w:ascii="Times New Roman" w:cs="Times New Roman" w:eastAsia="Times New Roman" w:hAnsi="Times New Roman"/>
          <w:sz w:val="19"/>
          <w:szCs w:val="19"/>
          <w:color w:val="auto"/>
        </w:rPr>
        <w:t>-14(a) and 15d-</w:t>
      </w:r>
      <w:r>
        <w:rPr>
          <w:rFonts w:ascii="Times New Roman" w:cs="Times New Roman" w:eastAsia="Times New Roman" w:hAnsi="Times New Roman"/>
          <w:sz w:val="20"/>
          <w:szCs w:val="20"/>
          <w:color w:val="auto"/>
        </w:rPr>
        <w:t>14(a) of the Securities Exchange</w:t>
      </w:r>
    </w:p>
    <w:p>
      <w:pPr>
        <w:ind w:left="1220"/>
        <w:spacing w:after="0" w:line="236" w:lineRule="auto"/>
        <w:rPr>
          <w:sz w:val="20"/>
          <w:szCs w:val="20"/>
          <w:color w:val="auto"/>
        </w:rPr>
      </w:pPr>
      <w:r>
        <w:rPr>
          <w:rFonts w:ascii="Times New Roman" w:cs="Times New Roman" w:eastAsia="Times New Roman" w:hAnsi="Times New Roman"/>
          <w:sz w:val="20"/>
          <w:szCs w:val="20"/>
          <w:color w:val="auto"/>
        </w:rPr>
        <w:t>Act of 1934, as amended, and 18 U.S.C. §1350 as</w:t>
      </w:r>
    </w:p>
    <w:p>
      <w:pPr>
        <w:ind w:left="1220"/>
        <w:spacing w:after="0" w:line="236" w:lineRule="auto"/>
        <w:rPr>
          <w:sz w:val="20"/>
          <w:szCs w:val="20"/>
          <w:color w:val="auto"/>
        </w:rPr>
      </w:pPr>
      <w:r>
        <w:rPr>
          <w:rFonts w:ascii="Times New Roman" w:cs="Times New Roman" w:eastAsia="Times New Roman" w:hAnsi="Times New Roman"/>
          <w:sz w:val="20"/>
          <w:szCs w:val="20"/>
          <w:color w:val="auto"/>
        </w:rPr>
        <w:t>adopted pursuant to Section 906 of The Sarbanes</w:t>
      </w:r>
      <w:r>
        <w:rPr>
          <w:rFonts w:ascii="Times New Roman" w:cs="Times New Roman" w:eastAsia="Times New Roman" w:hAnsi="Times New Roman"/>
          <w:sz w:val="19"/>
          <w:szCs w:val="19"/>
          <w:color w:val="auto"/>
        </w:rPr>
        <w:t>-</w:t>
      </w:r>
    </w:p>
    <w:p>
      <w:pPr>
        <w:ind w:left="1220"/>
        <w:spacing w:after="0"/>
        <w:rPr>
          <w:sz w:val="20"/>
          <w:szCs w:val="20"/>
          <w:color w:val="auto"/>
        </w:rPr>
      </w:pPr>
      <w:r>
        <w:rPr>
          <w:rFonts w:ascii="Times New Roman" w:cs="Times New Roman" w:eastAsia="Times New Roman" w:hAnsi="Times New Roman"/>
          <w:sz w:val="20"/>
          <w:szCs w:val="20"/>
          <w:color w:val="auto"/>
        </w:rPr>
        <w:t>Oxley Act of 2002.</w:t>
      </w:r>
    </w:p>
    <w:p>
      <w:pPr>
        <w:spacing w:after="0" w:line="242" w:lineRule="exact"/>
        <w:rPr>
          <w:sz w:val="20"/>
          <w:szCs w:val="20"/>
          <w:color w:val="auto"/>
        </w:rPr>
      </w:pPr>
    </w:p>
    <w:tbl>
      <w:tblPr>
        <w:tblLayout w:type="fixed"/>
        <w:tblInd w:w="260" w:type="dxa"/>
        <w:tblCellMar>
          <w:top w:w="0" w:type="dxa"/>
          <w:left w:w="0" w:type="dxa"/>
          <w:bottom w:w="0" w:type="dxa"/>
          <w:right w:w="0" w:type="dxa"/>
        </w:tblCellMar>
      </w:tblPr>
      <w:tr>
        <w:trPr>
          <w:trHeight w:val="259"/>
        </w:trPr>
        <w:tc>
          <w:tcPr>
            <w:tcW w:w="8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97</w:t>
            </w:r>
          </w:p>
        </w:tc>
        <w:tc>
          <w:tcPr>
            <w:tcW w:w="42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Compensation Recovery Policy</w:t>
            </w:r>
          </w:p>
        </w:tc>
        <w:tc>
          <w:tcPr>
            <w:tcW w:w="10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10-K</w:t>
            </w:r>
          </w:p>
        </w:tc>
        <w:tc>
          <w:tcPr>
            <w:tcW w:w="140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001-36083</w:t>
            </w:r>
          </w:p>
        </w:tc>
        <w:tc>
          <w:tcPr>
            <w:tcW w:w="820" w:type="dxa"/>
            <w:vAlign w:val="bottom"/>
          </w:tcPr>
          <w:p>
            <w:pPr>
              <w:jc w:val="right"/>
              <w:ind w:right="222"/>
              <w:spacing w:after="0"/>
              <w:rPr>
                <w:sz w:val="20"/>
                <w:szCs w:val="20"/>
                <w:color w:val="auto"/>
              </w:rPr>
            </w:pPr>
            <w:r>
              <w:rPr>
                <w:rFonts w:ascii="Times New Roman" w:cs="Times New Roman" w:eastAsia="Times New Roman" w:hAnsi="Times New Roman"/>
                <w:sz w:val="20"/>
                <w:szCs w:val="20"/>
                <w:color w:val="auto"/>
              </w:rPr>
              <w:t>97</w:t>
            </w:r>
          </w:p>
        </w:tc>
        <w:tc>
          <w:tcPr>
            <w:tcW w:w="1780" w:type="dxa"/>
            <w:vAlign w:val="bottom"/>
          </w:tcPr>
          <w:p>
            <w:pPr>
              <w:ind w:left="320"/>
              <w:spacing w:after="0"/>
              <w:rPr>
                <w:sz w:val="20"/>
                <w:szCs w:val="20"/>
                <w:color w:val="auto"/>
              </w:rPr>
            </w:pPr>
            <w:r>
              <w:rPr>
                <w:rFonts w:ascii="Times New Roman" w:cs="Times New Roman" w:eastAsia="Times New Roman" w:hAnsi="Times New Roman"/>
                <w:sz w:val="20"/>
                <w:szCs w:val="20"/>
                <w:color w:val="auto"/>
                <w:w w:val="97"/>
              </w:rPr>
              <w:t>February 23, 2024</w:t>
            </w:r>
          </w:p>
        </w:tc>
      </w:tr>
      <w:tr>
        <w:trPr>
          <w:trHeight w:val="470"/>
        </w:trPr>
        <w:tc>
          <w:tcPr>
            <w:tcW w:w="8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101.INS</w:t>
            </w:r>
          </w:p>
        </w:tc>
        <w:tc>
          <w:tcPr>
            <w:tcW w:w="42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Inline XBRL Instance Document</w:t>
            </w:r>
          </w:p>
        </w:tc>
        <w:tc>
          <w:tcPr>
            <w:tcW w:w="10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435"/>
        </w:trPr>
        <w:tc>
          <w:tcPr>
            <w:tcW w:w="8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w w:val="97"/>
              </w:rPr>
              <w:t>101.SCH</w:t>
            </w:r>
          </w:p>
        </w:tc>
        <w:tc>
          <w:tcPr>
            <w:tcW w:w="42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Inline XBRL Taxonomy Extension Schema</w:t>
            </w:r>
          </w:p>
        </w:tc>
        <w:tc>
          <w:tcPr>
            <w:tcW w:w="10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61"/>
        </w:trPr>
        <w:tc>
          <w:tcPr>
            <w:tcW w:w="840" w:type="dxa"/>
            <w:vAlign w:val="bottom"/>
          </w:tcPr>
          <w:p>
            <w:pPr>
              <w:spacing w:after="0"/>
              <w:rPr>
                <w:sz w:val="22"/>
                <w:szCs w:val="22"/>
                <w:color w:val="auto"/>
              </w:rPr>
            </w:pPr>
          </w:p>
        </w:tc>
        <w:tc>
          <w:tcPr>
            <w:tcW w:w="42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Document</w:t>
            </w:r>
          </w:p>
        </w:tc>
        <w:tc>
          <w:tcPr>
            <w:tcW w:w="10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780" w:type="dxa"/>
            <w:vAlign w:val="bottom"/>
          </w:tcPr>
          <w:p>
            <w:pPr>
              <w:spacing w:after="0"/>
              <w:rPr>
                <w:sz w:val="22"/>
                <w:szCs w:val="22"/>
                <w:color w:val="auto"/>
              </w:rPr>
            </w:pPr>
          </w:p>
        </w:tc>
      </w:tr>
      <w:tr>
        <w:trPr>
          <w:trHeight w:val="433"/>
        </w:trPr>
        <w:tc>
          <w:tcPr>
            <w:tcW w:w="8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w w:val="95"/>
              </w:rPr>
              <w:t>101.CAL</w:t>
            </w:r>
          </w:p>
        </w:tc>
        <w:tc>
          <w:tcPr>
            <w:tcW w:w="42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Inline XBRL Taxonomy Extension Calculation</w:t>
            </w:r>
          </w:p>
        </w:tc>
        <w:tc>
          <w:tcPr>
            <w:tcW w:w="10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61"/>
        </w:trPr>
        <w:tc>
          <w:tcPr>
            <w:tcW w:w="840" w:type="dxa"/>
            <w:vAlign w:val="bottom"/>
          </w:tcPr>
          <w:p>
            <w:pPr>
              <w:spacing w:after="0"/>
              <w:rPr>
                <w:sz w:val="22"/>
                <w:szCs w:val="22"/>
                <w:color w:val="auto"/>
              </w:rPr>
            </w:pPr>
          </w:p>
        </w:tc>
        <w:tc>
          <w:tcPr>
            <w:tcW w:w="42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Linkbase Document</w:t>
            </w:r>
          </w:p>
        </w:tc>
        <w:tc>
          <w:tcPr>
            <w:tcW w:w="10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780" w:type="dxa"/>
            <w:vAlign w:val="bottom"/>
          </w:tcPr>
          <w:p>
            <w:pPr>
              <w:spacing w:after="0"/>
              <w:rPr>
                <w:sz w:val="22"/>
                <w:szCs w:val="22"/>
                <w:color w:val="auto"/>
              </w:rPr>
            </w:pPr>
          </w:p>
        </w:tc>
      </w:tr>
    </w:tbl>
    <w:p>
      <w:pPr>
        <w:spacing w:after="0" w:line="200" w:lineRule="exact"/>
        <w:rPr>
          <w:sz w:val="20"/>
          <w:szCs w:val="20"/>
          <w:color w:val="auto"/>
        </w:rPr>
      </w:pPr>
    </w:p>
    <w:p>
      <w:pPr>
        <w:sectPr>
          <w:pgSz w:w="11880" w:h="15480" w:orient="portrait"/>
          <w:cols w:equalWidth="0" w:num="1">
            <w:col w:w="10480"/>
          </w:cols>
          <w:pgMar w:left="660" w:top="413"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55</w:t>
      </w:r>
    </w:p>
    <w:p>
      <w:pPr>
        <w:sectPr>
          <w:pgSz w:w="11880" w:h="15480" w:orient="portrait"/>
          <w:cols w:equalWidth="0" w:num="1">
            <w:col w:w="10480"/>
          </w:cols>
          <w:pgMar w:left="660" w:top="413" w:right="740" w:bottom="0" w:gutter="0" w:footer="0" w:header="0"/>
          <w:type w:val="continuous"/>
        </w:sectPr>
      </w:pPr>
    </w:p>
    <w:bookmarkStart w:id="57" w:name="page58"/>
    <w:bookmarkEnd w:id="57"/>
    <w:tbl>
      <w:tblPr>
        <w:tblLayout w:type="fixed"/>
        <w:tblInd w:w="20" w:type="dxa"/>
        <w:tblCellMar>
          <w:top w:w="0" w:type="dxa"/>
          <w:left w:w="0" w:type="dxa"/>
          <w:bottom w:w="0" w:type="dxa"/>
          <w:right w:w="0" w:type="dxa"/>
        </w:tblCellMar>
      </w:tblPr>
      <w:tr>
        <w:trPr>
          <w:trHeight w:val="253"/>
        </w:trPr>
        <w:tc>
          <w:tcPr>
            <w:tcW w:w="1540" w:type="dxa"/>
            <w:vAlign w:val="bottom"/>
            <w:vMerge w:val="restart"/>
          </w:tcPr>
          <w:p>
            <w:pPr>
              <w:jc w:val="right"/>
              <w:ind w:right="382"/>
              <w:spacing w:after="0"/>
              <w:rPr>
                <w:sz w:val="20"/>
                <w:szCs w:val="20"/>
                <w:color w:val="auto"/>
              </w:rPr>
            </w:pPr>
            <w:r>
              <w:rPr>
                <w:rFonts w:ascii="Times New Roman" w:cs="Times New Roman" w:eastAsia="Times New Roman" w:hAnsi="Times New Roman"/>
                <w:sz w:val="20"/>
                <w:szCs w:val="20"/>
                <w:b w:val="1"/>
                <w:bCs w:val="1"/>
                <w:color w:val="auto"/>
              </w:rPr>
              <w:t>Number</w:t>
            </w:r>
          </w:p>
        </w:tc>
        <w:tc>
          <w:tcPr>
            <w:tcW w:w="4360" w:type="dxa"/>
            <w:vAlign w:val="bottom"/>
            <w:vMerge w:val="restart"/>
          </w:tcPr>
          <w:p>
            <w:pPr>
              <w:ind w:left="1320"/>
              <w:spacing w:after="0"/>
              <w:rPr>
                <w:sz w:val="20"/>
                <w:szCs w:val="20"/>
                <w:color w:val="auto"/>
              </w:rPr>
            </w:pPr>
            <w:r>
              <w:rPr>
                <w:rFonts w:ascii="Times New Roman" w:cs="Times New Roman" w:eastAsia="Times New Roman" w:hAnsi="Times New Roman"/>
                <w:sz w:val="20"/>
                <w:szCs w:val="20"/>
                <w:b w:val="1"/>
                <w:bCs w:val="1"/>
                <w:color w:val="auto"/>
              </w:rPr>
              <w:t>Exhibit Description</w:t>
            </w:r>
          </w:p>
        </w:tc>
        <w:tc>
          <w:tcPr>
            <w:tcW w:w="800" w:type="dxa"/>
            <w:vAlign w:val="bottom"/>
            <w:tcBorders>
              <w:bottom w:val="single" w:sz="8" w:color="auto"/>
            </w:tcBorders>
          </w:tcPr>
          <w:p>
            <w:pPr>
              <w:spacing w:after="0"/>
              <w:rPr>
                <w:sz w:val="21"/>
                <w:szCs w:val="21"/>
                <w:color w:val="auto"/>
              </w:rPr>
            </w:pPr>
          </w:p>
        </w:tc>
        <w:tc>
          <w:tcPr>
            <w:tcW w:w="388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20"/>
                <w:szCs w:val="20"/>
                <w:b w:val="1"/>
                <w:bCs w:val="1"/>
                <w:color w:val="auto"/>
              </w:rPr>
              <w:t>Incorporated By Reference</w:t>
            </w:r>
          </w:p>
        </w:tc>
        <w:tc>
          <w:tcPr>
            <w:tcW w:w="0" w:type="dxa"/>
            <w:vAlign w:val="bottom"/>
          </w:tcPr>
          <w:p>
            <w:pPr>
              <w:spacing w:after="0"/>
              <w:rPr>
                <w:sz w:val="1"/>
                <w:szCs w:val="1"/>
                <w:color w:val="auto"/>
              </w:rPr>
            </w:pPr>
          </w:p>
        </w:tc>
      </w:tr>
      <w:tr>
        <w:trPr>
          <w:trHeight w:val="225"/>
        </w:trPr>
        <w:tc>
          <w:tcPr>
            <w:tcW w:w="1540" w:type="dxa"/>
            <w:vAlign w:val="bottom"/>
            <w:tcBorders>
              <w:bottom w:val="single" w:sz="8" w:color="auto"/>
            </w:tcBorders>
            <w:vMerge w:val="continue"/>
          </w:tcPr>
          <w:p>
            <w:pPr>
              <w:spacing w:after="0"/>
              <w:rPr>
                <w:sz w:val="19"/>
                <w:szCs w:val="19"/>
                <w:color w:val="auto"/>
              </w:rPr>
            </w:pPr>
          </w:p>
        </w:tc>
        <w:tc>
          <w:tcPr>
            <w:tcW w:w="4360" w:type="dxa"/>
            <w:vAlign w:val="bottom"/>
            <w:tcBorders>
              <w:bottom w:val="single" w:sz="8" w:color="auto"/>
            </w:tcBorders>
            <w:vMerge w:val="continue"/>
          </w:tcPr>
          <w:p>
            <w:pPr>
              <w:spacing w:after="0"/>
              <w:rPr>
                <w:sz w:val="19"/>
                <w:szCs w:val="19"/>
                <w:color w:val="auto"/>
              </w:rPr>
            </w:pPr>
          </w:p>
        </w:tc>
        <w:tc>
          <w:tcPr>
            <w:tcW w:w="800" w:type="dxa"/>
            <w:vAlign w:val="bottom"/>
            <w:tcBorders>
              <w:bottom w:val="single" w:sz="8" w:color="auto"/>
            </w:tcBorders>
          </w:tcPr>
          <w:p>
            <w:pPr>
              <w:ind w:left="100"/>
              <w:spacing w:after="0" w:line="225" w:lineRule="exact"/>
              <w:rPr>
                <w:sz w:val="20"/>
                <w:szCs w:val="20"/>
                <w:color w:val="auto"/>
              </w:rPr>
            </w:pPr>
            <w:r>
              <w:rPr>
                <w:rFonts w:ascii="Times New Roman" w:cs="Times New Roman" w:eastAsia="Times New Roman" w:hAnsi="Times New Roman"/>
                <w:sz w:val="20"/>
                <w:szCs w:val="20"/>
                <w:b w:val="1"/>
                <w:bCs w:val="1"/>
                <w:color w:val="auto"/>
              </w:rPr>
              <w:t>Form</w:t>
            </w:r>
          </w:p>
        </w:tc>
        <w:tc>
          <w:tcPr>
            <w:tcW w:w="1080" w:type="dxa"/>
            <w:vAlign w:val="bottom"/>
            <w:tcBorders>
              <w:bottom w:val="single" w:sz="8" w:color="auto"/>
            </w:tcBorders>
          </w:tcPr>
          <w:p>
            <w:pPr>
              <w:ind w:left="220"/>
              <w:spacing w:after="0" w:line="225" w:lineRule="exact"/>
              <w:rPr>
                <w:sz w:val="20"/>
                <w:szCs w:val="20"/>
                <w:color w:val="auto"/>
              </w:rPr>
            </w:pPr>
            <w:r>
              <w:rPr>
                <w:rFonts w:ascii="Times New Roman" w:cs="Times New Roman" w:eastAsia="Times New Roman" w:hAnsi="Times New Roman"/>
                <w:sz w:val="20"/>
                <w:szCs w:val="20"/>
                <w:b w:val="1"/>
                <w:bCs w:val="1"/>
                <w:color w:val="auto"/>
              </w:rPr>
              <w:t>File No.</w:t>
            </w:r>
          </w:p>
        </w:tc>
        <w:tc>
          <w:tcPr>
            <w:tcW w:w="1140" w:type="dxa"/>
            <w:vAlign w:val="bottom"/>
            <w:tcBorders>
              <w:bottom w:val="single" w:sz="8" w:color="auto"/>
            </w:tcBorders>
          </w:tcPr>
          <w:p>
            <w:pPr>
              <w:ind w:left="200"/>
              <w:spacing w:after="0" w:line="225" w:lineRule="exact"/>
              <w:rPr>
                <w:sz w:val="20"/>
                <w:szCs w:val="20"/>
                <w:color w:val="auto"/>
              </w:rPr>
            </w:pPr>
            <w:r>
              <w:rPr>
                <w:rFonts w:ascii="Times New Roman" w:cs="Times New Roman" w:eastAsia="Times New Roman" w:hAnsi="Times New Roman"/>
                <w:sz w:val="20"/>
                <w:szCs w:val="20"/>
                <w:b w:val="1"/>
                <w:bCs w:val="1"/>
                <w:color w:val="auto"/>
              </w:rPr>
              <w:t>Exhibit</w:t>
            </w:r>
          </w:p>
        </w:tc>
        <w:tc>
          <w:tcPr>
            <w:tcW w:w="1660" w:type="dxa"/>
            <w:vAlign w:val="bottom"/>
            <w:tcBorders>
              <w:bottom w:val="single" w:sz="8" w:color="auto"/>
            </w:tcBorders>
          </w:tcPr>
          <w:p>
            <w:pPr>
              <w:ind w:left="340"/>
              <w:spacing w:after="0" w:line="225" w:lineRule="exact"/>
              <w:rPr>
                <w:sz w:val="20"/>
                <w:szCs w:val="20"/>
                <w:color w:val="auto"/>
              </w:rPr>
            </w:pPr>
            <w:r>
              <w:rPr>
                <w:rFonts w:ascii="Times New Roman" w:cs="Times New Roman" w:eastAsia="Times New Roman" w:hAnsi="Times New Roman"/>
                <w:sz w:val="20"/>
                <w:szCs w:val="20"/>
                <w:b w:val="1"/>
                <w:bCs w:val="1"/>
                <w:color w:val="auto"/>
              </w:rPr>
              <w:t>Filing Date</w:t>
            </w:r>
          </w:p>
        </w:tc>
        <w:tc>
          <w:tcPr>
            <w:tcW w:w="0" w:type="dxa"/>
            <w:vAlign w:val="bottom"/>
          </w:tcPr>
          <w:p>
            <w:pPr>
              <w:spacing w:after="0"/>
              <w:rPr>
                <w:sz w:val="1"/>
                <w:szCs w:val="1"/>
                <w:color w:val="auto"/>
              </w:rPr>
            </w:pPr>
          </w:p>
        </w:tc>
      </w:tr>
      <w:tr>
        <w:trPr>
          <w:trHeight w:val="200"/>
        </w:trPr>
        <w:tc>
          <w:tcPr>
            <w:tcW w:w="1540" w:type="dxa"/>
            <w:vAlign w:val="bottom"/>
          </w:tcPr>
          <w:p>
            <w:pPr>
              <w:jc w:val="right"/>
              <w:ind w:right="2"/>
              <w:spacing w:after="0" w:line="201" w:lineRule="exact"/>
              <w:rPr>
                <w:sz w:val="20"/>
                <w:szCs w:val="20"/>
                <w:color w:val="auto"/>
              </w:rPr>
            </w:pPr>
            <w:r>
              <w:rPr>
                <w:rFonts w:ascii="Times New Roman" w:cs="Times New Roman" w:eastAsia="Times New Roman" w:hAnsi="Times New Roman"/>
                <w:sz w:val="20"/>
                <w:szCs w:val="20"/>
                <w:color w:val="auto"/>
              </w:rPr>
              <w:t>101.DEF</w:t>
            </w:r>
          </w:p>
        </w:tc>
        <w:tc>
          <w:tcPr>
            <w:tcW w:w="4360" w:type="dxa"/>
            <w:vAlign w:val="bottom"/>
          </w:tcPr>
          <w:p>
            <w:pPr>
              <w:ind w:left="120"/>
              <w:spacing w:after="0" w:line="201" w:lineRule="exact"/>
              <w:rPr>
                <w:sz w:val="20"/>
                <w:szCs w:val="20"/>
                <w:color w:val="auto"/>
              </w:rPr>
            </w:pPr>
            <w:r>
              <w:rPr>
                <w:rFonts w:ascii="Times New Roman" w:cs="Times New Roman" w:eastAsia="Times New Roman" w:hAnsi="Times New Roman"/>
                <w:sz w:val="20"/>
                <w:szCs w:val="20"/>
                <w:color w:val="auto"/>
              </w:rPr>
              <w:t>Inline XBRL Taxonomy Extension Definition</w:t>
            </w:r>
          </w:p>
        </w:tc>
        <w:tc>
          <w:tcPr>
            <w:tcW w:w="8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1540" w:type="dxa"/>
            <w:vAlign w:val="bottom"/>
          </w:tcPr>
          <w:p>
            <w:pPr>
              <w:spacing w:after="0"/>
              <w:rPr>
                <w:sz w:val="22"/>
                <w:szCs w:val="22"/>
                <w:color w:val="auto"/>
              </w:rPr>
            </w:pPr>
          </w:p>
        </w:tc>
        <w:tc>
          <w:tcPr>
            <w:tcW w:w="43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Linkbase Document</w:t>
            </w: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5"/>
        </w:trPr>
        <w:tc>
          <w:tcPr>
            <w:tcW w:w="15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101.LAB</w:t>
            </w:r>
          </w:p>
        </w:tc>
        <w:tc>
          <w:tcPr>
            <w:tcW w:w="43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Inline XBRL Taxonomy Extension Label Linkbase</w:t>
            </w:r>
          </w:p>
        </w:tc>
        <w:tc>
          <w:tcPr>
            <w:tcW w:w="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1540" w:type="dxa"/>
            <w:vAlign w:val="bottom"/>
          </w:tcPr>
          <w:p>
            <w:pPr>
              <w:spacing w:after="0"/>
              <w:rPr>
                <w:sz w:val="22"/>
                <w:szCs w:val="22"/>
                <w:color w:val="auto"/>
              </w:rPr>
            </w:pPr>
          </w:p>
        </w:tc>
        <w:tc>
          <w:tcPr>
            <w:tcW w:w="43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Document</w:t>
            </w: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5"/>
        </w:trPr>
        <w:tc>
          <w:tcPr>
            <w:tcW w:w="15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101.PRE</w:t>
            </w:r>
          </w:p>
        </w:tc>
        <w:tc>
          <w:tcPr>
            <w:tcW w:w="43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Inline XBRL Taxonomy Extension Presentation</w:t>
            </w:r>
          </w:p>
        </w:tc>
        <w:tc>
          <w:tcPr>
            <w:tcW w:w="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1540" w:type="dxa"/>
            <w:vAlign w:val="bottom"/>
          </w:tcPr>
          <w:p>
            <w:pPr>
              <w:spacing w:after="0"/>
              <w:rPr>
                <w:sz w:val="22"/>
                <w:szCs w:val="22"/>
                <w:color w:val="auto"/>
              </w:rPr>
            </w:pPr>
          </w:p>
        </w:tc>
        <w:tc>
          <w:tcPr>
            <w:tcW w:w="43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Linkbase Document</w:t>
            </w: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1680" w:right="5280" w:hanging="515"/>
        <w:spacing w:after="0" w:line="320" w:lineRule="auto"/>
        <w:tabs>
          <w:tab w:leader="none" w:pos="16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84" w:lineRule="exact"/>
        <w:rPr>
          <w:rFonts w:ascii="Times New Roman" w:cs="Times New Roman" w:eastAsia="Times New Roman" w:hAnsi="Times New Roman"/>
          <w:sz w:val="18"/>
          <w:szCs w:val="18"/>
          <w:color w:val="auto"/>
        </w:rPr>
      </w:pPr>
    </w:p>
    <w:p>
      <w:pPr>
        <w:ind w:left="360" w:hanging="353"/>
        <w:spacing w:after="0"/>
        <w:tabs>
          <w:tab w:leader="none" w:pos="3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Filed herewith.</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-202565</wp:posOffset>
                </wp:positionV>
                <wp:extent cx="671830" cy="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1830" cy="4763"/>
                        </a:xfrm>
                        <a:prstGeom prst="line">
                          <a:avLst/>
                        </a:prstGeom>
                        <a:solidFill>
                          <a:srgbClr val="FFFFFF"/>
                        </a:solidFill>
                        <a:ln w="8700">
                          <a:solidFill>
                            <a:srgbClr val="000000"/>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15.9499pt" to="53.25pt,-15.9499pt" o:allowincell="f" strokecolor="#000000" strokeweight="0.685pt"/>
            </w:pict>
          </mc:Fallback>
        </mc:AlternateContent>
      </w:r>
    </w:p>
    <w:p>
      <w:pPr>
        <w:ind w:left="360" w:hanging="353"/>
        <w:spacing w:after="0" w:line="235" w:lineRule="auto"/>
        <w:tabs>
          <w:tab w:leader="none" w:pos="3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Management contract, compensatory plan or arrangement.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Confidential Treatment has been granted for portions of this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1880" w:h="15480" w:orient="portrait"/>
          <w:cols w:equalWidth="0" w:num="1">
            <w:col w:w="10600"/>
          </w:cols>
          <w:pgMar w:left="640" w:top="683" w:right="640" w:bottom="0" w:gutter="0" w:footer="0" w:header="0"/>
        </w:sectPr>
      </w:pPr>
    </w:p>
    <w:bookmarkStart w:id="58" w:name="page59"/>
    <w:bookmarkEnd w:id="58"/>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1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Pursuant to the requirements of Section 13 or 15(d) the Securities and Exchange Act of 1934, the registrant has duly caused this Form 10-K to be signed on its behalf by the undersigned, thereunto duly authorized.</w:t>
      </w:r>
    </w:p>
    <w:p>
      <w:pPr>
        <w:spacing w:after="0" w:line="15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9"/>
          <w:szCs w:val="19"/>
          <w:b w:val="1"/>
          <w:bCs w:val="1"/>
          <w:color w:val="auto"/>
        </w:rPr>
        <w:t>APPLIED OPTOELECTRONICS, INC.</w:t>
      </w:r>
    </w:p>
    <w:p>
      <w:pPr>
        <w:spacing w:after="0" w:line="232" w:lineRule="exact"/>
        <w:rPr>
          <w:sz w:val="20"/>
          <w:szCs w:val="20"/>
          <w:color w:val="auto"/>
        </w:rPr>
      </w:pPr>
    </w:p>
    <w:p>
      <w:pPr>
        <w:ind w:left="5240"/>
        <w:spacing w:after="0"/>
        <w:tabs>
          <w:tab w:leader="none" w:pos="656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9"/>
          <w:szCs w:val="19"/>
          <w:color w:val="auto"/>
        </w:rPr>
        <w:t>/s/ CHIH-HSIANG (THOMPSON) LIN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3536950</wp:posOffset>
                </wp:positionH>
                <wp:positionV relativeFrom="paragraph">
                  <wp:posOffset>19050</wp:posOffset>
                </wp:positionV>
                <wp:extent cx="3192145"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92145" cy="4763"/>
                        </a:xfrm>
                        <a:prstGeom prst="line">
                          <a:avLst/>
                        </a:prstGeom>
                        <a:solidFill>
                          <a:srgbClr val="FFFFFF"/>
                        </a:solidFill>
                        <a:ln w="8962">
                          <a:solidFill>
                            <a:srgbClr val="000000"/>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8.5pt,1.5pt" to="529.85pt,1.5pt" o:allowincell="f" strokecolor="#000000" strokeweight="0.7057pt"/>
            </w:pict>
          </mc:Fallback>
        </mc:AlternateContent>
      </w:r>
    </w:p>
    <w:p>
      <w:pPr>
        <w:spacing w:after="0" w:line="10"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9"/>
          <w:szCs w:val="19"/>
          <w:color w:val="auto"/>
        </w:rPr>
        <w:t>CHIH-HSIANG (THOMPSON) LIN,</w:t>
      </w:r>
    </w:p>
    <w:p>
      <w:pPr>
        <w:spacing w:after="0" w:line="12" w:lineRule="exact"/>
        <w:rPr>
          <w:sz w:val="20"/>
          <w:szCs w:val="20"/>
          <w:color w:val="auto"/>
        </w:rPr>
      </w:pPr>
    </w:p>
    <w:p>
      <w:pPr>
        <w:jc w:val="center"/>
        <w:ind w:left="5580"/>
        <w:spacing w:after="0"/>
        <w:rPr>
          <w:sz w:val="20"/>
          <w:szCs w:val="20"/>
          <w:color w:val="auto"/>
        </w:rPr>
      </w:pPr>
      <w:r>
        <w:rPr>
          <w:rFonts w:ascii="Times New Roman" w:cs="Times New Roman" w:eastAsia="Times New Roman" w:hAnsi="Times New Roman"/>
          <w:sz w:val="19"/>
          <w:szCs w:val="19"/>
          <w:i w:val="1"/>
          <w:iCs w:val="1"/>
          <w:color w:val="auto"/>
        </w:rPr>
        <w:t>President and Chief Executive Officer and</w:t>
      </w:r>
    </w:p>
    <w:p>
      <w:pPr>
        <w:spacing w:after="0" w:line="5" w:lineRule="exact"/>
        <w:rPr>
          <w:sz w:val="20"/>
          <w:szCs w:val="20"/>
          <w:color w:val="auto"/>
        </w:rPr>
      </w:pPr>
    </w:p>
    <w:p>
      <w:pPr>
        <w:jc w:val="center"/>
        <w:ind w:left="5580"/>
        <w:spacing w:after="0"/>
        <w:rPr>
          <w:sz w:val="20"/>
          <w:szCs w:val="20"/>
          <w:color w:val="auto"/>
        </w:rPr>
      </w:pPr>
      <w:r>
        <w:rPr>
          <w:rFonts w:ascii="Times New Roman" w:cs="Times New Roman" w:eastAsia="Times New Roman" w:hAnsi="Times New Roman"/>
          <w:sz w:val="19"/>
          <w:szCs w:val="19"/>
          <w:i w:val="1"/>
          <w:iCs w:val="1"/>
          <w:color w:val="auto"/>
        </w:rPr>
        <w:t>Chairman of the Board of Directors</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February 26, 2026</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POWER OF ATTORNEY</w:t>
      </w:r>
    </w:p>
    <w:p>
      <w:pPr>
        <w:spacing w:after="0" w:line="21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KNOW ALL PERSONS BY THESE PRESENTS, that each person whose signature appears below constitutes and appoints Chih -Hsiang (Thompson) Lin and Stefan J. Murry, and each of them, jointly and severally, his attorneys-in-fact, each with the power of substitution, for him in any and all capacities, to sign any and all amendments to this Annual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17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Pursuant to the requirements of the Securities and Exchange Act of 1934, this Form 10-K has been signed by the following persons on behalf of the registrant and in the capacities and on the dates indicated.</w:t>
      </w:r>
    </w:p>
    <w:p>
      <w:pPr>
        <w:spacing w:after="0" w:line="156"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528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w w:val="95"/>
              </w:rPr>
              <w:t>Signature</w:t>
            </w:r>
          </w:p>
        </w:tc>
        <w:tc>
          <w:tcPr>
            <w:tcW w:w="3340" w:type="dxa"/>
            <w:vAlign w:val="bottom"/>
          </w:tcPr>
          <w:p>
            <w:pPr>
              <w:jc w:val="center"/>
              <w:ind w:left="1867"/>
              <w:spacing w:after="0"/>
              <w:rPr>
                <w:sz w:val="20"/>
                <w:szCs w:val="20"/>
                <w:color w:val="auto"/>
              </w:rPr>
            </w:pPr>
            <w:r>
              <w:rPr>
                <w:rFonts w:ascii="Times New Roman" w:cs="Times New Roman" w:eastAsia="Times New Roman" w:hAnsi="Times New Roman"/>
                <w:sz w:val="19"/>
                <w:szCs w:val="19"/>
                <w:b w:val="1"/>
                <w:bCs w:val="1"/>
                <w:color w:val="auto"/>
                <w:w w:val="99"/>
              </w:rPr>
              <w:t>Date</w:t>
            </w:r>
          </w:p>
        </w:tc>
        <w:tc>
          <w:tcPr>
            <w:tcW w:w="0" w:type="dxa"/>
            <w:vAlign w:val="bottom"/>
          </w:tcPr>
          <w:p>
            <w:pPr>
              <w:spacing w:after="0"/>
              <w:rPr>
                <w:sz w:val="1"/>
                <w:szCs w:val="1"/>
                <w:color w:val="auto"/>
              </w:rPr>
            </w:pPr>
          </w:p>
        </w:tc>
      </w:tr>
      <w:tr>
        <w:trPr>
          <w:trHeight w:val="436"/>
        </w:trPr>
        <w:tc>
          <w:tcPr>
            <w:tcW w:w="5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8"/>
              </w:rPr>
              <w:t>/s/ CHIH-HSIANG (THOMPSON) LIN</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280" w:type="dxa"/>
            <w:vAlign w:val="bottom"/>
          </w:tcPr>
          <w:p>
            <w:pPr>
              <w:jc w:val="center"/>
              <w:spacing w:after="0" w:line="202" w:lineRule="exact"/>
              <w:rPr>
                <w:sz w:val="20"/>
                <w:szCs w:val="20"/>
                <w:color w:val="auto"/>
              </w:rPr>
            </w:pPr>
            <w:r>
              <w:rPr>
                <w:rFonts w:ascii="Times New Roman" w:cs="Times New Roman" w:eastAsia="Times New Roman" w:hAnsi="Times New Roman"/>
                <w:sz w:val="19"/>
                <w:szCs w:val="19"/>
                <w:color w:val="auto"/>
                <w:w w:val="98"/>
              </w:rPr>
              <w:t>CHIH-HSIANG (THOMPSON) LIN,</w:t>
            </w:r>
          </w:p>
        </w:tc>
        <w:tc>
          <w:tcPr>
            <w:tcW w:w="3340" w:type="dxa"/>
            <w:vAlign w:val="bottom"/>
            <w:vMerge w:val="restart"/>
          </w:tcPr>
          <w:p>
            <w:pPr>
              <w:jc w:val="center"/>
              <w:ind w:left="1867"/>
              <w:spacing w:after="0"/>
              <w:rPr>
                <w:sz w:val="20"/>
                <w:szCs w:val="20"/>
                <w:color w:val="auto"/>
              </w:rPr>
            </w:pPr>
            <w:r>
              <w:rPr>
                <w:rFonts w:ascii="Times New Roman" w:cs="Times New Roman" w:eastAsia="Times New Roman" w:hAnsi="Times New Roman"/>
                <w:sz w:val="19"/>
                <w:szCs w:val="19"/>
                <w:color w:val="auto"/>
                <w:w w:val="98"/>
              </w:rPr>
              <w:t>February 26, 2026</w:t>
            </w:r>
          </w:p>
        </w:tc>
        <w:tc>
          <w:tcPr>
            <w:tcW w:w="0" w:type="dxa"/>
            <w:vAlign w:val="bottom"/>
          </w:tcPr>
          <w:p>
            <w:pPr>
              <w:spacing w:after="0"/>
              <w:rPr>
                <w:sz w:val="1"/>
                <w:szCs w:val="1"/>
                <w:color w:val="auto"/>
              </w:rPr>
            </w:pPr>
          </w:p>
        </w:tc>
      </w:tr>
      <w:tr>
        <w:trPr>
          <w:trHeight w:val="226"/>
        </w:trPr>
        <w:tc>
          <w:tcPr>
            <w:tcW w:w="5280" w:type="dxa"/>
            <w:vAlign w:val="bottom"/>
          </w:tcPr>
          <w:p>
            <w:pPr>
              <w:jc w:val="center"/>
              <w:spacing w:after="0"/>
              <w:rPr>
                <w:sz w:val="20"/>
                <w:szCs w:val="20"/>
                <w:color w:val="auto"/>
              </w:rPr>
            </w:pPr>
            <w:r>
              <w:rPr>
                <w:rFonts w:ascii="Times New Roman" w:cs="Times New Roman" w:eastAsia="Times New Roman" w:hAnsi="Times New Roman"/>
                <w:sz w:val="19"/>
                <w:szCs w:val="19"/>
                <w:i w:val="1"/>
                <w:iCs w:val="1"/>
                <w:color w:val="auto"/>
                <w:w w:val="97"/>
              </w:rPr>
              <w:t>President, Chief Executive Officer and</w:t>
            </w:r>
          </w:p>
        </w:tc>
        <w:tc>
          <w:tcPr>
            <w:tcW w:w="3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280" w:type="dxa"/>
            <w:vAlign w:val="bottom"/>
          </w:tcPr>
          <w:p>
            <w:pPr>
              <w:jc w:val="center"/>
              <w:spacing w:after="0"/>
              <w:rPr>
                <w:sz w:val="20"/>
                <w:szCs w:val="20"/>
                <w:color w:val="auto"/>
              </w:rPr>
            </w:pPr>
            <w:r>
              <w:rPr>
                <w:rFonts w:ascii="Times New Roman" w:cs="Times New Roman" w:eastAsia="Times New Roman" w:hAnsi="Times New Roman"/>
                <w:sz w:val="19"/>
                <w:szCs w:val="19"/>
                <w:i w:val="1"/>
                <w:iCs w:val="1"/>
                <w:color w:val="auto"/>
                <w:w w:val="97"/>
              </w:rPr>
              <w:t>Chairman of the Board of Directors</w:t>
            </w:r>
          </w:p>
        </w:tc>
        <w:tc>
          <w:tcPr>
            <w:tcW w:w="3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280" w:type="dxa"/>
            <w:vAlign w:val="bottom"/>
          </w:tcPr>
          <w:p>
            <w:pPr>
              <w:jc w:val="center"/>
              <w:spacing w:after="0"/>
              <w:rPr>
                <w:sz w:val="20"/>
                <w:szCs w:val="20"/>
                <w:color w:val="auto"/>
              </w:rPr>
            </w:pPr>
            <w:r>
              <w:rPr>
                <w:rFonts w:ascii="Times New Roman" w:cs="Times New Roman" w:eastAsia="Times New Roman" w:hAnsi="Times New Roman"/>
                <w:sz w:val="19"/>
                <w:szCs w:val="19"/>
                <w:i w:val="1"/>
                <w:iCs w:val="1"/>
                <w:color w:val="auto"/>
                <w:w w:val="98"/>
              </w:rPr>
              <w:t>(principal executive officer)</w:t>
            </w:r>
          </w:p>
        </w:tc>
        <w:tc>
          <w:tcPr>
            <w:tcW w:w="3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0"/>
        </w:trPr>
        <w:tc>
          <w:tcPr>
            <w:tcW w:w="5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7"/>
              </w:rPr>
              <w:t>/s/ STEFAN J. MURRY</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280" w:type="dxa"/>
            <w:vAlign w:val="bottom"/>
          </w:tcPr>
          <w:p>
            <w:pPr>
              <w:jc w:val="center"/>
              <w:spacing w:after="0" w:line="202" w:lineRule="exact"/>
              <w:rPr>
                <w:sz w:val="20"/>
                <w:szCs w:val="20"/>
                <w:color w:val="auto"/>
              </w:rPr>
            </w:pPr>
            <w:r>
              <w:rPr>
                <w:rFonts w:ascii="Times New Roman" w:cs="Times New Roman" w:eastAsia="Times New Roman" w:hAnsi="Times New Roman"/>
                <w:sz w:val="19"/>
                <w:szCs w:val="19"/>
                <w:color w:val="auto"/>
                <w:w w:val="97"/>
              </w:rPr>
              <w:t>STEFAN J. MURRY,</w:t>
            </w:r>
          </w:p>
        </w:tc>
        <w:tc>
          <w:tcPr>
            <w:tcW w:w="3340" w:type="dxa"/>
            <w:vAlign w:val="bottom"/>
            <w:vMerge w:val="restart"/>
          </w:tcPr>
          <w:p>
            <w:pPr>
              <w:jc w:val="center"/>
              <w:ind w:left="1867"/>
              <w:spacing w:after="0"/>
              <w:rPr>
                <w:sz w:val="20"/>
                <w:szCs w:val="20"/>
                <w:color w:val="auto"/>
              </w:rPr>
            </w:pPr>
            <w:r>
              <w:rPr>
                <w:rFonts w:ascii="Times New Roman" w:cs="Times New Roman" w:eastAsia="Times New Roman" w:hAnsi="Times New Roman"/>
                <w:sz w:val="19"/>
                <w:szCs w:val="19"/>
                <w:color w:val="auto"/>
                <w:w w:val="98"/>
              </w:rPr>
              <w:t>February 26, 2026</w:t>
            </w:r>
          </w:p>
        </w:tc>
        <w:tc>
          <w:tcPr>
            <w:tcW w:w="0" w:type="dxa"/>
            <w:vAlign w:val="bottom"/>
          </w:tcPr>
          <w:p>
            <w:pPr>
              <w:spacing w:after="0"/>
              <w:rPr>
                <w:sz w:val="1"/>
                <w:szCs w:val="1"/>
                <w:color w:val="auto"/>
              </w:rPr>
            </w:pPr>
          </w:p>
        </w:tc>
      </w:tr>
      <w:tr>
        <w:trPr>
          <w:trHeight w:val="223"/>
        </w:trPr>
        <w:tc>
          <w:tcPr>
            <w:tcW w:w="5280" w:type="dxa"/>
            <w:vAlign w:val="bottom"/>
          </w:tcPr>
          <w:p>
            <w:pPr>
              <w:jc w:val="center"/>
              <w:spacing w:after="0"/>
              <w:rPr>
                <w:sz w:val="20"/>
                <w:szCs w:val="20"/>
                <w:color w:val="auto"/>
              </w:rPr>
            </w:pPr>
            <w:r>
              <w:rPr>
                <w:rFonts w:ascii="Times New Roman" w:cs="Times New Roman" w:eastAsia="Times New Roman" w:hAnsi="Times New Roman"/>
                <w:sz w:val="19"/>
                <w:szCs w:val="19"/>
                <w:i w:val="1"/>
                <w:iCs w:val="1"/>
                <w:color w:val="auto"/>
                <w:w w:val="98"/>
              </w:rPr>
              <w:t>Chief Financial Officer</w:t>
            </w:r>
          </w:p>
        </w:tc>
        <w:tc>
          <w:tcPr>
            <w:tcW w:w="3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80" w:type="dxa"/>
            <w:vAlign w:val="bottom"/>
          </w:tcPr>
          <w:p>
            <w:pPr>
              <w:jc w:val="center"/>
              <w:spacing w:after="0"/>
              <w:rPr>
                <w:sz w:val="20"/>
                <w:szCs w:val="20"/>
                <w:color w:val="auto"/>
              </w:rPr>
            </w:pPr>
            <w:r>
              <w:rPr>
                <w:rFonts w:ascii="Times New Roman" w:cs="Times New Roman" w:eastAsia="Times New Roman" w:hAnsi="Times New Roman"/>
                <w:sz w:val="19"/>
                <w:szCs w:val="19"/>
                <w:i w:val="1"/>
                <w:iCs w:val="1"/>
                <w:color w:val="auto"/>
                <w:w w:val="98"/>
              </w:rPr>
              <w:t>(principal financial officer and</w:t>
            </w:r>
          </w:p>
        </w:tc>
        <w:tc>
          <w:tcPr>
            <w:tcW w:w="3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5280" w:type="dxa"/>
            <w:vAlign w:val="bottom"/>
          </w:tcPr>
          <w:p>
            <w:pPr>
              <w:jc w:val="center"/>
              <w:spacing w:after="0"/>
              <w:rPr>
                <w:sz w:val="20"/>
                <w:szCs w:val="20"/>
                <w:color w:val="auto"/>
              </w:rPr>
            </w:pPr>
            <w:r>
              <w:rPr>
                <w:rFonts w:ascii="Times New Roman" w:cs="Times New Roman" w:eastAsia="Times New Roman" w:hAnsi="Times New Roman"/>
                <w:sz w:val="19"/>
                <w:szCs w:val="19"/>
                <w:i w:val="1"/>
                <w:iCs w:val="1"/>
                <w:color w:val="auto"/>
                <w:w w:val="98"/>
              </w:rPr>
              <w:t>principal accounting officer)</w:t>
            </w:r>
          </w:p>
        </w:tc>
        <w:tc>
          <w:tcPr>
            <w:tcW w:w="3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1"/>
        </w:trPr>
        <w:tc>
          <w:tcPr>
            <w:tcW w:w="528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w w:val="95"/>
              </w:rPr>
              <w:t>Signature</w:t>
            </w:r>
          </w:p>
        </w:tc>
        <w:tc>
          <w:tcPr>
            <w:tcW w:w="3340" w:type="dxa"/>
            <w:vAlign w:val="bottom"/>
          </w:tcPr>
          <w:p>
            <w:pPr>
              <w:jc w:val="center"/>
              <w:ind w:left="1867"/>
              <w:spacing w:after="0"/>
              <w:rPr>
                <w:sz w:val="20"/>
                <w:szCs w:val="20"/>
                <w:color w:val="auto"/>
              </w:rPr>
            </w:pPr>
            <w:r>
              <w:rPr>
                <w:rFonts w:ascii="Times New Roman" w:cs="Times New Roman" w:eastAsia="Times New Roman" w:hAnsi="Times New Roman"/>
                <w:sz w:val="19"/>
                <w:szCs w:val="19"/>
                <w:b w:val="1"/>
                <w:bCs w:val="1"/>
                <w:color w:val="auto"/>
                <w:w w:val="99"/>
              </w:rPr>
              <w:t>Date</w:t>
            </w:r>
          </w:p>
        </w:tc>
        <w:tc>
          <w:tcPr>
            <w:tcW w:w="0" w:type="dxa"/>
            <w:vAlign w:val="bottom"/>
          </w:tcPr>
          <w:p>
            <w:pPr>
              <w:spacing w:after="0"/>
              <w:rPr>
                <w:sz w:val="1"/>
                <w:szCs w:val="1"/>
                <w:color w:val="auto"/>
              </w:rPr>
            </w:pPr>
          </w:p>
        </w:tc>
      </w:tr>
      <w:tr>
        <w:trPr>
          <w:trHeight w:val="436"/>
        </w:trPr>
        <w:tc>
          <w:tcPr>
            <w:tcW w:w="5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8"/>
              </w:rPr>
              <w:t>/s/ WILLIAM H. YEH</w:t>
            </w:r>
          </w:p>
        </w:tc>
        <w:tc>
          <w:tcPr>
            <w:tcW w:w="3340" w:type="dxa"/>
            <w:vAlign w:val="bottom"/>
            <w:vMerge w:val="restart"/>
          </w:tcPr>
          <w:p>
            <w:pPr>
              <w:jc w:val="center"/>
              <w:ind w:left="1867"/>
              <w:spacing w:after="0"/>
              <w:rPr>
                <w:sz w:val="20"/>
                <w:szCs w:val="20"/>
                <w:color w:val="auto"/>
              </w:rPr>
            </w:pPr>
            <w:r>
              <w:rPr>
                <w:rFonts w:ascii="Times New Roman" w:cs="Times New Roman" w:eastAsia="Times New Roman" w:hAnsi="Times New Roman"/>
                <w:sz w:val="19"/>
                <w:szCs w:val="19"/>
                <w:color w:val="auto"/>
                <w:w w:val="98"/>
              </w:rPr>
              <w:t>February 26, 2026</w:t>
            </w:r>
          </w:p>
        </w:tc>
        <w:tc>
          <w:tcPr>
            <w:tcW w:w="0" w:type="dxa"/>
            <w:vAlign w:val="bottom"/>
          </w:tcPr>
          <w:p>
            <w:pPr>
              <w:spacing w:after="0"/>
              <w:rPr>
                <w:sz w:val="1"/>
                <w:szCs w:val="1"/>
                <w:color w:val="auto"/>
              </w:rPr>
            </w:pPr>
          </w:p>
        </w:tc>
      </w:tr>
      <w:tr>
        <w:trPr>
          <w:trHeight w:val="202"/>
        </w:trPr>
        <w:tc>
          <w:tcPr>
            <w:tcW w:w="5280" w:type="dxa"/>
            <w:vAlign w:val="bottom"/>
          </w:tcPr>
          <w:p>
            <w:pPr>
              <w:jc w:val="center"/>
              <w:spacing w:after="0" w:line="202" w:lineRule="exact"/>
              <w:rPr>
                <w:sz w:val="20"/>
                <w:szCs w:val="20"/>
                <w:color w:val="auto"/>
              </w:rPr>
            </w:pPr>
            <w:r>
              <w:rPr>
                <w:rFonts w:ascii="Times New Roman" w:cs="Times New Roman" w:eastAsia="Times New Roman" w:hAnsi="Times New Roman"/>
                <w:sz w:val="19"/>
                <w:szCs w:val="19"/>
                <w:color w:val="auto"/>
                <w:w w:val="97"/>
              </w:rPr>
              <w:t>WILLIAM H. YEH,</w:t>
            </w:r>
          </w:p>
        </w:tc>
        <w:tc>
          <w:tcPr>
            <w:tcW w:w="3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5280" w:type="dxa"/>
            <w:vAlign w:val="bottom"/>
          </w:tcPr>
          <w:p>
            <w:pPr>
              <w:jc w:val="center"/>
              <w:spacing w:after="0"/>
              <w:rPr>
                <w:sz w:val="20"/>
                <w:szCs w:val="20"/>
                <w:color w:val="auto"/>
              </w:rPr>
            </w:pPr>
            <w:r>
              <w:rPr>
                <w:rFonts w:ascii="Times New Roman" w:cs="Times New Roman" w:eastAsia="Times New Roman" w:hAnsi="Times New Roman"/>
                <w:sz w:val="19"/>
                <w:szCs w:val="19"/>
                <w:i w:val="1"/>
                <w:iCs w:val="1"/>
                <w:color w:val="auto"/>
                <w:w w:val="97"/>
              </w:rPr>
              <w:t>Director</w:t>
            </w:r>
          </w:p>
        </w:tc>
        <w:tc>
          <w:tcPr>
            <w:tcW w:w="3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0"/>
        </w:trPr>
        <w:tc>
          <w:tcPr>
            <w:tcW w:w="5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8"/>
              </w:rPr>
              <w:t>/s/ RICHARD B. BLACK</w:t>
            </w:r>
          </w:p>
        </w:tc>
        <w:tc>
          <w:tcPr>
            <w:tcW w:w="3340" w:type="dxa"/>
            <w:vAlign w:val="bottom"/>
            <w:vMerge w:val="restart"/>
          </w:tcPr>
          <w:p>
            <w:pPr>
              <w:jc w:val="center"/>
              <w:ind w:left="1867"/>
              <w:spacing w:after="0"/>
              <w:rPr>
                <w:sz w:val="20"/>
                <w:szCs w:val="20"/>
                <w:color w:val="auto"/>
              </w:rPr>
            </w:pPr>
            <w:r>
              <w:rPr>
                <w:rFonts w:ascii="Times New Roman" w:cs="Times New Roman" w:eastAsia="Times New Roman" w:hAnsi="Times New Roman"/>
                <w:sz w:val="19"/>
                <w:szCs w:val="19"/>
                <w:color w:val="auto"/>
                <w:w w:val="98"/>
              </w:rPr>
              <w:t>February 26, 2026</w:t>
            </w:r>
          </w:p>
        </w:tc>
        <w:tc>
          <w:tcPr>
            <w:tcW w:w="0" w:type="dxa"/>
            <w:vAlign w:val="bottom"/>
          </w:tcPr>
          <w:p>
            <w:pPr>
              <w:spacing w:after="0"/>
              <w:rPr>
                <w:sz w:val="1"/>
                <w:szCs w:val="1"/>
                <w:color w:val="auto"/>
              </w:rPr>
            </w:pPr>
          </w:p>
        </w:tc>
      </w:tr>
      <w:tr>
        <w:trPr>
          <w:trHeight w:val="204"/>
        </w:trPr>
        <w:tc>
          <w:tcPr>
            <w:tcW w:w="5280" w:type="dxa"/>
            <w:vAlign w:val="bottom"/>
          </w:tcPr>
          <w:p>
            <w:pPr>
              <w:jc w:val="center"/>
              <w:spacing w:after="0" w:line="204" w:lineRule="exact"/>
              <w:rPr>
                <w:sz w:val="20"/>
                <w:szCs w:val="20"/>
                <w:color w:val="auto"/>
              </w:rPr>
            </w:pPr>
            <w:r>
              <w:rPr>
                <w:rFonts w:ascii="Times New Roman" w:cs="Times New Roman" w:eastAsia="Times New Roman" w:hAnsi="Times New Roman"/>
                <w:sz w:val="19"/>
                <w:szCs w:val="19"/>
                <w:color w:val="auto"/>
                <w:w w:val="98"/>
              </w:rPr>
              <w:t>RICHARD B. BLACK,</w:t>
            </w:r>
          </w:p>
        </w:tc>
        <w:tc>
          <w:tcPr>
            <w:tcW w:w="3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280" w:type="dxa"/>
            <w:vAlign w:val="bottom"/>
          </w:tcPr>
          <w:p>
            <w:pPr>
              <w:jc w:val="center"/>
              <w:spacing w:after="0"/>
              <w:rPr>
                <w:sz w:val="20"/>
                <w:szCs w:val="20"/>
                <w:color w:val="auto"/>
              </w:rPr>
            </w:pPr>
            <w:r>
              <w:rPr>
                <w:rFonts w:ascii="Times New Roman" w:cs="Times New Roman" w:eastAsia="Times New Roman" w:hAnsi="Times New Roman"/>
                <w:sz w:val="19"/>
                <w:szCs w:val="19"/>
                <w:i w:val="1"/>
                <w:iCs w:val="1"/>
                <w:color w:val="auto"/>
                <w:w w:val="97"/>
              </w:rPr>
              <w:t>Director</w:t>
            </w:r>
          </w:p>
        </w:tc>
        <w:tc>
          <w:tcPr>
            <w:tcW w:w="3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0"/>
        </w:trPr>
        <w:tc>
          <w:tcPr>
            <w:tcW w:w="5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7"/>
              </w:rPr>
              <w:t>/s/ CHE-WEI LIN</w:t>
            </w:r>
          </w:p>
        </w:tc>
        <w:tc>
          <w:tcPr>
            <w:tcW w:w="3340" w:type="dxa"/>
            <w:vAlign w:val="bottom"/>
            <w:vMerge w:val="restart"/>
          </w:tcPr>
          <w:p>
            <w:pPr>
              <w:jc w:val="center"/>
              <w:ind w:left="1867"/>
              <w:spacing w:after="0"/>
              <w:rPr>
                <w:sz w:val="20"/>
                <w:szCs w:val="20"/>
                <w:color w:val="auto"/>
              </w:rPr>
            </w:pPr>
            <w:r>
              <w:rPr>
                <w:rFonts w:ascii="Times New Roman" w:cs="Times New Roman" w:eastAsia="Times New Roman" w:hAnsi="Times New Roman"/>
                <w:sz w:val="19"/>
                <w:szCs w:val="19"/>
                <w:color w:val="auto"/>
                <w:w w:val="98"/>
              </w:rPr>
              <w:t>February 26, 2026</w:t>
            </w:r>
          </w:p>
        </w:tc>
        <w:tc>
          <w:tcPr>
            <w:tcW w:w="0" w:type="dxa"/>
            <w:vAlign w:val="bottom"/>
          </w:tcPr>
          <w:p>
            <w:pPr>
              <w:spacing w:after="0"/>
              <w:rPr>
                <w:sz w:val="1"/>
                <w:szCs w:val="1"/>
                <w:color w:val="auto"/>
              </w:rPr>
            </w:pPr>
          </w:p>
        </w:tc>
      </w:tr>
      <w:tr>
        <w:trPr>
          <w:trHeight w:val="204"/>
        </w:trPr>
        <w:tc>
          <w:tcPr>
            <w:tcW w:w="5280" w:type="dxa"/>
            <w:vAlign w:val="bottom"/>
          </w:tcPr>
          <w:p>
            <w:pPr>
              <w:jc w:val="center"/>
              <w:spacing w:after="0" w:line="204" w:lineRule="exact"/>
              <w:rPr>
                <w:sz w:val="20"/>
                <w:szCs w:val="20"/>
                <w:color w:val="auto"/>
              </w:rPr>
            </w:pPr>
            <w:r>
              <w:rPr>
                <w:rFonts w:ascii="Times New Roman" w:cs="Times New Roman" w:eastAsia="Times New Roman" w:hAnsi="Times New Roman"/>
                <w:sz w:val="19"/>
                <w:szCs w:val="19"/>
                <w:color w:val="auto"/>
                <w:w w:val="98"/>
              </w:rPr>
              <w:t>CHE-WEI LIN,</w:t>
            </w:r>
          </w:p>
        </w:tc>
        <w:tc>
          <w:tcPr>
            <w:tcW w:w="3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5280" w:type="dxa"/>
            <w:vAlign w:val="bottom"/>
          </w:tcPr>
          <w:p>
            <w:pPr>
              <w:jc w:val="center"/>
              <w:spacing w:after="0"/>
              <w:rPr>
                <w:sz w:val="20"/>
                <w:szCs w:val="20"/>
                <w:color w:val="auto"/>
              </w:rPr>
            </w:pPr>
            <w:r>
              <w:rPr>
                <w:rFonts w:ascii="Times New Roman" w:cs="Times New Roman" w:eastAsia="Times New Roman" w:hAnsi="Times New Roman"/>
                <w:sz w:val="19"/>
                <w:szCs w:val="19"/>
                <w:i w:val="1"/>
                <w:iCs w:val="1"/>
                <w:color w:val="auto"/>
                <w:w w:val="97"/>
              </w:rPr>
              <w:t>Director</w:t>
            </w:r>
          </w:p>
        </w:tc>
        <w:tc>
          <w:tcPr>
            <w:tcW w:w="3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8"/>
        </w:trPr>
        <w:tc>
          <w:tcPr>
            <w:tcW w:w="5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7"/>
              </w:rPr>
              <w:t>/s/ CYNTHIA (CINDY) DELANEY</w:t>
            </w:r>
          </w:p>
        </w:tc>
        <w:tc>
          <w:tcPr>
            <w:tcW w:w="3340" w:type="dxa"/>
            <w:vAlign w:val="bottom"/>
            <w:vMerge w:val="restart"/>
          </w:tcPr>
          <w:p>
            <w:pPr>
              <w:jc w:val="center"/>
              <w:ind w:left="1867"/>
              <w:spacing w:after="0"/>
              <w:rPr>
                <w:sz w:val="20"/>
                <w:szCs w:val="20"/>
                <w:color w:val="auto"/>
              </w:rPr>
            </w:pPr>
            <w:r>
              <w:rPr>
                <w:rFonts w:ascii="Times New Roman" w:cs="Times New Roman" w:eastAsia="Times New Roman" w:hAnsi="Times New Roman"/>
                <w:sz w:val="19"/>
                <w:szCs w:val="19"/>
                <w:color w:val="auto"/>
                <w:w w:val="98"/>
              </w:rPr>
              <w:t>February 26, 2026</w:t>
            </w:r>
          </w:p>
        </w:tc>
        <w:tc>
          <w:tcPr>
            <w:tcW w:w="0" w:type="dxa"/>
            <w:vAlign w:val="bottom"/>
          </w:tcPr>
          <w:p>
            <w:pPr>
              <w:spacing w:after="0"/>
              <w:rPr>
                <w:sz w:val="1"/>
                <w:szCs w:val="1"/>
                <w:color w:val="auto"/>
              </w:rPr>
            </w:pPr>
          </w:p>
        </w:tc>
      </w:tr>
      <w:tr>
        <w:trPr>
          <w:trHeight w:val="204"/>
        </w:trPr>
        <w:tc>
          <w:tcPr>
            <w:tcW w:w="5280" w:type="dxa"/>
            <w:vAlign w:val="bottom"/>
          </w:tcPr>
          <w:p>
            <w:pPr>
              <w:jc w:val="center"/>
              <w:spacing w:after="0" w:line="204" w:lineRule="exact"/>
              <w:rPr>
                <w:sz w:val="20"/>
                <w:szCs w:val="20"/>
                <w:color w:val="auto"/>
              </w:rPr>
            </w:pPr>
            <w:r>
              <w:rPr>
                <w:rFonts w:ascii="Times New Roman" w:cs="Times New Roman" w:eastAsia="Times New Roman" w:hAnsi="Times New Roman"/>
                <w:sz w:val="19"/>
                <w:szCs w:val="19"/>
                <w:color w:val="auto"/>
                <w:w w:val="97"/>
              </w:rPr>
              <w:t>CYNTHIA (CINDY) DELANEY,</w:t>
            </w:r>
          </w:p>
        </w:tc>
        <w:tc>
          <w:tcPr>
            <w:tcW w:w="3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5280" w:type="dxa"/>
            <w:vAlign w:val="bottom"/>
          </w:tcPr>
          <w:p>
            <w:pPr>
              <w:jc w:val="center"/>
              <w:spacing w:after="0"/>
              <w:rPr>
                <w:sz w:val="20"/>
                <w:szCs w:val="20"/>
                <w:color w:val="auto"/>
              </w:rPr>
            </w:pPr>
            <w:r>
              <w:rPr>
                <w:rFonts w:ascii="Times New Roman" w:cs="Times New Roman" w:eastAsia="Times New Roman" w:hAnsi="Times New Roman"/>
                <w:sz w:val="19"/>
                <w:szCs w:val="19"/>
                <w:i w:val="1"/>
                <w:iCs w:val="1"/>
                <w:color w:val="auto"/>
                <w:w w:val="97"/>
              </w:rPr>
              <w:t>Director</w:t>
            </w:r>
          </w:p>
        </w:tc>
        <w:tc>
          <w:tcPr>
            <w:tcW w:w="3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0"/>
        </w:trPr>
        <w:tc>
          <w:tcPr>
            <w:tcW w:w="5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7"/>
              </w:rPr>
              <w:t>/s/ ELIZABETH LOBOA</w:t>
            </w:r>
          </w:p>
        </w:tc>
        <w:tc>
          <w:tcPr>
            <w:tcW w:w="3340" w:type="dxa"/>
            <w:vAlign w:val="bottom"/>
            <w:vMerge w:val="restart"/>
          </w:tcPr>
          <w:p>
            <w:pPr>
              <w:jc w:val="center"/>
              <w:ind w:left="1867"/>
              <w:spacing w:after="0"/>
              <w:rPr>
                <w:sz w:val="20"/>
                <w:szCs w:val="20"/>
                <w:color w:val="auto"/>
              </w:rPr>
            </w:pPr>
            <w:r>
              <w:rPr>
                <w:rFonts w:ascii="Times New Roman" w:cs="Times New Roman" w:eastAsia="Times New Roman" w:hAnsi="Times New Roman"/>
                <w:sz w:val="19"/>
                <w:szCs w:val="19"/>
                <w:color w:val="auto"/>
                <w:w w:val="98"/>
              </w:rPr>
              <w:t>February 26, 2026</w:t>
            </w:r>
          </w:p>
        </w:tc>
        <w:tc>
          <w:tcPr>
            <w:tcW w:w="0" w:type="dxa"/>
            <w:vAlign w:val="bottom"/>
          </w:tcPr>
          <w:p>
            <w:pPr>
              <w:spacing w:after="0"/>
              <w:rPr>
                <w:sz w:val="1"/>
                <w:szCs w:val="1"/>
                <w:color w:val="auto"/>
              </w:rPr>
            </w:pPr>
          </w:p>
        </w:tc>
      </w:tr>
      <w:tr>
        <w:trPr>
          <w:trHeight w:val="202"/>
        </w:trPr>
        <w:tc>
          <w:tcPr>
            <w:tcW w:w="5280" w:type="dxa"/>
            <w:vAlign w:val="bottom"/>
          </w:tcPr>
          <w:p>
            <w:pPr>
              <w:jc w:val="center"/>
              <w:spacing w:after="0" w:line="202" w:lineRule="exact"/>
              <w:rPr>
                <w:sz w:val="20"/>
                <w:szCs w:val="20"/>
                <w:color w:val="auto"/>
              </w:rPr>
            </w:pPr>
            <w:r>
              <w:rPr>
                <w:rFonts w:ascii="Times New Roman" w:cs="Times New Roman" w:eastAsia="Times New Roman" w:hAnsi="Times New Roman"/>
                <w:sz w:val="19"/>
                <w:szCs w:val="19"/>
                <w:color w:val="auto"/>
                <w:w w:val="98"/>
              </w:rPr>
              <w:t>ELIZABETH LOBOA,</w:t>
            </w:r>
          </w:p>
        </w:tc>
        <w:tc>
          <w:tcPr>
            <w:tcW w:w="3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5280" w:type="dxa"/>
            <w:vAlign w:val="bottom"/>
          </w:tcPr>
          <w:p>
            <w:pPr>
              <w:jc w:val="center"/>
              <w:spacing w:after="0"/>
              <w:rPr>
                <w:sz w:val="20"/>
                <w:szCs w:val="20"/>
                <w:color w:val="auto"/>
              </w:rPr>
            </w:pPr>
            <w:r>
              <w:rPr>
                <w:rFonts w:ascii="Times New Roman" w:cs="Times New Roman" w:eastAsia="Times New Roman" w:hAnsi="Times New Roman"/>
                <w:sz w:val="19"/>
                <w:szCs w:val="19"/>
                <w:i w:val="1"/>
                <w:iCs w:val="1"/>
                <w:color w:val="auto"/>
                <w:w w:val="97"/>
              </w:rPr>
              <w:t>Director</w:t>
            </w:r>
          </w:p>
        </w:tc>
        <w:tc>
          <w:tcPr>
            <w:tcW w:w="3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0"/>
        </w:trPr>
        <w:tc>
          <w:tcPr>
            <w:tcW w:w="5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8"/>
              </w:rPr>
              <w:t>/s/ MIN-CHU (MIKE) CHEN</w:t>
            </w:r>
          </w:p>
        </w:tc>
        <w:tc>
          <w:tcPr>
            <w:tcW w:w="3340" w:type="dxa"/>
            <w:vAlign w:val="bottom"/>
            <w:vMerge w:val="restart"/>
          </w:tcPr>
          <w:p>
            <w:pPr>
              <w:jc w:val="center"/>
              <w:ind w:left="1867"/>
              <w:spacing w:after="0"/>
              <w:rPr>
                <w:sz w:val="20"/>
                <w:szCs w:val="20"/>
                <w:color w:val="auto"/>
              </w:rPr>
            </w:pPr>
            <w:r>
              <w:rPr>
                <w:rFonts w:ascii="Times New Roman" w:cs="Times New Roman" w:eastAsia="Times New Roman" w:hAnsi="Times New Roman"/>
                <w:sz w:val="19"/>
                <w:szCs w:val="19"/>
                <w:color w:val="auto"/>
                <w:w w:val="98"/>
              </w:rPr>
              <w:t>February 26, 2026</w:t>
            </w:r>
          </w:p>
        </w:tc>
        <w:tc>
          <w:tcPr>
            <w:tcW w:w="0" w:type="dxa"/>
            <w:vAlign w:val="bottom"/>
          </w:tcPr>
          <w:p>
            <w:pPr>
              <w:spacing w:after="0"/>
              <w:rPr>
                <w:sz w:val="1"/>
                <w:szCs w:val="1"/>
                <w:color w:val="auto"/>
              </w:rPr>
            </w:pPr>
          </w:p>
        </w:tc>
      </w:tr>
      <w:tr>
        <w:trPr>
          <w:trHeight w:val="202"/>
        </w:trPr>
        <w:tc>
          <w:tcPr>
            <w:tcW w:w="5280" w:type="dxa"/>
            <w:vAlign w:val="bottom"/>
          </w:tcPr>
          <w:p>
            <w:pPr>
              <w:jc w:val="center"/>
              <w:spacing w:after="0" w:line="202" w:lineRule="exact"/>
              <w:rPr>
                <w:sz w:val="20"/>
                <w:szCs w:val="20"/>
                <w:color w:val="auto"/>
              </w:rPr>
            </w:pPr>
            <w:r>
              <w:rPr>
                <w:rFonts w:ascii="Times New Roman" w:cs="Times New Roman" w:eastAsia="Times New Roman" w:hAnsi="Times New Roman"/>
                <w:sz w:val="19"/>
                <w:szCs w:val="19"/>
                <w:color w:val="auto"/>
                <w:w w:val="97"/>
              </w:rPr>
              <w:t>MIN-CHU (MIKE) CHEN,</w:t>
            </w:r>
          </w:p>
        </w:tc>
        <w:tc>
          <w:tcPr>
            <w:tcW w:w="3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5280" w:type="dxa"/>
            <w:vAlign w:val="bottom"/>
          </w:tcPr>
          <w:p>
            <w:pPr>
              <w:jc w:val="center"/>
              <w:spacing w:after="0"/>
              <w:rPr>
                <w:sz w:val="20"/>
                <w:szCs w:val="20"/>
                <w:color w:val="auto"/>
              </w:rPr>
            </w:pPr>
            <w:r>
              <w:rPr>
                <w:rFonts w:ascii="Times New Roman" w:cs="Times New Roman" w:eastAsia="Times New Roman" w:hAnsi="Times New Roman"/>
                <w:sz w:val="19"/>
                <w:szCs w:val="19"/>
                <w:i w:val="1"/>
                <w:iCs w:val="1"/>
                <w:color w:val="auto"/>
                <w:w w:val="97"/>
              </w:rPr>
              <w:t>Director</w:t>
            </w:r>
          </w:p>
        </w:tc>
        <w:tc>
          <w:tcPr>
            <w:tcW w:w="33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600"/>
          </w:cols>
          <w:pgMar w:left="640" w:top="407" w:right="640" w:bottom="0" w:gutter="0" w:footer="0" w:header="0"/>
        </w:sectPr>
      </w:pP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1880" w:h="15480" w:orient="portrait"/>
          <w:cols w:equalWidth="0" w:num="1">
            <w:col w:w="10600"/>
          </w:cols>
          <w:pgMar w:left="640" w:top="407" w:right="640" w:bottom="0" w:gutter="0" w:footer="0" w:header="0"/>
          <w:type w:val="continuous"/>
        </w:sectPr>
      </w:pPr>
    </w:p>
    <w:bookmarkStart w:id="59" w:name="page60"/>
    <w:bookmarkEnd w:id="59"/>
    <w:p>
      <w:pPr>
        <w:jc w:val="center"/>
        <w:spacing w:after="0"/>
        <w:rPr>
          <w:sz w:val="20"/>
          <w:szCs w:val="20"/>
          <w:color w:val="auto"/>
        </w:rPr>
      </w:pPr>
    </w:p>
    <w:p>
      <w:pPr>
        <w:sectPr>
          <w:pgSz w:w="11880" w:h="15480" w:orient="portrait"/>
          <w:cols w:equalWidth="1" w:num="1" w:space="0"/>
          <w:pgMar w:left="1440" w:top="1440" w:right="1440" w:bottom="875"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61"/>
        </w:trPr>
        <w:tc>
          <w:tcPr>
            <w:tcW w:w="10060" w:type="dxa"/>
            <w:vAlign w:val="bottom"/>
          </w:tcPr>
          <w:p>
            <w:pPr>
              <w:spacing w:after="0"/>
              <w:rPr>
                <w:sz w:val="20"/>
                <w:szCs w:val="20"/>
                <w:color w:val="auto"/>
              </w:rPr>
            </w:pPr>
            <w:r>
              <w:rPr>
                <w:rFonts w:ascii="Times New Roman" w:cs="Times New Roman" w:eastAsia="Times New Roman" w:hAnsi="Times New Roman"/>
                <w:sz w:val="20"/>
                <w:szCs w:val="20"/>
                <w:color w:val="auto"/>
              </w:rPr>
              <w:t>INDEX TO CONSOLIDATED FINANCIAL STATEMENTS</w:t>
            </w:r>
          </w:p>
        </w:tc>
        <w:tc>
          <w:tcPr>
            <w:tcW w:w="540" w:type="dxa"/>
            <w:vAlign w:val="bottom"/>
          </w:tcPr>
          <w:p>
            <w:pPr>
              <w:spacing w:after="0"/>
              <w:rPr>
                <w:sz w:val="22"/>
                <w:szCs w:val="22"/>
                <w:color w:val="auto"/>
              </w:rPr>
            </w:pPr>
          </w:p>
        </w:tc>
      </w:tr>
      <w:tr>
        <w:trPr>
          <w:trHeight w:val="448"/>
        </w:trPr>
        <w:tc>
          <w:tcPr>
            <w:tcW w:w="10060" w:type="dxa"/>
            <w:vAlign w:val="bottom"/>
          </w:tcPr>
          <w:p>
            <w:pPr>
              <w:spacing w:after="0"/>
              <w:rPr>
                <w:sz w:val="24"/>
                <w:szCs w:val="24"/>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Pages</w:t>
            </w:r>
          </w:p>
        </w:tc>
      </w:tr>
      <w:tr>
        <w:trPr>
          <w:trHeight w:val="471"/>
        </w:trPr>
        <w:tc>
          <w:tcPr>
            <w:tcW w:w="100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Report of Independent Registered Public Accounting Firm (PCAOB ID Number 248)</w:t>
            </w:r>
          </w:p>
        </w:tc>
        <w:tc>
          <w:tcPr>
            <w:tcW w:w="5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3"/>
              </w:rPr>
              <w:t>F-2</w:t>
            </w:r>
          </w:p>
        </w:tc>
      </w:tr>
      <w:tr>
        <w:trPr>
          <w:trHeight w:val="470"/>
        </w:trPr>
        <w:tc>
          <w:tcPr>
            <w:tcW w:w="100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Consolidated Balance Sheets</w:t>
            </w:r>
          </w:p>
        </w:tc>
        <w:tc>
          <w:tcPr>
            <w:tcW w:w="5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3"/>
              </w:rPr>
              <w:t>F-3</w:t>
            </w:r>
          </w:p>
        </w:tc>
      </w:tr>
      <w:tr>
        <w:trPr>
          <w:trHeight w:val="470"/>
        </w:trPr>
        <w:tc>
          <w:tcPr>
            <w:tcW w:w="100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Consolidated Statements of Operations</w:t>
            </w:r>
          </w:p>
        </w:tc>
        <w:tc>
          <w:tcPr>
            <w:tcW w:w="5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3"/>
              </w:rPr>
              <w:t>F-4</w:t>
            </w:r>
          </w:p>
        </w:tc>
      </w:tr>
      <w:tr>
        <w:trPr>
          <w:trHeight w:val="470"/>
        </w:trPr>
        <w:tc>
          <w:tcPr>
            <w:tcW w:w="100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Consolidated Statements of Comprehensive Loss</w:t>
            </w:r>
          </w:p>
        </w:tc>
        <w:tc>
          <w:tcPr>
            <w:tcW w:w="5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3"/>
              </w:rPr>
              <w:t>F-5</w:t>
            </w:r>
          </w:p>
        </w:tc>
      </w:tr>
      <w:tr>
        <w:trPr>
          <w:trHeight w:val="470"/>
        </w:trPr>
        <w:tc>
          <w:tcPr>
            <w:tcW w:w="100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Consolidated Statements of Stockholders’ Equity</w:t>
            </w:r>
          </w:p>
        </w:tc>
        <w:tc>
          <w:tcPr>
            <w:tcW w:w="5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3"/>
              </w:rPr>
              <w:t>F-6</w:t>
            </w:r>
          </w:p>
        </w:tc>
      </w:tr>
      <w:tr>
        <w:trPr>
          <w:trHeight w:val="470"/>
        </w:trPr>
        <w:tc>
          <w:tcPr>
            <w:tcW w:w="100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Consolidated Statements of Cash Flows</w:t>
            </w:r>
          </w:p>
        </w:tc>
        <w:tc>
          <w:tcPr>
            <w:tcW w:w="5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3"/>
              </w:rPr>
              <w:t>F-7</w:t>
            </w:r>
          </w:p>
        </w:tc>
      </w:tr>
      <w:tr>
        <w:trPr>
          <w:trHeight w:val="470"/>
        </w:trPr>
        <w:tc>
          <w:tcPr>
            <w:tcW w:w="100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Notes to Consolidated Financial Statements</w:t>
            </w:r>
          </w:p>
        </w:tc>
        <w:tc>
          <w:tcPr>
            <w:tcW w:w="5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3"/>
              </w:rPr>
              <w:t>F-8</w:t>
            </w:r>
          </w:p>
        </w:tc>
      </w:tr>
    </w:tbl>
    <w:p>
      <w:pPr>
        <w:spacing w:after="0" w:line="200" w:lineRule="exact"/>
        <w:rPr>
          <w:sz w:val="20"/>
          <w:szCs w:val="20"/>
          <w:color w:val="auto"/>
        </w:rPr>
      </w:pPr>
    </w:p>
    <w:p>
      <w:pPr>
        <w:sectPr>
          <w:pgSz w:w="11880" w:h="15480" w:orient="portrait"/>
          <w:cols w:equalWidth="0" w:num="1">
            <w:col w:w="10600"/>
          </w:cols>
          <w:pgMar w:left="640" w:top="410"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w:t>
      </w:r>
    </w:p>
    <w:p>
      <w:pPr>
        <w:sectPr>
          <w:pgSz w:w="11880" w:h="15480" w:orient="portrait"/>
          <w:cols w:equalWidth="0" w:num="1">
            <w:col w:w="10600"/>
          </w:cols>
          <w:pgMar w:left="640" w:top="410" w:right="640" w:bottom="0" w:gutter="0" w:footer="0" w:header="0"/>
          <w:type w:val="continuous"/>
        </w:sectPr>
      </w:pPr>
    </w:p>
    <w:bookmarkStart w:id="61" w:name="page62"/>
    <w:bookmarkEnd w:id="61"/>
    <w:p>
      <w:pPr>
        <w:ind w:left="176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Board of Directors and Stockholders</w:t>
      </w:r>
    </w:p>
    <w:p>
      <w:pPr>
        <w:ind w:left="20"/>
        <w:spacing w:after="0"/>
        <w:rPr>
          <w:sz w:val="20"/>
          <w:szCs w:val="20"/>
          <w:color w:val="auto"/>
        </w:rPr>
      </w:pPr>
      <w:r>
        <w:rPr>
          <w:rFonts w:ascii="Times New Roman" w:cs="Times New Roman" w:eastAsia="Times New Roman" w:hAnsi="Times New Roman"/>
          <w:sz w:val="20"/>
          <w:szCs w:val="20"/>
          <w:color w:val="auto"/>
        </w:rPr>
        <w:t>Applied Optoelectronics, Inc.</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223" w:lineRule="exact"/>
        <w:rPr>
          <w:sz w:val="20"/>
          <w:szCs w:val="20"/>
          <w:color w:val="auto"/>
        </w:rPr>
      </w:pPr>
    </w:p>
    <w:p>
      <w:pPr>
        <w:jc w:val="both"/>
        <w:ind w:left="20"/>
        <w:spacing w:after="0"/>
        <w:rPr>
          <w:sz w:val="20"/>
          <w:szCs w:val="20"/>
          <w:color w:val="auto"/>
        </w:rPr>
      </w:pPr>
      <w:r>
        <w:rPr>
          <w:rFonts w:ascii="Times New Roman" w:cs="Times New Roman" w:eastAsia="Times New Roman" w:hAnsi="Times New Roman"/>
          <w:sz w:val="20"/>
          <w:szCs w:val="20"/>
          <w:color w:val="auto"/>
        </w:rPr>
        <w:t>We have audited the accompanying consolidated balance sheets of Applied Optoelectronics, Inc. (a Delaware corporation) and subsidiaries (the "Company") as of December 31, 2025 and 2024, the related consolidated statements of operations, comprehensive loss, stockholders’ equity,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19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also have audited, in accordance with the standards of the Public Company Accounting Oversight Board (United States) ("PCAOB"), the Company’s internal control over financial reporting as of December 31, 2025, based on criteria established in the 2013 Internal Control—Integrated Framework issued by the Committee of Sponsoring Organizations of the Treadway Commission ("COSO"), and our report dated February 26, 2026, expressed an unqualified opinion.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25" w:lineRule="exact"/>
        <w:rPr>
          <w:sz w:val="20"/>
          <w:szCs w:val="20"/>
          <w:color w:val="auto"/>
        </w:rPr>
      </w:pPr>
    </w:p>
    <w:p>
      <w:pPr>
        <w:jc w:val="both"/>
        <w:ind w:left="20"/>
        <w:spacing w:after="0" w:line="245" w:lineRule="auto"/>
        <w:rPr>
          <w:sz w:val="20"/>
          <w:szCs w:val="20"/>
          <w:color w:val="auto"/>
        </w:rPr>
      </w:pPr>
      <w:r>
        <w:rPr>
          <w:rFonts w:ascii="Times New Roman" w:cs="Times New Roman" w:eastAsia="Times New Roman" w:hAnsi="Times New Roman"/>
          <w:sz w:val="20"/>
          <w:szCs w:val="20"/>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audit matters</w:t>
      </w:r>
    </w:p>
    <w:p>
      <w:pPr>
        <w:spacing w:after="0" w:line="223"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8"/>
          <w:szCs w:val="18"/>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 GRANT THORNTON LLP</w:t>
      </w:r>
    </w:p>
    <w:p>
      <w:pPr>
        <w:spacing w:after="0" w:line="2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We have served as the Company’s auditor since 2008.</w:t>
      </w:r>
    </w:p>
    <w:p>
      <w:pPr>
        <w:spacing w:after="0" w:line="2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Houston, Texas</w:t>
      </w:r>
    </w:p>
    <w:p>
      <w:pPr>
        <w:ind w:left="20"/>
        <w:spacing w:after="0"/>
        <w:rPr>
          <w:sz w:val="20"/>
          <w:szCs w:val="20"/>
          <w:color w:val="auto"/>
        </w:rPr>
      </w:pPr>
      <w:r>
        <w:rPr>
          <w:rFonts w:ascii="Times New Roman" w:cs="Times New Roman" w:eastAsia="Times New Roman" w:hAnsi="Times New Roman"/>
          <w:sz w:val="20"/>
          <w:szCs w:val="20"/>
          <w:color w:val="auto"/>
        </w:rPr>
        <w:t>February 26,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auto"/>
        </w:rPr>
        <w:t>F-2</w:t>
      </w:r>
    </w:p>
    <w:p>
      <w:pPr>
        <w:sectPr>
          <w:pgSz w:w="11880" w:h="15480" w:orient="portrait"/>
          <w:cols w:equalWidth="0" w:num="1">
            <w:col w:w="10440"/>
          </w:cols>
          <w:pgMar w:left="800" w:top="633" w:right="640" w:bottom="0" w:gutter="0" w:footer="0" w:header="0"/>
        </w:sectPr>
      </w:pPr>
    </w:p>
    <w:bookmarkStart w:id="62" w:name="page63"/>
    <w:bookmarkEnd w:id="62"/>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Applied Optoelectronics, Inc. and Subsidiaries</w:t>
      </w:r>
    </w:p>
    <w:p>
      <w:pPr>
        <w:jc w:val="center"/>
        <w:ind w:right="60"/>
        <w:spacing w:after="0" w:line="233" w:lineRule="auto"/>
        <w:rPr>
          <w:sz w:val="20"/>
          <w:szCs w:val="20"/>
          <w:color w:val="auto"/>
        </w:rPr>
      </w:pPr>
      <w:r>
        <w:rPr>
          <w:rFonts w:ascii="Times New Roman" w:cs="Times New Roman" w:eastAsia="Times New Roman" w:hAnsi="Times New Roman"/>
          <w:sz w:val="20"/>
          <w:szCs w:val="20"/>
          <w:b w:val="1"/>
          <w:bCs w:val="1"/>
          <w:color w:val="auto"/>
        </w:rPr>
        <w:t>CONSOLIDATED BALANCE SHEETS</w:t>
      </w: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(in thousands except the par value)</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490" w:type="dxa"/>
            <w:vAlign w:val="bottom"/>
          </w:tcPr>
          <w:p>
            <w:pPr>
              <w:spacing w:after="0"/>
              <w:rPr>
                <w:sz w:val="22"/>
                <w:szCs w:val="22"/>
                <w:color w:val="auto"/>
              </w:rPr>
            </w:pPr>
          </w:p>
        </w:tc>
        <w:tc>
          <w:tcPr>
            <w:tcW w:w="7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920" w:type="dxa"/>
            <w:vAlign w:val="bottom"/>
            <w:tcBorders>
              <w:bottom w:val="single" w:sz="8" w:color="auto"/>
            </w:tcBorders>
          </w:tcPr>
          <w:p>
            <w:pPr>
              <w:spacing w:after="0"/>
              <w:rPr>
                <w:sz w:val="22"/>
                <w:szCs w:val="22"/>
                <w:color w:val="auto"/>
              </w:rPr>
            </w:pPr>
          </w:p>
        </w:tc>
      </w:tr>
      <w:tr>
        <w:trPr>
          <w:trHeight w:val="265"/>
        </w:trPr>
        <w:tc>
          <w:tcPr>
            <w:tcW w:w="7490" w:type="dxa"/>
            <w:vAlign w:val="bottom"/>
            <w:tcBorders>
              <w:bottom w:val="single" w:sz="8" w:color="DBDBDB"/>
            </w:tcBorders>
          </w:tcPr>
          <w:p>
            <w:pPr>
              <w:spacing w:after="0"/>
              <w:rPr>
                <w:sz w:val="23"/>
                <w:szCs w:val="23"/>
                <w:color w:val="auto"/>
              </w:rPr>
            </w:pPr>
          </w:p>
        </w:tc>
        <w:tc>
          <w:tcPr>
            <w:tcW w:w="70" w:type="dxa"/>
            <w:vAlign w:val="bottom"/>
            <w:tcBorders>
              <w:bottom w:val="single" w:sz="8" w:color="DBDBDB"/>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20"/>
                <w:szCs w:val="20"/>
                <w:b w:val="1"/>
                <w:bCs w:val="1"/>
                <w:color w:val="auto"/>
              </w:rPr>
              <w:t>2025</w:t>
            </w:r>
          </w:p>
        </w:tc>
        <w:tc>
          <w:tcPr>
            <w:tcW w:w="200" w:type="dxa"/>
            <w:vAlign w:val="bottom"/>
            <w:tcBorders>
              <w:bottom w:val="single" w:sz="8" w:color="DBDBDB"/>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20"/>
                <w:szCs w:val="20"/>
                <w:b w:val="1"/>
                <w:bCs w:val="1"/>
                <w:color w:val="auto"/>
                <w:w w:val="99"/>
              </w:rPr>
              <w:t>2024</w:t>
            </w:r>
          </w:p>
        </w:tc>
      </w:tr>
      <w:tr>
        <w:trPr>
          <w:trHeight w:val="232"/>
        </w:trPr>
        <w:tc>
          <w:tcPr>
            <w:tcW w:w="7490" w:type="dxa"/>
            <w:vAlign w:val="bottom"/>
            <w:shd w:val="clear" w:color="auto" w:fill="DBDBDB"/>
          </w:tcPr>
          <w:p>
            <w:pPr>
              <w:ind w:left="20"/>
              <w:spacing w:after="0" w:line="227" w:lineRule="exact"/>
              <w:rPr>
                <w:sz w:val="20"/>
                <w:szCs w:val="20"/>
                <w:color w:val="auto"/>
              </w:rPr>
            </w:pPr>
            <w:r>
              <w:rPr>
                <w:rFonts w:ascii="Times New Roman" w:cs="Times New Roman" w:eastAsia="Times New Roman" w:hAnsi="Times New Roman"/>
                <w:sz w:val="20"/>
                <w:szCs w:val="20"/>
                <w:color w:val="auto"/>
              </w:rPr>
              <w:t>ASSETS</w:t>
            </w:r>
          </w:p>
        </w:tc>
        <w:tc>
          <w:tcPr>
            <w:tcW w:w="70" w:type="dxa"/>
            <w:vAlign w:val="bottom"/>
            <w:tcBorders>
              <w:right w:val="single" w:sz="8" w:color="DBDBDB"/>
            </w:tcBorders>
            <w:shd w:val="clear" w:color="auto" w:fill="DBDBDB"/>
          </w:tcPr>
          <w:p>
            <w:pPr>
              <w:spacing w:after="0"/>
              <w:rPr>
                <w:sz w:val="20"/>
                <w:szCs w:val="20"/>
                <w:color w:val="auto"/>
              </w:rPr>
            </w:pPr>
          </w:p>
        </w:tc>
        <w:tc>
          <w:tcPr>
            <w:tcW w:w="160" w:type="dxa"/>
            <w:vAlign w:val="bottom"/>
            <w:shd w:val="clear" w:color="auto" w:fill="DBDBDB"/>
          </w:tcPr>
          <w:p>
            <w:pPr>
              <w:spacing w:after="0"/>
              <w:rPr>
                <w:sz w:val="20"/>
                <w:szCs w:val="20"/>
                <w:color w:val="auto"/>
              </w:rPr>
            </w:pPr>
          </w:p>
        </w:tc>
        <w:tc>
          <w:tcPr>
            <w:tcW w:w="1300" w:type="dxa"/>
            <w:vAlign w:val="bottom"/>
            <w:tcBorders>
              <w:right w:val="single" w:sz="8" w:color="DBDBDB"/>
            </w:tcBorders>
            <w:shd w:val="clear" w:color="auto" w:fill="DBDBDB"/>
          </w:tcPr>
          <w:p>
            <w:pPr>
              <w:spacing w:after="0"/>
              <w:rPr>
                <w:sz w:val="20"/>
                <w:szCs w:val="20"/>
                <w:color w:val="auto"/>
              </w:rPr>
            </w:pPr>
          </w:p>
        </w:tc>
        <w:tc>
          <w:tcPr>
            <w:tcW w:w="200" w:type="dxa"/>
            <w:vAlign w:val="bottom"/>
            <w:tcBorders>
              <w:right w:val="single" w:sz="8" w:color="DBDBDB"/>
            </w:tcBorders>
            <w:shd w:val="clear" w:color="auto" w:fill="DBDBDB"/>
          </w:tcPr>
          <w:p>
            <w:pPr>
              <w:spacing w:after="0"/>
              <w:rPr>
                <w:sz w:val="20"/>
                <w:szCs w:val="20"/>
                <w:color w:val="auto"/>
              </w:rPr>
            </w:pPr>
          </w:p>
        </w:tc>
        <w:tc>
          <w:tcPr>
            <w:tcW w:w="460" w:type="dxa"/>
            <w:vAlign w:val="bottom"/>
            <w:shd w:val="clear" w:color="auto" w:fill="DBDBDB"/>
          </w:tcPr>
          <w:p>
            <w:pPr>
              <w:spacing w:after="0"/>
              <w:rPr>
                <w:sz w:val="20"/>
                <w:szCs w:val="20"/>
                <w:color w:val="auto"/>
              </w:rPr>
            </w:pPr>
          </w:p>
        </w:tc>
        <w:tc>
          <w:tcPr>
            <w:tcW w:w="920" w:type="dxa"/>
            <w:vAlign w:val="bottom"/>
            <w:shd w:val="clear" w:color="auto" w:fill="DBDBDB"/>
          </w:tcPr>
          <w:p>
            <w:pPr>
              <w:spacing w:after="0"/>
              <w:rPr>
                <w:sz w:val="20"/>
                <w:szCs w:val="20"/>
                <w:color w:val="auto"/>
              </w:rPr>
            </w:pPr>
          </w:p>
        </w:tc>
      </w:tr>
      <w:tr>
        <w:trPr>
          <w:trHeight w:val="287"/>
        </w:trPr>
        <w:tc>
          <w:tcPr>
            <w:tcW w:w="75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Current Assets:</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06"/>
        </w:trPr>
        <w:tc>
          <w:tcPr>
            <w:tcW w:w="7490" w:type="dxa"/>
            <w:vAlign w:val="bottom"/>
            <w:shd w:val="clear" w:color="auto" w:fill="DBDBDB"/>
          </w:tcPr>
          <w:p>
            <w:pPr>
              <w:ind w:left="18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70" w:type="dxa"/>
            <w:vAlign w:val="bottom"/>
            <w:tcBorders>
              <w:right w:val="single" w:sz="8" w:color="DBDBDB"/>
            </w:tcBorders>
            <w:shd w:val="clear" w:color="auto" w:fill="DBDBDB"/>
          </w:tcPr>
          <w:p>
            <w:pPr>
              <w:spacing w:after="0"/>
              <w:rPr>
                <w:sz w:val="24"/>
                <w:szCs w:val="24"/>
                <w:color w:val="auto"/>
              </w:rPr>
            </w:pPr>
          </w:p>
        </w:tc>
        <w:tc>
          <w:tcPr>
            <w:tcW w:w="1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highlight w:val="lightGray"/>
                <w:w w:val="79"/>
              </w:rPr>
              <w:t>$</w:t>
            </w:r>
          </w:p>
        </w:tc>
        <w:tc>
          <w:tcPr>
            <w:tcW w:w="1300" w:type="dxa"/>
            <w:vAlign w:val="bottom"/>
            <w:tcBorders>
              <w:right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206,140</w:t>
            </w:r>
          </w:p>
        </w:tc>
        <w:tc>
          <w:tcPr>
            <w:tcW w:w="200" w:type="dxa"/>
            <w:vAlign w:val="bottom"/>
            <w:tcBorders>
              <w:right w:val="single" w:sz="8" w:color="DBDBDB"/>
            </w:tcBorders>
            <w:shd w:val="clear" w:color="auto" w:fill="DBDBDB"/>
          </w:tcPr>
          <w:p>
            <w:pPr>
              <w:spacing w:after="0"/>
              <w:rPr>
                <w:sz w:val="24"/>
                <w:szCs w:val="24"/>
                <w:color w:val="auto"/>
              </w:rPr>
            </w:pPr>
          </w:p>
        </w:tc>
        <w:tc>
          <w:tcPr>
            <w:tcW w:w="460" w:type="dxa"/>
            <w:vAlign w:val="bottom"/>
            <w:shd w:val="clear" w:color="auto" w:fill="DBDBDB"/>
          </w:tcPr>
          <w:p>
            <w:pPr>
              <w:jc w:val="right"/>
              <w:ind w:right="262"/>
              <w:spacing w:after="0"/>
              <w:rPr>
                <w:sz w:val="20"/>
                <w:szCs w:val="20"/>
                <w:color w:val="auto"/>
              </w:rPr>
            </w:pPr>
            <w:r>
              <w:rPr>
                <w:rFonts w:ascii="Times New Roman" w:cs="Times New Roman" w:eastAsia="Times New Roman" w:hAnsi="Times New Roman"/>
                <w:sz w:val="20"/>
                <w:szCs w:val="20"/>
                <w:color w:val="auto"/>
                <w:highlight w:val="lightGray"/>
                <w:w w:val="79"/>
              </w:rPr>
              <w:t>$</w:t>
            </w:r>
          </w:p>
        </w:tc>
        <w:tc>
          <w:tcPr>
            <w:tcW w:w="9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67,428</w:t>
            </w:r>
          </w:p>
        </w:tc>
      </w:tr>
      <w:tr>
        <w:trPr>
          <w:trHeight w:val="306"/>
        </w:trPr>
        <w:tc>
          <w:tcPr>
            <w:tcW w:w="75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Restricted cash</w:t>
            </w: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9,895</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11,705</w:t>
            </w:r>
          </w:p>
        </w:tc>
      </w:tr>
      <w:tr>
        <w:trPr>
          <w:trHeight w:val="289"/>
        </w:trPr>
        <w:tc>
          <w:tcPr>
            <w:tcW w:w="7490" w:type="dxa"/>
            <w:vAlign w:val="bottom"/>
            <w:shd w:val="clear" w:color="auto" w:fill="DBDBDB"/>
          </w:tcPr>
          <w:p>
            <w:pPr>
              <w:ind w:left="180"/>
              <w:spacing w:after="0"/>
              <w:rPr>
                <w:sz w:val="20"/>
                <w:szCs w:val="20"/>
                <w:color w:val="auto"/>
              </w:rPr>
            </w:pPr>
            <w:r>
              <w:rPr>
                <w:rFonts w:ascii="Times New Roman" w:cs="Times New Roman" w:eastAsia="Times New Roman" w:hAnsi="Times New Roman"/>
                <w:sz w:val="20"/>
                <w:szCs w:val="20"/>
                <w:color w:val="auto"/>
              </w:rPr>
              <w:t>Accounts receivable, net</w:t>
            </w:r>
          </w:p>
        </w:tc>
        <w:tc>
          <w:tcPr>
            <w:tcW w:w="70" w:type="dxa"/>
            <w:vAlign w:val="bottom"/>
            <w:tcBorders>
              <w:right w:val="single" w:sz="8" w:color="DBDBDB"/>
            </w:tcBorders>
            <w:shd w:val="clear" w:color="auto" w:fill="DBDBDB"/>
          </w:tcPr>
          <w:p>
            <w:pPr>
              <w:spacing w:after="0"/>
              <w:rPr>
                <w:sz w:val="24"/>
                <w:szCs w:val="24"/>
                <w:color w:val="auto"/>
              </w:rPr>
            </w:pPr>
          </w:p>
        </w:tc>
        <w:tc>
          <w:tcPr>
            <w:tcW w:w="160" w:type="dxa"/>
            <w:vAlign w:val="bottom"/>
            <w:shd w:val="clear" w:color="auto" w:fill="DBDBDB"/>
          </w:tcPr>
          <w:p>
            <w:pPr>
              <w:spacing w:after="0"/>
              <w:rPr>
                <w:sz w:val="24"/>
                <w:szCs w:val="24"/>
                <w:color w:val="auto"/>
              </w:rPr>
            </w:pPr>
          </w:p>
        </w:tc>
        <w:tc>
          <w:tcPr>
            <w:tcW w:w="1300" w:type="dxa"/>
            <w:vAlign w:val="bottom"/>
            <w:tcBorders>
              <w:right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244,404</w:t>
            </w:r>
          </w:p>
        </w:tc>
        <w:tc>
          <w:tcPr>
            <w:tcW w:w="200" w:type="dxa"/>
            <w:vAlign w:val="bottom"/>
            <w:tcBorders>
              <w:right w:val="single" w:sz="8" w:color="DBDBDB"/>
            </w:tcBorders>
            <w:shd w:val="clear" w:color="auto" w:fill="DBDBDB"/>
          </w:tcPr>
          <w:p>
            <w:pPr>
              <w:spacing w:after="0"/>
              <w:rPr>
                <w:sz w:val="24"/>
                <w:szCs w:val="24"/>
                <w:color w:val="auto"/>
              </w:rPr>
            </w:pPr>
          </w:p>
        </w:tc>
        <w:tc>
          <w:tcPr>
            <w:tcW w:w="460" w:type="dxa"/>
            <w:vAlign w:val="bottom"/>
            <w:shd w:val="clear" w:color="auto" w:fill="DBDBDB"/>
          </w:tcPr>
          <w:p>
            <w:pPr>
              <w:spacing w:after="0"/>
              <w:rPr>
                <w:sz w:val="24"/>
                <w:szCs w:val="24"/>
                <w:color w:val="auto"/>
              </w:rPr>
            </w:pPr>
          </w:p>
        </w:tc>
        <w:tc>
          <w:tcPr>
            <w:tcW w:w="9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116,801</w:t>
            </w:r>
          </w:p>
        </w:tc>
      </w:tr>
      <w:tr>
        <w:trPr>
          <w:trHeight w:val="306"/>
        </w:trPr>
        <w:tc>
          <w:tcPr>
            <w:tcW w:w="75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Inventories</w:t>
            </w: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183,105</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88,135</w:t>
            </w:r>
          </w:p>
        </w:tc>
      </w:tr>
      <w:tr>
        <w:trPr>
          <w:trHeight w:val="289"/>
        </w:trPr>
        <w:tc>
          <w:tcPr>
            <w:tcW w:w="7490" w:type="dxa"/>
            <w:vAlign w:val="bottom"/>
            <w:tcBorders>
              <w:bottom w:val="single" w:sz="8" w:color="DBDBDB"/>
            </w:tcBorders>
            <w:shd w:val="clear" w:color="auto" w:fill="DBDBDB"/>
          </w:tcPr>
          <w:p>
            <w:pPr>
              <w:ind w:left="180"/>
              <w:spacing w:after="0"/>
              <w:rPr>
                <w:sz w:val="20"/>
                <w:szCs w:val="20"/>
                <w:color w:val="auto"/>
              </w:rPr>
            </w:pPr>
            <w:r>
              <w:rPr>
                <w:rFonts w:ascii="Times New Roman" w:cs="Times New Roman" w:eastAsia="Times New Roman" w:hAnsi="Times New Roman"/>
                <w:sz w:val="20"/>
                <w:szCs w:val="20"/>
                <w:color w:val="auto"/>
              </w:rPr>
              <w:t>Prepaid expenses and other current assets</w:t>
            </w:r>
          </w:p>
        </w:tc>
        <w:tc>
          <w:tcPr>
            <w:tcW w:w="70" w:type="dxa"/>
            <w:vAlign w:val="bottom"/>
            <w:tcBorders>
              <w:bottom w:val="single" w:sz="8" w:color="DBDBDB"/>
              <w:right w:val="single" w:sz="8" w:color="DBDBDB"/>
            </w:tcBorders>
            <w:shd w:val="clear" w:color="auto" w:fill="DBDBDB"/>
          </w:tcPr>
          <w:p>
            <w:pPr>
              <w:spacing w:after="0"/>
              <w:rPr>
                <w:sz w:val="24"/>
                <w:szCs w:val="24"/>
                <w:color w:val="auto"/>
              </w:rPr>
            </w:pPr>
          </w:p>
        </w:tc>
        <w:tc>
          <w:tcPr>
            <w:tcW w:w="160" w:type="dxa"/>
            <w:vAlign w:val="bottom"/>
            <w:tcBorders>
              <w:bottom w:val="single" w:sz="8" w:color="auto"/>
            </w:tcBorders>
            <w:shd w:val="clear" w:color="auto" w:fill="DBDBDB"/>
          </w:tcPr>
          <w:p>
            <w:pPr>
              <w:spacing w:after="0"/>
              <w:rPr>
                <w:sz w:val="24"/>
                <w:szCs w:val="24"/>
                <w:color w:val="auto"/>
              </w:rPr>
            </w:pPr>
          </w:p>
        </w:tc>
        <w:tc>
          <w:tcPr>
            <w:tcW w:w="1300" w:type="dxa"/>
            <w:vAlign w:val="bottom"/>
            <w:tcBorders>
              <w:bottom w:val="single" w:sz="8" w:color="auto"/>
              <w:right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32,183</w:t>
            </w:r>
          </w:p>
        </w:tc>
        <w:tc>
          <w:tcPr>
            <w:tcW w:w="200" w:type="dxa"/>
            <w:vAlign w:val="bottom"/>
            <w:tcBorders>
              <w:bottom w:val="single" w:sz="8" w:color="DBDBDB"/>
              <w:right w:val="single" w:sz="8" w:color="DBDBDB"/>
            </w:tcBorders>
            <w:shd w:val="clear" w:color="auto" w:fill="DBDBDB"/>
          </w:tcPr>
          <w:p>
            <w:pPr>
              <w:spacing w:after="0"/>
              <w:rPr>
                <w:sz w:val="24"/>
                <w:szCs w:val="24"/>
                <w:color w:val="auto"/>
              </w:rPr>
            </w:pPr>
          </w:p>
        </w:tc>
        <w:tc>
          <w:tcPr>
            <w:tcW w:w="460" w:type="dxa"/>
            <w:vAlign w:val="bottom"/>
            <w:tcBorders>
              <w:bottom w:val="single" w:sz="8" w:color="auto"/>
            </w:tcBorders>
            <w:shd w:val="clear" w:color="auto" w:fill="DBDBDB"/>
          </w:tcPr>
          <w:p>
            <w:pPr>
              <w:spacing w:after="0"/>
              <w:rPr>
                <w:sz w:val="24"/>
                <w:szCs w:val="24"/>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17,199</w:t>
            </w:r>
          </w:p>
        </w:tc>
      </w:tr>
      <w:tr>
        <w:trPr>
          <w:trHeight w:val="279"/>
        </w:trPr>
        <w:tc>
          <w:tcPr>
            <w:tcW w:w="756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Total current assets</w:t>
            </w: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675,727</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301,268</w:t>
            </w:r>
          </w:p>
        </w:tc>
      </w:tr>
      <w:tr>
        <w:trPr>
          <w:trHeight w:val="306"/>
        </w:trPr>
        <w:tc>
          <w:tcPr>
            <w:tcW w:w="7490" w:type="dxa"/>
            <w:vAlign w:val="bottom"/>
            <w:shd w:val="clear" w:color="auto" w:fill="DBDBDB"/>
          </w:tcPr>
          <w:p>
            <w:pPr>
              <w:ind w:left="180"/>
              <w:spacing w:after="0"/>
              <w:rPr>
                <w:sz w:val="20"/>
                <w:szCs w:val="20"/>
                <w:color w:val="auto"/>
              </w:rPr>
            </w:pPr>
            <w:r>
              <w:rPr>
                <w:rFonts w:ascii="Times New Roman" w:cs="Times New Roman" w:eastAsia="Times New Roman" w:hAnsi="Times New Roman"/>
                <w:sz w:val="20"/>
                <w:szCs w:val="20"/>
                <w:color w:val="auto"/>
              </w:rPr>
              <w:t>Property, plant and equipment, net</w:t>
            </w:r>
          </w:p>
        </w:tc>
        <w:tc>
          <w:tcPr>
            <w:tcW w:w="70" w:type="dxa"/>
            <w:vAlign w:val="bottom"/>
            <w:tcBorders>
              <w:right w:val="single" w:sz="8" w:color="DBDBDB"/>
            </w:tcBorders>
            <w:shd w:val="clear" w:color="auto" w:fill="DBDBDB"/>
          </w:tcPr>
          <w:p>
            <w:pPr>
              <w:spacing w:after="0"/>
              <w:rPr>
                <w:sz w:val="24"/>
                <w:szCs w:val="24"/>
                <w:color w:val="auto"/>
              </w:rPr>
            </w:pPr>
          </w:p>
        </w:tc>
        <w:tc>
          <w:tcPr>
            <w:tcW w:w="160" w:type="dxa"/>
            <w:vAlign w:val="bottom"/>
            <w:shd w:val="clear" w:color="auto" w:fill="DBDBDB"/>
          </w:tcPr>
          <w:p>
            <w:pPr>
              <w:spacing w:after="0"/>
              <w:rPr>
                <w:sz w:val="24"/>
                <w:szCs w:val="24"/>
                <w:color w:val="auto"/>
              </w:rPr>
            </w:pPr>
          </w:p>
        </w:tc>
        <w:tc>
          <w:tcPr>
            <w:tcW w:w="1300" w:type="dxa"/>
            <w:vAlign w:val="bottom"/>
            <w:tcBorders>
              <w:right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376,050</w:t>
            </w:r>
          </w:p>
        </w:tc>
        <w:tc>
          <w:tcPr>
            <w:tcW w:w="200" w:type="dxa"/>
            <w:vAlign w:val="bottom"/>
            <w:tcBorders>
              <w:right w:val="single" w:sz="8" w:color="DBDBDB"/>
            </w:tcBorders>
            <w:shd w:val="clear" w:color="auto" w:fill="DBDBDB"/>
          </w:tcPr>
          <w:p>
            <w:pPr>
              <w:spacing w:after="0"/>
              <w:rPr>
                <w:sz w:val="24"/>
                <w:szCs w:val="24"/>
                <w:color w:val="auto"/>
              </w:rPr>
            </w:pPr>
          </w:p>
        </w:tc>
        <w:tc>
          <w:tcPr>
            <w:tcW w:w="460" w:type="dxa"/>
            <w:vAlign w:val="bottom"/>
            <w:shd w:val="clear" w:color="auto" w:fill="DBDBDB"/>
          </w:tcPr>
          <w:p>
            <w:pPr>
              <w:spacing w:after="0"/>
              <w:rPr>
                <w:sz w:val="24"/>
                <w:szCs w:val="24"/>
                <w:color w:val="auto"/>
              </w:rPr>
            </w:pPr>
          </w:p>
        </w:tc>
        <w:tc>
          <w:tcPr>
            <w:tcW w:w="9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219,235</w:t>
            </w:r>
          </w:p>
        </w:tc>
      </w:tr>
      <w:tr>
        <w:trPr>
          <w:trHeight w:val="306"/>
        </w:trPr>
        <w:tc>
          <w:tcPr>
            <w:tcW w:w="75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Land use rights, net</w:t>
            </w: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4,825</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4,837</w:t>
            </w:r>
          </w:p>
        </w:tc>
      </w:tr>
      <w:tr>
        <w:trPr>
          <w:trHeight w:val="289"/>
        </w:trPr>
        <w:tc>
          <w:tcPr>
            <w:tcW w:w="7490" w:type="dxa"/>
            <w:vAlign w:val="bottom"/>
            <w:shd w:val="clear" w:color="auto" w:fill="DBDBDB"/>
          </w:tcPr>
          <w:p>
            <w:pPr>
              <w:ind w:left="180"/>
              <w:spacing w:after="0"/>
              <w:rPr>
                <w:sz w:val="20"/>
                <w:szCs w:val="20"/>
                <w:color w:val="auto"/>
              </w:rPr>
            </w:pPr>
            <w:r>
              <w:rPr>
                <w:rFonts w:ascii="Times New Roman" w:cs="Times New Roman" w:eastAsia="Times New Roman" w:hAnsi="Times New Roman"/>
                <w:sz w:val="20"/>
                <w:szCs w:val="20"/>
                <w:color w:val="auto"/>
              </w:rPr>
              <w:t>Operating right of use asset</w:t>
            </w:r>
          </w:p>
        </w:tc>
        <w:tc>
          <w:tcPr>
            <w:tcW w:w="70" w:type="dxa"/>
            <w:vAlign w:val="bottom"/>
            <w:tcBorders>
              <w:right w:val="single" w:sz="8" w:color="DBDBDB"/>
            </w:tcBorders>
            <w:shd w:val="clear" w:color="auto" w:fill="DBDBDB"/>
          </w:tcPr>
          <w:p>
            <w:pPr>
              <w:spacing w:after="0"/>
              <w:rPr>
                <w:sz w:val="24"/>
                <w:szCs w:val="24"/>
                <w:color w:val="auto"/>
              </w:rPr>
            </w:pPr>
          </w:p>
        </w:tc>
        <w:tc>
          <w:tcPr>
            <w:tcW w:w="160" w:type="dxa"/>
            <w:vAlign w:val="bottom"/>
            <w:shd w:val="clear" w:color="auto" w:fill="DBDBDB"/>
          </w:tcPr>
          <w:p>
            <w:pPr>
              <w:spacing w:after="0"/>
              <w:rPr>
                <w:sz w:val="24"/>
                <w:szCs w:val="24"/>
                <w:color w:val="auto"/>
              </w:rPr>
            </w:pPr>
          </w:p>
        </w:tc>
        <w:tc>
          <w:tcPr>
            <w:tcW w:w="1300" w:type="dxa"/>
            <w:vAlign w:val="bottom"/>
            <w:tcBorders>
              <w:right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49,697</w:t>
            </w:r>
          </w:p>
        </w:tc>
        <w:tc>
          <w:tcPr>
            <w:tcW w:w="200" w:type="dxa"/>
            <w:vAlign w:val="bottom"/>
            <w:tcBorders>
              <w:right w:val="single" w:sz="8" w:color="DBDBDB"/>
            </w:tcBorders>
            <w:shd w:val="clear" w:color="auto" w:fill="DBDBDB"/>
          </w:tcPr>
          <w:p>
            <w:pPr>
              <w:spacing w:after="0"/>
              <w:rPr>
                <w:sz w:val="24"/>
                <w:szCs w:val="24"/>
                <w:color w:val="auto"/>
              </w:rPr>
            </w:pPr>
          </w:p>
        </w:tc>
        <w:tc>
          <w:tcPr>
            <w:tcW w:w="460" w:type="dxa"/>
            <w:vAlign w:val="bottom"/>
            <w:shd w:val="clear" w:color="auto" w:fill="DBDBDB"/>
          </w:tcPr>
          <w:p>
            <w:pPr>
              <w:spacing w:after="0"/>
              <w:rPr>
                <w:sz w:val="24"/>
                <w:szCs w:val="24"/>
                <w:color w:val="auto"/>
              </w:rPr>
            </w:pPr>
          </w:p>
        </w:tc>
        <w:tc>
          <w:tcPr>
            <w:tcW w:w="9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9,646</w:t>
            </w:r>
          </w:p>
        </w:tc>
      </w:tr>
      <w:tr>
        <w:trPr>
          <w:trHeight w:val="306"/>
        </w:trPr>
        <w:tc>
          <w:tcPr>
            <w:tcW w:w="75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Intangible assets, net</w:t>
            </w: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3,623</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3,680</w:t>
            </w:r>
          </w:p>
        </w:tc>
      </w:tr>
      <w:tr>
        <w:trPr>
          <w:trHeight w:val="289"/>
        </w:trPr>
        <w:tc>
          <w:tcPr>
            <w:tcW w:w="7490" w:type="dxa"/>
            <w:vAlign w:val="bottom"/>
            <w:tcBorders>
              <w:bottom w:val="single" w:sz="8" w:color="DBDBDB"/>
            </w:tcBorders>
            <w:shd w:val="clear" w:color="auto" w:fill="DBDBDB"/>
          </w:tcPr>
          <w:p>
            <w:pPr>
              <w:ind w:left="180"/>
              <w:spacing w:after="0"/>
              <w:rPr>
                <w:sz w:val="20"/>
                <w:szCs w:val="20"/>
                <w:color w:val="auto"/>
              </w:rPr>
            </w:pPr>
            <w:r>
              <w:rPr>
                <w:rFonts w:ascii="Times New Roman" w:cs="Times New Roman" w:eastAsia="Times New Roman" w:hAnsi="Times New Roman"/>
                <w:sz w:val="20"/>
                <w:szCs w:val="20"/>
                <w:color w:val="auto"/>
              </w:rPr>
              <w:t>Other assets, net</w:t>
            </w:r>
          </w:p>
        </w:tc>
        <w:tc>
          <w:tcPr>
            <w:tcW w:w="70" w:type="dxa"/>
            <w:vAlign w:val="bottom"/>
            <w:tcBorders>
              <w:bottom w:val="single" w:sz="8" w:color="DBDBDB"/>
              <w:right w:val="single" w:sz="8" w:color="DBDBDB"/>
            </w:tcBorders>
            <w:shd w:val="clear" w:color="auto" w:fill="DBDBDB"/>
          </w:tcPr>
          <w:p>
            <w:pPr>
              <w:spacing w:after="0"/>
              <w:rPr>
                <w:sz w:val="24"/>
                <w:szCs w:val="24"/>
                <w:color w:val="auto"/>
              </w:rPr>
            </w:pPr>
          </w:p>
        </w:tc>
        <w:tc>
          <w:tcPr>
            <w:tcW w:w="160" w:type="dxa"/>
            <w:vAlign w:val="bottom"/>
            <w:tcBorders>
              <w:bottom w:val="single" w:sz="8" w:color="auto"/>
            </w:tcBorders>
            <w:shd w:val="clear" w:color="auto" w:fill="DBDBDB"/>
          </w:tcPr>
          <w:p>
            <w:pPr>
              <w:spacing w:after="0"/>
              <w:rPr>
                <w:sz w:val="24"/>
                <w:szCs w:val="24"/>
                <w:color w:val="auto"/>
              </w:rPr>
            </w:pPr>
          </w:p>
        </w:tc>
        <w:tc>
          <w:tcPr>
            <w:tcW w:w="1300" w:type="dxa"/>
            <w:vAlign w:val="bottom"/>
            <w:tcBorders>
              <w:bottom w:val="single" w:sz="8" w:color="auto"/>
              <w:right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58,501</w:t>
            </w:r>
          </w:p>
        </w:tc>
        <w:tc>
          <w:tcPr>
            <w:tcW w:w="200" w:type="dxa"/>
            <w:vAlign w:val="bottom"/>
            <w:tcBorders>
              <w:bottom w:val="single" w:sz="8" w:color="DBDBDB"/>
              <w:right w:val="single" w:sz="8" w:color="DBDBDB"/>
            </w:tcBorders>
            <w:shd w:val="clear" w:color="auto" w:fill="DBDBDB"/>
          </w:tcPr>
          <w:p>
            <w:pPr>
              <w:spacing w:after="0"/>
              <w:rPr>
                <w:sz w:val="24"/>
                <w:szCs w:val="24"/>
                <w:color w:val="auto"/>
              </w:rPr>
            </w:pPr>
          </w:p>
        </w:tc>
        <w:tc>
          <w:tcPr>
            <w:tcW w:w="460" w:type="dxa"/>
            <w:vAlign w:val="bottom"/>
            <w:tcBorders>
              <w:bottom w:val="single" w:sz="8" w:color="auto"/>
            </w:tcBorders>
            <w:shd w:val="clear" w:color="auto" w:fill="DBDBDB"/>
          </w:tcPr>
          <w:p>
            <w:pPr>
              <w:spacing w:after="0"/>
              <w:rPr>
                <w:sz w:val="24"/>
                <w:szCs w:val="24"/>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8,366</w:t>
            </w:r>
          </w:p>
        </w:tc>
      </w:tr>
      <w:tr>
        <w:trPr>
          <w:trHeight w:val="317"/>
        </w:trPr>
        <w:tc>
          <w:tcPr>
            <w:tcW w:w="75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TOTAL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1,168,423</w:t>
            </w:r>
          </w:p>
        </w:tc>
        <w:tc>
          <w:tcPr>
            <w:tcW w:w="660" w:type="dxa"/>
            <w:vAlign w:val="bottom"/>
            <w:gridSpan w:val="2"/>
          </w:tcPr>
          <w:p>
            <w:pPr>
              <w:jc w:val="right"/>
              <w:ind w:right="262"/>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547,032</w:t>
            </w:r>
          </w:p>
        </w:tc>
      </w:tr>
      <w:tr>
        <w:trPr>
          <w:trHeight w:val="218"/>
        </w:trPr>
        <w:tc>
          <w:tcPr>
            <w:tcW w:w="7490" w:type="dxa"/>
            <w:vAlign w:val="bottom"/>
            <w:tcBorders>
              <w:top w:val="single" w:sz="8" w:color="DBDBDB"/>
            </w:tcBorders>
            <w:shd w:val="clear" w:color="auto" w:fill="DBDBDB"/>
          </w:tcPr>
          <w:p>
            <w:pPr>
              <w:ind w:left="20"/>
              <w:spacing w:after="0" w:line="213" w:lineRule="exact"/>
              <w:rPr>
                <w:sz w:val="20"/>
                <w:szCs w:val="20"/>
                <w:color w:val="auto"/>
              </w:rPr>
            </w:pPr>
            <w:r>
              <w:rPr>
                <w:rFonts w:ascii="Times New Roman" w:cs="Times New Roman" w:eastAsia="Times New Roman" w:hAnsi="Times New Roman"/>
                <w:sz w:val="20"/>
                <w:szCs w:val="20"/>
                <w:color w:val="auto"/>
              </w:rPr>
              <w:t>LIABILITIES AND STOCKHOLDERS' EQUITY</w:t>
            </w:r>
          </w:p>
        </w:tc>
        <w:tc>
          <w:tcPr>
            <w:tcW w:w="70" w:type="dxa"/>
            <w:vAlign w:val="bottom"/>
            <w:tcBorders>
              <w:top w:val="single" w:sz="8" w:color="DBDBDB"/>
              <w:right w:val="single" w:sz="8" w:color="DBDBDB"/>
            </w:tcBorders>
            <w:shd w:val="clear" w:color="auto" w:fill="DBDBDB"/>
          </w:tcPr>
          <w:p>
            <w:pPr>
              <w:spacing w:after="0"/>
              <w:rPr>
                <w:sz w:val="18"/>
                <w:szCs w:val="18"/>
                <w:color w:val="auto"/>
              </w:rPr>
            </w:pPr>
          </w:p>
        </w:tc>
        <w:tc>
          <w:tcPr>
            <w:tcW w:w="160" w:type="dxa"/>
            <w:vAlign w:val="bottom"/>
            <w:tcBorders>
              <w:top w:val="single" w:sz="8" w:color="auto"/>
            </w:tcBorders>
            <w:shd w:val="clear" w:color="auto" w:fill="DBDBDB"/>
          </w:tcPr>
          <w:p>
            <w:pPr>
              <w:spacing w:after="0"/>
              <w:rPr>
                <w:sz w:val="18"/>
                <w:szCs w:val="18"/>
                <w:color w:val="auto"/>
              </w:rPr>
            </w:pPr>
          </w:p>
        </w:tc>
        <w:tc>
          <w:tcPr>
            <w:tcW w:w="1300" w:type="dxa"/>
            <w:vAlign w:val="bottom"/>
            <w:tcBorders>
              <w:top w:val="single" w:sz="8" w:color="auto"/>
              <w:right w:val="single" w:sz="8" w:color="DBDBDB"/>
            </w:tcBorders>
            <w:shd w:val="clear" w:color="auto" w:fill="DBDBDB"/>
          </w:tcPr>
          <w:p>
            <w:pPr>
              <w:spacing w:after="0"/>
              <w:rPr>
                <w:sz w:val="18"/>
                <w:szCs w:val="18"/>
                <w:color w:val="auto"/>
              </w:rPr>
            </w:pPr>
          </w:p>
        </w:tc>
        <w:tc>
          <w:tcPr>
            <w:tcW w:w="200" w:type="dxa"/>
            <w:vAlign w:val="bottom"/>
            <w:tcBorders>
              <w:top w:val="single" w:sz="8" w:color="DBDBDB"/>
              <w:right w:val="single" w:sz="8" w:color="DBDBDB"/>
            </w:tcBorders>
            <w:shd w:val="clear" w:color="auto" w:fill="DBDBDB"/>
          </w:tcPr>
          <w:p>
            <w:pPr>
              <w:spacing w:after="0"/>
              <w:rPr>
                <w:sz w:val="18"/>
                <w:szCs w:val="18"/>
                <w:color w:val="auto"/>
              </w:rPr>
            </w:pPr>
          </w:p>
        </w:tc>
        <w:tc>
          <w:tcPr>
            <w:tcW w:w="460" w:type="dxa"/>
            <w:vAlign w:val="bottom"/>
            <w:tcBorders>
              <w:top w:val="single" w:sz="8" w:color="auto"/>
            </w:tcBorders>
            <w:shd w:val="clear" w:color="auto" w:fill="DBDBDB"/>
          </w:tcPr>
          <w:p>
            <w:pPr>
              <w:spacing w:after="0"/>
              <w:rPr>
                <w:sz w:val="18"/>
                <w:szCs w:val="18"/>
                <w:color w:val="auto"/>
              </w:rPr>
            </w:pPr>
          </w:p>
        </w:tc>
        <w:tc>
          <w:tcPr>
            <w:tcW w:w="920" w:type="dxa"/>
            <w:vAlign w:val="bottom"/>
            <w:tcBorders>
              <w:top w:val="single" w:sz="8" w:color="auto"/>
            </w:tcBorders>
            <w:shd w:val="clear" w:color="auto" w:fill="DBDBDB"/>
          </w:tcPr>
          <w:p>
            <w:pPr>
              <w:spacing w:after="0"/>
              <w:rPr>
                <w:sz w:val="18"/>
                <w:szCs w:val="18"/>
                <w:color w:val="auto"/>
              </w:rPr>
            </w:pPr>
          </w:p>
        </w:tc>
      </w:tr>
      <w:tr>
        <w:trPr>
          <w:trHeight w:val="306"/>
        </w:trPr>
        <w:tc>
          <w:tcPr>
            <w:tcW w:w="75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Current liabilities:</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87"/>
        </w:trPr>
        <w:tc>
          <w:tcPr>
            <w:tcW w:w="7490" w:type="dxa"/>
            <w:vAlign w:val="bottom"/>
            <w:shd w:val="clear" w:color="auto" w:fill="DBDBDB"/>
          </w:tcPr>
          <w:p>
            <w:pPr>
              <w:ind w:left="180"/>
              <w:spacing w:after="0"/>
              <w:rPr>
                <w:sz w:val="20"/>
                <w:szCs w:val="20"/>
                <w:color w:val="auto"/>
              </w:rPr>
            </w:pPr>
            <w:r>
              <w:rPr>
                <w:rFonts w:ascii="Times New Roman" w:cs="Times New Roman" w:eastAsia="Times New Roman" w:hAnsi="Times New Roman"/>
                <w:sz w:val="20"/>
                <w:szCs w:val="20"/>
                <w:color w:val="auto"/>
              </w:rPr>
              <w:t>Accounts payable</w:t>
            </w:r>
          </w:p>
        </w:tc>
        <w:tc>
          <w:tcPr>
            <w:tcW w:w="70" w:type="dxa"/>
            <w:vAlign w:val="bottom"/>
            <w:tcBorders>
              <w:right w:val="single" w:sz="8" w:color="DBDBDB"/>
            </w:tcBorders>
            <w:shd w:val="clear" w:color="auto" w:fill="DBDBDB"/>
          </w:tcPr>
          <w:p>
            <w:pPr>
              <w:spacing w:after="0"/>
              <w:rPr>
                <w:sz w:val="24"/>
                <w:szCs w:val="24"/>
                <w:color w:val="auto"/>
              </w:rPr>
            </w:pPr>
          </w:p>
        </w:tc>
        <w:tc>
          <w:tcPr>
            <w:tcW w:w="1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highlight w:val="lightGray"/>
                <w:w w:val="79"/>
              </w:rPr>
              <w:t>$</w:t>
            </w:r>
          </w:p>
        </w:tc>
        <w:tc>
          <w:tcPr>
            <w:tcW w:w="1300" w:type="dxa"/>
            <w:vAlign w:val="bottom"/>
            <w:tcBorders>
              <w:right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143,932</w:t>
            </w:r>
          </w:p>
        </w:tc>
        <w:tc>
          <w:tcPr>
            <w:tcW w:w="200" w:type="dxa"/>
            <w:vAlign w:val="bottom"/>
            <w:tcBorders>
              <w:right w:val="single" w:sz="8" w:color="DBDBDB"/>
            </w:tcBorders>
            <w:shd w:val="clear" w:color="auto" w:fill="DBDBDB"/>
          </w:tcPr>
          <w:p>
            <w:pPr>
              <w:spacing w:after="0"/>
              <w:rPr>
                <w:sz w:val="24"/>
                <w:szCs w:val="24"/>
                <w:color w:val="auto"/>
              </w:rPr>
            </w:pPr>
          </w:p>
        </w:tc>
        <w:tc>
          <w:tcPr>
            <w:tcW w:w="460" w:type="dxa"/>
            <w:vAlign w:val="bottom"/>
            <w:shd w:val="clear" w:color="auto" w:fill="DBDBDB"/>
          </w:tcPr>
          <w:p>
            <w:pPr>
              <w:jc w:val="right"/>
              <w:ind w:right="262"/>
              <w:spacing w:after="0"/>
              <w:rPr>
                <w:sz w:val="20"/>
                <w:szCs w:val="20"/>
                <w:color w:val="auto"/>
              </w:rPr>
            </w:pPr>
            <w:r>
              <w:rPr>
                <w:rFonts w:ascii="Times New Roman" w:cs="Times New Roman" w:eastAsia="Times New Roman" w:hAnsi="Times New Roman"/>
                <w:sz w:val="20"/>
                <w:szCs w:val="20"/>
                <w:color w:val="auto"/>
                <w:highlight w:val="lightGray"/>
                <w:w w:val="79"/>
              </w:rPr>
              <w:t>$</w:t>
            </w:r>
          </w:p>
        </w:tc>
        <w:tc>
          <w:tcPr>
            <w:tcW w:w="9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104,969</w:t>
            </w:r>
          </w:p>
        </w:tc>
      </w:tr>
      <w:tr>
        <w:trPr>
          <w:trHeight w:val="306"/>
        </w:trPr>
        <w:tc>
          <w:tcPr>
            <w:tcW w:w="75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Bank acceptance payable</w:t>
            </w: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33,363</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19,259</w:t>
            </w:r>
          </w:p>
        </w:tc>
      </w:tr>
      <w:tr>
        <w:trPr>
          <w:trHeight w:val="306"/>
        </w:trPr>
        <w:tc>
          <w:tcPr>
            <w:tcW w:w="7490" w:type="dxa"/>
            <w:vAlign w:val="bottom"/>
            <w:shd w:val="clear" w:color="auto" w:fill="DBDBDB"/>
          </w:tcPr>
          <w:p>
            <w:pPr>
              <w:ind w:left="180"/>
              <w:spacing w:after="0"/>
              <w:rPr>
                <w:sz w:val="20"/>
                <w:szCs w:val="20"/>
                <w:color w:val="auto"/>
              </w:rPr>
            </w:pPr>
            <w:r>
              <w:rPr>
                <w:rFonts w:ascii="Times New Roman" w:cs="Times New Roman" w:eastAsia="Times New Roman" w:hAnsi="Times New Roman"/>
                <w:sz w:val="20"/>
                <w:szCs w:val="20"/>
                <w:color w:val="auto"/>
              </w:rPr>
              <w:t>Accrued liabilities</w:t>
            </w:r>
          </w:p>
        </w:tc>
        <w:tc>
          <w:tcPr>
            <w:tcW w:w="70" w:type="dxa"/>
            <w:vAlign w:val="bottom"/>
            <w:tcBorders>
              <w:right w:val="single" w:sz="8" w:color="DBDBDB"/>
            </w:tcBorders>
            <w:shd w:val="clear" w:color="auto" w:fill="DBDBDB"/>
          </w:tcPr>
          <w:p>
            <w:pPr>
              <w:spacing w:after="0"/>
              <w:rPr>
                <w:sz w:val="24"/>
                <w:szCs w:val="24"/>
                <w:color w:val="auto"/>
              </w:rPr>
            </w:pPr>
          </w:p>
        </w:tc>
        <w:tc>
          <w:tcPr>
            <w:tcW w:w="160" w:type="dxa"/>
            <w:vAlign w:val="bottom"/>
            <w:shd w:val="clear" w:color="auto" w:fill="DBDBDB"/>
          </w:tcPr>
          <w:p>
            <w:pPr>
              <w:spacing w:after="0"/>
              <w:rPr>
                <w:sz w:val="24"/>
                <w:szCs w:val="24"/>
                <w:color w:val="auto"/>
              </w:rPr>
            </w:pPr>
          </w:p>
        </w:tc>
        <w:tc>
          <w:tcPr>
            <w:tcW w:w="1300" w:type="dxa"/>
            <w:vAlign w:val="bottom"/>
            <w:tcBorders>
              <w:right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42,491</w:t>
            </w:r>
          </w:p>
        </w:tc>
        <w:tc>
          <w:tcPr>
            <w:tcW w:w="200" w:type="dxa"/>
            <w:vAlign w:val="bottom"/>
            <w:tcBorders>
              <w:right w:val="single" w:sz="8" w:color="DBDBDB"/>
            </w:tcBorders>
            <w:shd w:val="clear" w:color="auto" w:fill="DBDBDB"/>
          </w:tcPr>
          <w:p>
            <w:pPr>
              <w:spacing w:after="0"/>
              <w:rPr>
                <w:sz w:val="24"/>
                <w:szCs w:val="24"/>
                <w:color w:val="auto"/>
              </w:rPr>
            </w:pPr>
          </w:p>
        </w:tc>
        <w:tc>
          <w:tcPr>
            <w:tcW w:w="460" w:type="dxa"/>
            <w:vAlign w:val="bottom"/>
            <w:shd w:val="clear" w:color="auto" w:fill="DBDBDB"/>
          </w:tcPr>
          <w:p>
            <w:pPr>
              <w:spacing w:after="0"/>
              <w:rPr>
                <w:sz w:val="24"/>
                <w:szCs w:val="24"/>
                <w:color w:val="auto"/>
              </w:rPr>
            </w:pPr>
          </w:p>
        </w:tc>
        <w:tc>
          <w:tcPr>
            <w:tcW w:w="9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22,091</w:t>
            </w:r>
          </w:p>
        </w:tc>
      </w:tr>
      <w:tr>
        <w:trPr>
          <w:trHeight w:val="289"/>
        </w:trPr>
        <w:tc>
          <w:tcPr>
            <w:tcW w:w="75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Current lease liability - operating</w:t>
            </w: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3,522</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1,380</w:t>
            </w:r>
          </w:p>
        </w:tc>
      </w:tr>
      <w:tr>
        <w:trPr>
          <w:trHeight w:val="306"/>
        </w:trPr>
        <w:tc>
          <w:tcPr>
            <w:tcW w:w="7490" w:type="dxa"/>
            <w:vAlign w:val="bottom"/>
            <w:shd w:val="clear" w:color="auto" w:fill="DBDBDB"/>
          </w:tcPr>
          <w:p>
            <w:pPr>
              <w:ind w:left="180"/>
              <w:spacing w:after="0"/>
              <w:rPr>
                <w:sz w:val="20"/>
                <w:szCs w:val="20"/>
                <w:color w:val="auto"/>
              </w:rPr>
            </w:pPr>
            <w:r>
              <w:rPr>
                <w:rFonts w:ascii="Times New Roman" w:cs="Times New Roman" w:eastAsia="Times New Roman" w:hAnsi="Times New Roman"/>
                <w:sz w:val="20"/>
                <w:szCs w:val="20"/>
                <w:color w:val="auto"/>
              </w:rPr>
              <w:t>Current portion of notes payable and long-term debt</w:t>
            </w:r>
          </w:p>
        </w:tc>
        <w:tc>
          <w:tcPr>
            <w:tcW w:w="70" w:type="dxa"/>
            <w:vAlign w:val="bottom"/>
            <w:tcBorders>
              <w:right w:val="single" w:sz="8" w:color="DBDBDB"/>
            </w:tcBorders>
            <w:shd w:val="clear" w:color="auto" w:fill="DBDBDB"/>
          </w:tcPr>
          <w:p>
            <w:pPr>
              <w:spacing w:after="0"/>
              <w:rPr>
                <w:sz w:val="24"/>
                <w:szCs w:val="24"/>
                <w:color w:val="auto"/>
              </w:rPr>
            </w:pPr>
          </w:p>
        </w:tc>
        <w:tc>
          <w:tcPr>
            <w:tcW w:w="160" w:type="dxa"/>
            <w:vAlign w:val="bottom"/>
            <w:shd w:val="clear" w:color="auto" w:fill="DBDBDB"/>
          </w:tcPr>
          <w:p>
            <w:pPr>
              <w:spacing w:after="0"/>
              <w:rPr>
                <w:sz w:val="24"/>
                <w:szCs w:val="24"/>
                <w:color w:val="auto"/>
              </w:rPr>
            </w:pPr>
          </w:p>
        </w:tc>
        <w:tc>
          <w:tcPr>
            <w:tcW w:w="1300" w:type="dxa"/>
            <w:vAlign w:val="bottom"/>
            <w:tcBorders>
              <w:right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33,975</w:t>
            </w:r>
          </w:p>
        </w:tc>
        <w:tc>
          <w:tcPr>
            <w:tcW w:w="200" w:type="dxa"/>
            <w:vAlign w:val="bottom"/>
            <w:tcBorders>
              <w:right w:val="single" w:sz="8" w:color="DBDBDB"/>
            </w:tcBorders>
            <w:shd w:val="clear" w:color="auto" w:fill="DBDBDB"/>
          </w:tcPr>
          <w:p>
            <w:pPr>
              <w:spacing w:after="0"/>
              <w:rPr>
                <w:sz w:val="24"/>
                <w:szCs w:val="24"/>
                <w:color w:val="auto"/>
              </w:rPr>
            </w:pPr>
          </w:p>
        </w:tc>
        <w:tc>
          <w:tcPr>
            <w:tcW w:w="460" w:type="dxa"/>
            <w:vAlign w:val="bottom"/>
            <w:shd w:val="clear" w:color="auto" w:fill="DBDBDB"/>
          </w:tcPr>
          <w:p>
            <w:pPr>
              <w:spacing w:after="0"/>
              <w:rPr>
                <w:sz w:val="24"/>
                <w:szCs w:val="24"/>
                <w:color w:val="auto"/>
              </w:rPr>
            </w:pPr>
          </w:p>
        </w:tc>
        <w:tc>
          <w:tcPr>
            <w:tcW w:w="9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22,370</w:t>
            </w:r>
          </w:p>
        </w:tc>
      </w:tr>
      <w:tr>
        <w:trPr>
          <w:trHeight w:val="306"/>
        </w:trPr>
        <w:tc>
          <w:tcPr>
            <w:tcW w:w="756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Total current liabilities</w:t>
            </w: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257,283</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170,069</w:t>
            </w:r>
          </w:p>
        </w:tc>
      </w:tr>
      <w:tr>
        <w:trPr>
          <w:trHeight w:val="287"/>
        </w:trPr>
        <w:tc>
          <w:tcPr>
            <w:tcW w:w="7490" w:type="dxa"/>
            <w:vAlign w:val="bottom"/>
            <w:shd w:val="clear" w:color="auto" w:fill="DBDBDB"/>
          </w:tcPr>
          <w:p>
            <w:pPr>
              <w:ind w:left="180"/>
              <w:spacing w:after="0"/>
              <w:rPr>
                <w:sz w:val="20"/>
                <w:szCs w:val="20"/>
                <w:color w:val="auto"/>
              </w:rPr>
            </w:pPr>
            <w:r>
              <w:rPr>
                <w:rFonts w:ascii="Times New Roman" w:cs="Times New Roman" w:eastAsia="Times New Roman" w:hAnsi="Times New Roman"/>
                <w:sz w:val="20"/>
                <w:szCs w:val="20"/>
                <w:color w:val="auto"/>
              </w:rPr>
              <w:t>Convertible senior notes</w:t>
            </w:r>
          </w:p>
        </w:tc>
        <w:tc>
          <w:tcPr>
            <w:tcW w:w="70" w:type="dxa"/>
            <w:vAlign w:val="bottom"/>
            <w:tcBorders>
              <w:right w:val="single" w:sz="8" w:color="DBDBDB"/>
            </w:tcBorders>
            <w:shd w:val="clear" w:color="auto" w:fill="DBDBDB"/>
          </w:tcPr>
          <w:p>
            <w:pPr>
              <w:spacing w:after="0"/>
              <w:rPr>
                <w:sz w:val="24"/>
                <w:szCs w:val="24"/>
                <w:color w:val="auto"/>
              </w:rPr>
            </w:pPr>
          </w:p>
        </w:tc>
        <w:tc>
          <w:tcPr>
            <w:tcW w:w="160" w:type="dxa"/>
            <w:vAlign w:val="bottom"/>
            <w:shd w:val="clear" w:color="auto" w:fill="DBDBDB"/>
          </w:tcPr>
          <w:p>
            <w:pPr>
              <w:spacing w:after="0"/>
              <w:rPr>
                <w:sz w:val="24"/>
                <w:szCs w:val="24"/>
                <w:color w:val="auto"/>
              </w:rPr>
            </w:pPr>
          </w:p>
        </w:tc>
        <w:tc>
          <w:tcPr>
            <w:tcW w:w="1300" w:type="dxa"/>
            <w:vAlign w:val="bottom"/>
            <w:tcBorders>
              <w:right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129,829</w:t>
            </w:r>
          </w:p>
        </w:tc>
        <w:tc>
          <w:tcPr>
            <w:tcW w:w="200" w:type="dxa"/>
            <w:vAlign w:val="bottom"/>
            <w:tcBorders>
              <w:right w:val="single" w:sz="8" w:color="DBDBDB"/>
            </w:tcBorders>
            <w:shd w:val="clear" w:color="auto" w:fill="DBDBDB"/>
          </w:tcPr>
          <w:p>
            <w:pPr>
              <w:spacing w:after="0"/>
              <w:rPr>
                <w:sz w:val="24"/>
                <w:szCs w:val="24"/>
                <w:color w:val="auto"/>
              </w:rPr>
            </w:pPr>
          </w:p>
        </w:tc>
        <w:tc>
          <w:tcPr>
            <w:tcW w:w="460" w:type="dxa"/>
            <w:vAlign w:val="bottom"/>
            <w:shd w:val="clear" w:color="auto" w:fill="DBDBDB"/>
          </w:tcPr>
          <w:p>
            <w:pPr>
              <w:spacing w:after="0"/>
              <w:rPr>
                <w:sz w:val="24"/>
                <w:szCs w:val="24"/>
                <w:color w:val="auto"/>
              </w:rPr>
            </w:pPr>
          </w:p>
        </w:tc>
        <w:tc>
          <w:tcPr>
            <w:tcW w:w="9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134,497</w:t>
            </w:r>
          </w:p>
        </w:tc>
      </w:tr>
      <w:tr>
        <w:trPr>
          <w:trHeight w:val="306"/>
        </w:trPr>
        <w:tc>
          <w:tcPr>
            <w:tcW w:w="75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Non-current lease liability - operating</w:t>
            </w: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47,393</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9,041</w:t>
            </w:r>
          </w:p>
        </w:tc>
      </w:tr>
      <w:tr>
        <w:trPr>
          <w:trHeight w:val="306"/>
        </w:trPr>
        <w:tc>
          <w:tcPr>
            <w:tcW w:w="7490" w:type="dxa"/>
            <w:vAlign w:val="bottom"/>
            <w:shd w:val="clear" w:color="auto" w:fill="DBDBDB"/>
          </w:tcPr>
          <w:p>
            <w:pPr>
              <w:ind w:left="180"/>
              <w:spacing w:after="0"/>
              <w:rPr>
                <w:sz w:val="20"/>
                <w:szCs w:val="20"/>
                <w:color w:val="auto"/>
              </w:rPr>
            </w:pPr>
            <w:r>
              <w:rPr>
                <w:rFonts w:ascii="Times New Roman" w:cs="Times New Roman" w:eastAsia="Times New Roman" w:hAnsi="Times New Roman"/>
                <w:sz w:val="20"/>
                <w:szCs w:val="20"/>
                <w:color w:val="auto"/>
              </w:rPr>
              <w:t>Long-term debt</w:t>
            </w:r>
          </w:p>
        </w:tc>
        <w:tc>
          <w:tcPr>
            <w:tcW w:w="70" w:type="dxa"/>
            <w:vAlign w:val="bottom"/>
            <w:tcBorders>
              <w:right w:val="single" w:sz="8" w:color="DBDBDB"/>
            </w:tcBorders>
            <w:shd w:val="clear" w:color="auto" w:fill="DBDBDB"/>
          </w:tcPr>
          <w:p>
            <w:pPr>
              <w:spacing w:after="0"/>
              <w:rPr>
                <w:sz w:val="24"/>
                <w:szCs w:val="24"/>
                <w:color w:val="auto"/>
              </w:rPr>
            </w:pPr>
          </w:p>
        </w:tc>
        <w:tc>
          <w:tcPr>
            <w:tcW w:w="160" w:type="dxa"/>
            <w:vAlign w:val="bottom"/>
            <w:shd w:val="clear" w:color="auto" w:fill="DBDBDB"/>
          </w:tcPr>
          <w:p>
            <w:pPr>
              <w:spacing w:after="0"/>
              <w:rPr>
                <w:sz w:val="24"/>
                <w:szCs w:val="24"/>
                <w:color w:val="auto"/>
              </w:rPr>
            </w:pPr>
          </w:p>
        </w:tc>
        <w:tc>
          <w:tcPr>
            <w:tcW w:w="1300" w:type="dxa"/>
            <w:vAlign w:val="bottom"/>
            <w:tcBorders>
              <w:right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right w:val="single" w:sz="8" w:color="DBDBDB"/>
            </w:tcBorders>
            <w:shd w:val="clear" w:color="auto" w:fill="DBDBDB"/>
          </w:tcPr>
          <w:p>
            <w:pPr>
              <w:spacing w:after="0"/>
              <w:rPr>
                <w:sz w:val="24"/>
                <w:szCs w:val="24"/>
                <w:color w:val="auto"/>
              </w:rPr>
            </w:pPr>
          </w:p>
        </w:tc>
        <w:tc>
          <w:tcPr>
            <w:tcW w:w="460" w:type="dxa"/>
            <w:vAlign w:val="bottom"/>
            <w:shd w:val="clear" w:color="auto" w:fill="DBDBDB"/>
          </w:tcPr>
          <w:p>
            <w:pPr>
              <w:spacing w:after="0"/>
              <w:rPr>
                <w:sz w:val="24"/>
                <w:szCs w:val="24"/>
                <w:color w:val="auto"/>
              </w:rPr>
            </w:pPr>
          </w:p>
        </w:tc>
        <w:tc>
          <w:tcPr>
            <w:tcW w:w="9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4,313</w:t>
            </w:r>
          </w:p>
        </w:tc>
      </w:tr>
      <w:tr>
        <w:trPr>
          <w:trHeight w:val="289"/>
        </w:trPr>
        <w:tc>
          <w:tcPr>
            <w:tcW w:w="75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TOTAL LIABILITIES</w:t>
            </w: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434,505</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317,920</w:t>
            </w:r>
          </w:p>
        </w:tc>
      </w:tr>
      <w:tr>
        <w:trPr>
          <w:trHeight w:val="306"/>
        </w:trPr>
        <w:tc>
          <w:tcPr>
            <w:tcW w:w="7490" w:type="dxa"/>
            <w:vAlign w:val="bottom"/>
            <w:shd w:val="clear" w:color="auto" w:fill="DBDBDB"/>
          </w:tcPr>
          <w:p>
            <w:pPr>
              <w:ind w:left="20"/>
              <w:spacing w:after="0"/>
              <w:rPr>
                <w:sz w:val="20"/>
                <w:szCs w:val="20"/>
                <w:color w:val="auto"/>
              </w:rPr>
            </w:pPr>
            <w:r>
              <w:rPr>
                <w:rFonts w:ascii="Times New Roman" w:cs="Times New Roman" w:eastAsia="Times New Roman" w:hAnsi="Times New Roman"/>
                <w:sz w:val="20"/>
                <w:szCs w:val="20"/>
                <w:color w:val="auto"/>
              </w:rPr>
              <w:t>Commitments and contingencies (Note T)</w:t>
            </w:r>
          </w:p>
        </w:tc>
        <w:tc>
          <w:tcPr>
            <w:tcW w:w="70" w:type="dxa"/>
            <w:vAlign w:val="bottom"/>
            <w:tcBorders>
              <w:right w:val="single" w:sz="8" w:color="DBDBDB"/>
            </w:tcBorders>
            <w:shd w:val="clear" w:color="auto" w:fill="DBDBDB"/>
          </w:tcPr>
          <w:p>
            <w:pPr>
              <w:spacing w:after="0"/>
              <w:rPr>
                <w:sz w:val="24"/>
                <w:szCs w:val="24"/>
                <w:color w:val="auto"/>
              </w:rPr>
            </w:pPr>
          </w:p>
        </w:tc>
        <w:tc>
          <w:tcPr>
            <w:tcW w:w="160" w:type="dxa"/>
            <w:vAlign w:val="bottom"/>
            <w:shd w:val="clear" w:color="auto" w:fill="DBDBDB"/>
          </w:tcPr>
          <w:p>
            <w:pPr>
              <w:spacing w:after="0"/>
              <w:rPr>
                <w:sz w:val="24"/>
                <w:szCs w:val="24"/>
                <w:color w:val="auto"/>
              </w:rPr>
            </w:pPr>
          </w:p>
        </w:tc>
        <w:tc>
          <w:tcPr>
            <w:tcW w:w="1300" w:type="dxa"/>
            <w:vAlign w:val="bottom"/>
            <w:tcBorders>
              <w:right w:val="single" w:sz="8" w:color="DBDBDB"/>
            </w:tcBorders>
            <w:shd w:val="clear" w:color="auto" w:fill="DBDBDB"/>
          </w:tcPr>
          <w:p>
            <w:pPr>
              <w:spacing w:after="0"/>
              <w:rPr>
                <w:sz w:val="24"/>
                <w:szCs w:val="24"/>
                <w:color w:val="auto"/>
              </w:rPr>
            </w:pPr>
          </w:p>
        </w:tc>
        <w:tc>
          <w:tcPr>
            <w:tcW w:w="200" w:type="dxa"/>
            <w:vAlign w:val="bottom"/>
            <w:tcBorders>
              <w:right w:val="single" w:sz="8" w:color="DBDBDB"/>
            </w:tcBorders>
            <w:shd w:val="clear" w:color="auto" w:fill="DBDBDB"/>
          </w:tcPr>
          <w:p>
            <w:pPr>
              <w:spacing w:after="0"/>
              <w:rPr>
                <w:sz w:val="24"/>
                <w:szCs w:val="24"/>
                <w:color w:val="auto"/>
              </w:rPr>
            </w:pPr>
          </w:p>
        </w:tc>
        <w:tc>
          <w:tcPr>
            <w:tcW w:w="460" w:type="dxa"/>
            <w:vAlign w:val="bottom"/>
            <w:shd w:val="clear" w:color="auto" w:fill="DBDBDB"/>
          </w:tcPr>
          <w:p>
            <w:pPr>
              <w:spacing w:after="0"/>
              <w:rPr>
                <w:sz w:val="24"/>
                <w:szCs w:val="24"/>
                <w:color w:val="auto"/>
              </w:rPr>
            </w:pPr>
          </w:p>
        </w:tc>
        <w:tc>
          <w:tcPr>
            <w:tcW w:w="920" w:type="dxa"/>
            <w:vAlign w:val="bottom"/>
            <w:shd w:val="clear" w:color="auto" w:fill="DBDBDB"/>
          </w:tcPr>
          <w:p>
            <w:pPr>
              <w:spacing w:after="0"/>
              <w:rPr>
                <w:sz w:val="24"/>
                <w:szCs w:val="24"/>
                <w:color w:val="auto"/>
              </w:rPr>
            </w:pPr>
          </w:p>
        </w:tc>
      </w:tr>
      <w:tr>
        <w:trPr>
          <w:trHeight w:val="235"/>
        </w:trPr>
        <w:tc>
          <w:tcPr>
            <w:tcW w:w="75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Stockholders' equity:</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11"/>
        </w:trPr>
        <w:tc>
          <w:tcPr>
            <w:tcW w:w="7490" w:type="dxa"/>
            <w:vAlign w:val="bottom"/>
            <w:shd w:val="clear" w:color="auto" w:fill="DBDBDB"/>
          </w:tcPr>
          <w:p>
            <w:pPr>
              <w:ind w:left="180"/>
              <w:spacing w:after="0" w:line="211" w:lineRule="exact"/>
              <w:rPr>
                <w:sz w:val="20"/>
                <w:szCs w:val="20"/>
                <w:color w:val="auto"/>
              </w:rPr>
            </w:pPr>
            <w:r>
              <w:rPr>
                <w:rFonts w:ascii="Times New Roman" w:cs="Times New Roman" w:eastAsia="Times New Roman" w:hAnsi="Times New Roman"/>
                <w:sz w:val="20"/>
                <w:szCs w:val="20"/>
                <w:color w:val="auto"/>
              </w:rPr>
              <w:t>Preferred Stock: 5,000 shares authorized at $0.001 par value; no shares issued and</w:t>
            </w:r>
          </w:p>
        </w:tc>
        <w:tc>
          <w:tcPr>
            <w:tcW w:w="70" w:type="dxa"/>
            <w:vAlign w:val="bottom"/>
            <w:tcBorders>
              <w:right w:val="single" w:sz="8" w:color="DBDBDB"/>
            </w:tcBorders>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300" w:type="dxa"/>
            <w:vAlign w:val="bottom"/>
            <w:tcBorders>
              <w:right w:val="single" w:sz="8" w:color="DBDBDB"/>
            </w:tcBorders>
            <w:shd w:val="clear" w:color="auto" w:fill="DBDBDB"/>
          </w:tcPr>
          <w:p>
            <w:pPr>
              <w:spacing w:after="0"/>
              <w:rPr>
                <w:sz w:val="18"/>
                <w:szCs w:val="18"/>
                <w:color w:val="auto"/>
              </w:rPr>
            </w:pPr>
          </w:p>
        </w:tc>
        <w:tc>
          <w:tcPr>
            <w:tcW w:w="200" w:type="dxa"/>
            <w:vAlign w:val="bottom"/>
            <w:tcBorders>
              <w:right w:val="single" w:sz="8" w:color="DBDBDB"/>
            </w:tcBorders>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r>
      <w:tr>
        <w:trPr>
          <w:trHeight w:val="250"/>
        </w:trPr>
        <w:tc>
          <w:tcPr>
            <w:tcW w:w="749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20"/>
                <w:szCs w:val="20"/>
                <w:color w:val="auto"/>
              </w:rPr>
              <w:t>outstanding at December 31, 2025 and December 31, 2024, respectively</w:t>
            </w:r>
          </w:p>
        </w:tc>
        <w:tc>
          <w:tcPr>
            <w:tcW w:w="70" w:type="dxa"/>
            <w:vAlign w:val="bottom"/>
            <w:tcBorders>
              <w:right w:val="single" w:sz="8" w:color="DBDBDB"/>
            </w:tcBorders>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300" w:type="dxa"/>
            <w:vAlign w:val="bottom"/>
            <w:tcBorders>
              <w:right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right w:val="single" w:sz="8" w:color="DBDBDB"/>
            </w:tcBorders>
            <w:shd w:val="clear" w:color="auto" w:fill="DBDBDB"/>
          </w:tcPr>
          <w:p>
            <w:pPr>
              <w:spacing w:after="0"/>
              <w:rPr>
                <w:sz w:val="21"/>
                <w:szCs w:val="21"/>
                <w:color w:val="auto"/>
              </w:rPr>
            </w:pPr>
          </w:p>
        </w:tc>
        <w:tc>
          <w:tcPr>
            <w:tcW w:w="460" w:type="dxa"/>
            <w:vAlign w:val="bottom"/>
            <w:shd w:val="clear" w:color="auto" w:fill="DBDBDB"/>
          </w:tcPr>
          <w:p>
            <w:pPr>
              <w:spacing w:after="0"/>
              <w:rPr>
                <w:sz w:val="21"/>
                <w:szCs w:val="21"/>
                <w:color w:val="auto"/>
              </w:rPr>
            </w:pPr>
          </w:p>
        </w:tc>
        <w:tc>
          <w:tcPr>
            <w:tcW w:w="9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11"/>
        </w:trPr>
        <w:tc>
          <w:tcPr>
            <w:tcW w:w="7560" w:type="dxa"/>
            <w:vAlign w:val="bottom"/>
            <w:gridSpan w:val="2"/>
          </w:tcPr>
          <w:p>
            <w:pPr>
              <w:ind w:left="180"/>
              <w:spacing w:after="0" w:line="211" w:lineRule="exact"/>
              <w:rPr>
                <w:sz w:val="20"/>
                <w:szCs w:val="20"/>
                <w:color w:val="auto"/>
              </w:rPr>
            </w:pPr>
            <w:r>
              <w:rPr>
                <w:rFonts w:ascii="Times New Roman" w:cs="Times New Roman" w:eastAsia="Times New Roman" w:hAnsi="Times New Roman"/>
                <w:sz w:val="20"/>
                <w:szCs w:val="20"/>
                <w:color w:val="auto"/>
              </w:rPr>
              <w:t>Common Stock; 120,000 shares authorized at $0.001 par value, 74,998 shares issued and</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3"/>
        </w:trPr>
        <w:tc>
          <w:tcPr>
            <w:tcW w:w="7560" w:type="dxa"/>
            <w:vAlign w:val="bottom"/>
            <w:gridSpan w:val="2"/>
          </w:tcPr>
          <w:p>
            <w:pPr>
              <w:ind w:left="360"/>
              <w:spacing w:after="0" w:line="224" w:lineRule="exact"/>
              <w:rPr>
                <w:sz w:val="20"/>
                <w:szCs w:val="20"/>
                <w:color w:val="auto"/>
              </w:rPr>
            </w:pPr>
            <w:r>
              <w:rPr>
                <w:rFonts w:ascii="Times New Roman" w:cs="Times New Roman" w:eastAsia="Times New Roman" w:hAnsi="Times New Roman"/>
                <w:sz w:val="20"/>
                <w:szCs w:val="20"/>
                <w:color w:val="auto"/>
              </w:rPr>
              <w:t>outstanding at December 31, 2025; 80,000 shares authorized at $0.001 par value and,</w:t>
            </w: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50"/>
        </w:trPr>
        <w:tc>
          <w:tcPr>
            <w:tcW w:w="756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49,393 shares issued at December 31, 2024, respectively</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w:t>
            </w: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w:t>
            </w:r>
          </w:p>
        </w:tc>
      </w:tr>
      <w:tr>
        <w:trPr>
          <w:trHeight w:val="289"/>
        </w:trPr>
        <w:tc>
          <w:tcPr>
            <w:tcW w:w="7490" w:type="dxa"/>
            <w:vAlign w:val="bottom"/>
            <w:shd w:val="clear" w:color="auto" w:fill="DBDBDB"/>
          </w:tcPr>
          <w:p>
            <w:pPr>
              <w:ind w:left="180"/>
              <w:spacing w:after="0"/>
              <w:rPr>
                <w:sz w:val="20"/>
                <w:szCs w:val="20"/>
                <w:color w:val="auto"/>
              </w:rPr>
            </w:pPr>
            <w:r>
              <w:rPr>
                <w:rFonts w:ascii="Times New Roman" w:cs="Times New Roman" w:eastAsia="Times New Roman" w:hAnsi="Times New Roman"/>
                <w:sz w:val="20"/>
                <w:szCs w:val="20"/>
                <w:color w:val="auto"/>
              </w:rPr>
              <w:t>Additional paid-in capital</w:t>
            </w:r>
          </w:p>
        </w:tc>
        <w:tc>
          <w:tcPr>
            <w:tcW w:w="70" w:type="dxa"/>
            <w:vAlign w:val="bottom"/>
            <w:tcBorders>
              <w:right w:val="single" w:sz="8" w:color="DBDBDB"/>
            </w:tcBorders>
            <w:shd w:val="clear" w:color="auto" w:fill="DBDBDB"/>
          </w:tcPr>
          <w:p>
            <w:pPr>
              <w:spacing w:after="0"/>
              <w:rPr>
                <w:sz w:val="24"/>
                <w:szCs w:val="24"/>
                <w:color w:val="auto"/>
              </w:rPr>
            </w:pPr>
          </w:p>
        </w:tc>
        <w:tc>
          <w:tcPr>
            <w:tcW w:w="160" w:type="dxa"/>
            <w:vAlign w:val="bottom"/>
            <w:shd w:val="clear" w:color="auto" w:fill="DBDBDB"/>
          </w:tcPr>
          <w:p>
            <w:pPr>
              <w:spacing w:after="0"/>
              <w:rPr>
                <w:sz w:val="24"/>
                <w:szCs w:val="24"/>
                <w:color w:val="auto"/>
              </w:rPr>
            </w:pPr>
          </w:p>
        </w:tc>
        <w:tc>
          <w:tcPr>
            <w:tcW w:w="1300" w:type="dxa"/>
            <w:vAlign w:val="bottom"/>
            <w:tcBorders>
              <w:right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1,224,538</w:t>
            </w:r>
          </w:p>
        </w:tc>
        <w:tc>
          <w:tcPr>
            <w:tcW w:w="200" w:type="dxa"/>
            <w:vAlign w:val="bottom"/>
            <w:tcBorders>
              <w:right w:val="single" w:sz="8" w:color="DBDBDB"/>
            </w:tcBorders>
            <w:shd w:val="clear" w:color="auto" w:fill="DBDBDB"/>
          </w:tcPr>
          <w:p>
            <w:pPr>
              <w:spacing w:after="0"/>
              <w:rPr>
                <w:sz w:val="24"/>
                <w:szCs w:val="24"/>
                <w:color w:val="auto"/>
              </w:rPr>
            </w:pPr>
          </w:p>
        </w:tc>
        <w:tc>
          <w:tcPr>
            <w:tcW w:w="460" w:type="dxa"/>
            <w:vAlign w:val="bottom"/>
            <w:shd w:val="clear" w:color="auto" w:fill="DBDBDB"/>
          </w:tcPr>
          <w:p>
            <w:pPr>
              <w:spacing w:after="0"/>
              <w:rPr>
                <w:sz w:val="24"/>
                <w:szCs w:val="24"/>
                <w:color w:val="auto"/>
              </w:rPr>
            </w:pPr>
          </w:p>
        </w:tc>
        <w:tc>
          <w:tcPr>
            <w:tcW w:w="9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683,462</w:t>
            </w:r>
          </w:p>
        </w:tc>
      </w:tr>
      <w:tr>
        <w:trPr>
          <w:trHeight w:val="306"/>
        </w:trPr>
        <w:tc>
          <w:tcPr>
            <w:tcW w:w="75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Accumulated other comprehensive loss</w:t>
            </w: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(617)</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(2,548)</w:t>
            </w:r>
          </w:p>
        </w:tc>
      </w:tr>
      <w:tr>
        <w:trPr>
          <w:trHeight w:val="289"/>
        </w:trPr>
        <w:tc>
          <w:tcPr>
            <w:tcW w:w="7490" w:type="dxa"/>
            <w:vAlign w:val="bottom"/>
            <w:tcBorders>
              <w:bottom w:val="single" w:sz="8" w:color="DBDBDB"/>
            </w:tcBorders>
            <w:shd w:val="clear" w:color="auto" w:fill="DBDBDB"/>
          </w:tcPr>
          <w:p>
            <w:pPr>
              <w:ind w:left="180"/>
              <w:spacing w:after="0"/>
              <w:rPr>
                <w:sz w:val="20"/>
                <w:szCs w:val="20"/>
                <w:color w:val="auto"/>
              </w:rPr>
            </w:pPr>
            <w:r>
              <w:rPr>
                <w:rFonts w:ascii="Times New Roman" w:cs="Times New Roman" w:eastAsia="Times New Roman" w:hAnsi="Times New Roman"/>
                <w:sz w:val="20"/>
                <w:szCs w:val="20"/>
                <w:color w:val="auto"/>
              </w:rPr>
              <w:t>Accumulated deficit</w:t>
            </w:r>
          </w:p>
        </w:tc>
        <w:tc>
          <w:tcPr>
            <w:tcW w:w="70" w:type="dxa"/>
            <w:vAlign w:val="bottom"/>
            <w:tcBorders>
              <w:bottom w:val="single" w:sz="8" w:color="DBDBDB"/>
              <w:right w:val="single" w:sz="8" w:color="DBDBDB"/>
            </w:tcBorders>
            <w:shd w:val="clear" w:color="auto" w:fill="DBDBDB"/>
          </w:tcPr>
          <w:p>
            <w:pPr>
              <w:spacing w:after="0"/>
              <w:rPr>
                <w:sz w:val="24"/>
                <w:szCs w:val="24"/>
                <w:color w:val="auto"/>
              </w:rPr>
            </w:pPr>
          </w:p>
        </w:tc>
        <w:tc>
          <w:tcPr>
            <w:tcW w:w="160" w:type="dxa"/>
            <w:vAlign w:val="bottom"/>
            <w:tcBorders>
              <w:bottom w:val="single" w:sz="8" w:color="auto"/>
            </w:tcBorders>
            <w:shd w:val="clear" w:color="auto" w:fill="DBDBDB"/>
          </w:tcPr>
          <w:p>
            <w:pPr>
              <w:spacing w:after="0"/>
              <w:rPr>
                <w:sz w:val="24"/>
                <w:szCs w:val="24"/>
                <w:color w:val="auto"/>
              </w:rPr>
            </w:pPr>
          </w:p>
        </w:tc>
        <w:tc>
          <w:tcPr>
            <w:tcW w:w="1300" w:type="dxa"/>
            <w:vAlign w:val="bottom"/>
            <w:tcBorders>
              <w:bottom w:val="single" w:sz="8" w:color="auto"/>
              <w:right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(490,078)</w:t>
            </w:r>
          </w:p>
        </w:tc>
        <w:tc>
          <w:tcPr>
            <w:tcW w:w="200" w:type="dxa"/>
            <w:vAlign w:val="bottom"/>
            <w:tcBorders>
              <w:bottom w:val="single" w:sz="8" w:color="DBDBDB"/>
              <w:right w:val="single" w:sz="8" w:color="DBDBDB"/>
            </w:tcBorders>
            <w:shd w:val="clear" w:color="auto" w:fill="DBDBDB"/>
          </w:tcPr>
          <w:p>
            <w:pPr>
              <w:spacing w:after="0"/>
              <w:rPr>
                <w:sz w:val="24"/>
                <w:szCs w:val="24"/>
                <w:color w:val="auto"/>
              </w:rPr>
            </w:pPr>
          </w:p>
        </w:tc>
        <w:tc>
          <w:tcPr>
            <w:tcW w:w="460" w:type="dxa"/>
            <w:vAlign w:val="bottom"/>
            <w:tcBorders>
              <w:bottom w:val="single" w:sz="8" w:color="auto"/>
            </w:tcBorders>
            <w:shd w:val="clear" w:color="auto" w:fill="DBDBDB"/>
          </w:tcPr>
          <w:p>
            <w:pPr>
              <w:spacing w:after="0"/>
              <w:rPr>
                <w:sz w:val="24"/>
                <w:szCs w:val="24"/>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(451,851)</w:t>
            </w:r>
          </w:p>
        </w:tc>
      </w:tr>
      <w:tr>
        <w:trPr>
          <w:trHeight w:val="284"/>
        </w:trPr>
        <w:tc>
          <w:tcPr>
            <w:tcW w:w="7560" w:type="dxa"/>
            <w:vAlign w:val="bottom"/>
            <w:tcBorders>
              <w:bottom w:val="single" w:sz="8" w:color="DBDBDB"/>
            </w:tcBorders>
            <w:gridSpan w:val="2"/>
          </w:tcPr>
          <w:p>
            <w:pPr>
              <w:ind w:left="20"/>
              <w:spacing w:after="0"/>
              <w:rPr>
                <w:sz w:val="20"/>
                <w:szCs w:val="20"/>
                <w:color w:val="auto"/>
              </w:rPr>
            </w:pPr>
            <w:r>
              <w:rPr>
                <w:rFonts w:ascii="Times New Roman" w:cs="Times New Roman" w:eastAsia="Times New Roman" w:hAnsi="Times New Roman"/>
                <w:sz w:val="20"/>
                <w:szCs w:val="20"/>
                <w:color w:val="auto"/>
              </w:rPr>
              <w:t>TOTAL STOCKHOLDERS' EQUITY</w:t>
            </w: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733,918</w:t>
            </w:r>
          </w:p>
        </w:tc>
        <w:tc>
          <w:tcPr>
            <w:tcW w:w="200" w:type="dxa"/>
            <w:vAlign w:val="bottom"/>
            <w:tcBorders>
              <w:bottom w:val="single" w:sz="8" w:color="DBDBDB"/>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229,112</w:t>
            </w:r>
          </w:p>
        </w:tc>
      </w:tr>
      <w:tr>
        <w:trPr>
          <w:trHeight w:val="303"/>
        </w:trPr>
        <w:tc>
          <w:tcPr>
            <w:tcW w:w="749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20"/>
                <w:szCs w:val="20"/>
                <w:color w:val="auto"/>
              </w:rPr>
              <w:t>TOTAL LIABILITIES AND STOCKHOLDERS' EQUITY</w:t>
            </w:r>
          </w:p>
        </w:tc>
        <w:tc>
          <w:tcPr>
            <w:tcW w:w="70" w:type="dxa"/>
            <w:vAlign w:val="bottom"/>
            <w:tcBorders>
              <w:bottom w:val="single" w:sz="8" w:color="DBDBDB"/>
              <w:right w:val="single" w:sz="8" w:color="DBDBDB"/>
            </w:tcBorders>
            <w:shd w:val="clear" w:color="auto" w:fill="DBDBDB"/>
          </w:tcPr>
          <w:p>
            <w:pPr>
              <w:spacing w:after="0"/>
              <w:rPr>
                <w:sz w:val="24"/>
                <w:szCs w:val="24"/>
                <w:color w:val="auto"/>
              </w:rPr>
            </w:pPr>
          </w:p>
        </w:tc>
        <w:tc>
          <w:tcPr>
            <w:tcW w:w="1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highlight w:val="lightGray"/>
                <w:w w:val="79"/>
              </w:rPr>
              <w:t>$</w:t>
            </w:r>
          </w:p>
        </w:tc>
        <w:tc>
          <w:tcPr>
            <w:tcW w:w="1300" w:type="dxa"/>
            <w:vAlign w:val="bottom"/>
            <w:tcBorders>
              <w:bottom w:val="single" w:sz="8" w:color="DBDBDB"/>
              <w:right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1,168,423</w:t>
            </w:r>
          </w:p>
        </w:tc>
        <w:tc>
          <w:tcPr>
            <w:tcW w:w="200" w:type="dxa"/>
            <w:vAlign w:val="bottom"/>
            <w:tcBorders>
              <w:bottom w:val="single" w:sz="8" w:color="DBDBDB"/>
              <w:right w:val="single" w:sz="8" w:color="DBDBDB"/>
            </w:tcBorders>
            <w:shd w:val="clear" w:color="auto" w:fill="DBDBDB"/>
          </w:tcPr>
          <w:p>
            <w:pPr>
              <w:spacing w:after="0"/>
              <w:rPr>
                <w:sz w:val="24"/>
                <w:szCs w:val="24"/>
                <w:color w:val="auto"/>
              </w:rPr>
            </w:pPr>
          </w:p>
        </w:tc>
        <w:tc>
          <w:tcPr>
            <w:tcW w:w="460" w:type="dxa"/>
            <w:vAlign w:val="bottom"/>
            <w:tcBorders>
              <w:bottom w:val="single" w:sz="8" w:color="DBDBDB"/>
            </w:tcBorders>
            <w:shd w:val="clear" w:color="auto" w:fill="DBDBDB"/>
          </w:tcPr>
          <w:p>
            <w:pPr>
              <w:jc w:val="right"/>
              <w:ind w:right="262"/>
              <w:spacing w:after="0"/>
              <w:rPr>
                <w:sz w:val="20"/>
                <w:szCs w:val="20"/>
                <w:color w:val="auto"/>
              </w:rPr>
            </w:pPr>
            <w:r>
              <w:rPr>
                <w:rFonts w:ascii="Times New Roman" w:cs="Times New Roman" w:eastAsia="Times New Roman" w:hAnsi="Times New Roman"/>
                <w:sz w:val="20"/>
                <w:szCs w:val="20"/>
                <w:color w:val="auto"/>
                <w:highlight w:val="lightGray"/>
                <w:w w:val="79"/>
              </w:rPr>
              <w:t>$</w:t>
            </w:r>
          </w:p>
        </w:tc>
        <w:tc>
          <w:tcPr>
            <w:tcW w:w="9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547,032</w:t>
            </w:r>
          </w:p>
        </w:tc>
      </w:tr>
      <w:tr>
        <w:trPr>
          <w:trHeight w:val="20"/>
        </w:trPr>
        <w:tc>
          <w:tcPr>
            <w:tcW w:w="7490" w:type="dxa"/>
            <w:vAlign w:val="bottom"/>
            <w:tcBorders>
              <w:top w:val="single" w:sz="8" w:color="DBDBDB"/>
            </w:tcBorders>
          </w:tcPr>
          <w:p>
            <w:pPr>
              <w:spacing w:after="0" w:line="20" w:lineRule="exact"/>
              <w:rPr>
                <w:sz w:val="1"/>
                <w:szCs w:val="1"/>
                <w:color w:val="auto"/>
              </w:rPr>
            </w:pPr>
          </w:p>
        </w:tc>
        <w:tc>
          <w:tcPr>
            <w:tcW w:w="70" w:type="dxa"/>
            <w:vAlign w:val="bottom"/>
            <w:tcBorders>
              <w:top w:val="single" w:sz="8" w:color="DBDBDB"/>
              <w:right w:val="single" w:sz="8" w:color="auto"/>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top w:val="single" w:sz="8" w:color="DBDBDB"/>
              <w:right w:val="single" w:sz="8" w:color="auto"/>
            </w:tcBorders>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1880" w:h="15480" w:orient="portrait"/>
          <w:cols w:equalWidth="0" w:num="1">
            <w:col w:w="10600"/>
          </w:cols>
          <w:pgMar w:left="640" w:top="403"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F-3</w:t>
      </w:r>
    </w:p>
    <w:p>
      <w:pPr>
        <w:sectPr>
          <w:pgSz w:w="11880" w:h="15480" w:orient="portrait"/>
          <w:cols w:equalWidth="0" w:num="1">
            <w:col w:w="10600"/>
          </w:cols>
          <w:pgMar w:left="640" w:top="403" w:right="640" w:bottom="0" w:gutter="0" w:footer="0" w:header="0"/>
          <w:type w:val="continuous"/>
        </w:sectPr>
      </w:pPr>
    </w:p>
    <w:bookmarkStart w:id="63" w:name="page64"/>
    <w:bookmarkEnd w:id="63"/>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Applied Optoelectronics, Inc. and Subsidiaries</w:t>
      </w:r>
    </w:p>
    <w:p>
      <w:pPr>
        <w:spacing w:after="0" w:line="1"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w:t>
      </w:r>
    </w:p>
    <w:p>
      <w:pPr>
        <w:ind w:left="3320"/>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40" w:type="dxa"/>
            <w:vAlign w:val="bottom"/>
            <w:tcBorders>
              <w:bottom w:val="single" w:sz="8" w:color="auto"/>
            </w:tcBorders>
            <w:gridSpan w:val="6"/>
          </w:tcPr>
          <w:p>
            <w:pPr>
              <w:jc w:val="right"/>
              <w:ind w:right="62"/>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1060" w:type="dxa"/>
            <w:vAlign w:val="bottom"/>
            <w:tcBorders>
              <w:bottom w:val="single" w:sz="8" w:color="auto"/>
            </w:tcBorders>
          </w:tcPr>
          <w:p>
            <w:pPr>
              <w:spacing w:after="0"/>
              <w:rPr>
                <w:sz w:val="22"/>
                <w:szCs w:val="22"/>
                <w:color w:val="auto"/>
              </w:rPr>
            </w:pPr>
          </w:p>
        </w:tc>
      </w:tr>
      <w:tr>
        <w:trPr>
          <w:trHeight w:val="227"/>
        </w:trPr>
        <w:tc>
          <w:tcPr>
            <w:tcW w:w="5900" w:type="dxa"/>
            <w:vAlign w:val="bottom"/>
            <w:tcBorders>
              <w:bottom w:val="single" w:sz="8" w:color="DBDBDB"/>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02"/>
              <w:spacing w:after="0" w:line="227" w:lineRule="exact"/>
              <w:rPr>
                <w:sz w:val="20"/>
                <w:szCs w:val="20"/>
                <w:color w:val="auto"/>
              </w:rPr>
            </w:pPr>
            <w:r>
              <w:rPr>
                <w:rFonts w:ascii="Times New Roman" w:cs="Times New Roman" w:eastAsia="Times New Roman" w:hAnsi="Times New Roman"/>
                <w:sz w:val="20"/>
                <w:szCs w:val="20"/>
                <w:b w:val="1"/>
                <w:bCs w:val="1"/>
                <w:color w:val="auto"/>
              </w:rPr>
              <w:t>2025</w:t>
            </w:r>
          </w:p>
        </w:tc>
        <w:tc>
          <w:tcPr>
            <w:tcW w:w="220" w:type="dxa"/>
            <w:vAlign w:val="bottom"/>
            <w:tcBorders>
              <w:bottom w:val="single" w:sz="8" w:color="DBDBDB"/>
            </w:tcBorders>
          </w:tcPr>
          <w:p>
            <w:pPr>
              <w:spacing w:after="0"/>
              <w:rPr>
                <w:sz w:val="19"/>
                <w:szCs w:val="19"/>
                <w:color w:val="auto"/>
              </w:rPr>
            </w:pPr>
          </w:p>
        </w:tc>
        <w:tc>
          <w:tcPr>
            <w:tcW w:w="110" w:type="dxa"/>
            <w:vAlign w:val="bottom"/>
            <w:tcBorders>
              <w:bottom w:val="single" w:sz="8" w:color="auto"/>
            </w:tcBorders>
          </w:tcPr>
          <w:p>
            <w:pPr>
              <w:spacing w:after="0"/>
              <w:rPr>
                <w:sz w:val="19"/>
                <w:szCs w:val="19"/>
                <w:color w:val="auto"/>
              </w:rPr>
            </w:pPr>
          </w:p>
        </w:tc>
        <w:tc>
          <w:tcPr>
            <w:tcW w:w="1270" w:type="dxa"/>
            <w:vAlign w:val="bottom"/>
            <w:tcBorders>
              <w:bottom w:val="single" w:sz="8" w:color="auto"/>
            </w:tcBorders>
          </w:tcPr>
          <w:p>
            <w:pPr>
              <w:jc w:val="right"/>
              <w:ind w:right="382"/>
              <w:spacing w:after="0" w:line="227" w:lineRule="exact"/>
              <w:rPr>
                <w:sz w:val="20"/>
                <w:szCs w:val="20"/>
                <w:color w:val="auto"/>
              </w:rPr>
            </w:pPr>
            <w:r>
              <w:rPr>
                <w:rFonts w:ascii="Times New Roman" w:cs="Times New Roman" w:eastAsia="Times New Roman" w:hAnsi="Times New Roman"/>
                <w:sz w:val="20"/>
                <w:szCs w:val="20"/>
                <w:b w:val="1"/>
                <w:bCs w:val="1"/>
                <w:color w:val="auto"/>
              </w:rPr>
              <w:t>2024</w:t>
            </w:r>
          </w:p>
        </w:tc>
        <w:tc>
          <w:tcPr>
            <w:tcW w:w="220" w:type="dxa"/>
            <w:vAlign w:val="bottom"/>
            <w:tcBorders>
              <w:bottom w:val="single" w:sz="8" w:color="DBDBD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02"/>
              <w:spacing w:after="0" w:line="227" w:lineRule="exact"/>
              <w:rPr>
                <w:sz w:val="20"/>
                <w:szCs w:val="20"/>
                <w:color w:val="auto"/>
              </w:rPr>
            </w:pPr>
            <w:r>
              <w:rPr>
                <w:rFonts w:ascii="Times New Roman" w:cs="Times New Roman" w:eastAsia="Times New Roman" w:hAnsi="Times New Roman"/>
                <w:sz w:val="20"/>
                <w:szCs w:val="20"/>
                <w:b w:val="1"/>
                <w:bCs w:val="1"/>
                <w:color w:val="auto"/>
              </w:rPr>
              <w:t>2023</w:t>
            </w:r>
          </w:p>
        </w:tc>
      </w:tr>
      <w:tr>
        <w:trPr>
          <w:trHeight w:val="225"/>
        </w:trPr>
        <w:tc>
          <w:tcPr>
            <w:tcW w:w="5900" w:type="dxa"/>
            <w:vAlign w:val="bottom"/>
            <w:shd w:val="clear" w:color="auto" w:fill="DBDBDB"/>
          </w:tcPr>
          <w:p>
            <w:pPr>
              <w:ind w:left="20"/>
              <w:spacing w:after="0" w:line="220" w:lineRule="exact"/>
              <w:rPr>
                <w:sz w:val="20"/>
                <w:szCs w:val="20"/>
                <w:color w:val="auto"/>
              </w:rPr>
            </w:pPr>
            <w:r>
              <w:rPr>
                <w:rFonts w:ascii="Times New Roman" w:cs="Times New Roman" w:eastAsia="Times New Roman" w:hAnsi="Times New Roman"/>
                <w:sz w:val="20"/>
                <w:szCs w:val="20"/>
                <w:color w:val="auto"/>
              </w:rPr>
              <w:t>Revenue, net</w:t>
            </w:r>
          </w:p>
        </w:tc>
        <w:tc>
          <w:tcPr>
            <w:tcW w:w="100" w:type="dxa"/>
            <w:vAlign w:val="bottom"/>
            <w:shd w:val="clear" w:color="auto" w:fill="DBDBDB"/>
          </w:tcPr>
          <w:p>
            <w:pPr>
              <w:spacing w:after="0"/>
              <w:rPr>
                <w:sz w:val="19"/>
                <w:szCs w:val="19"/>
                <w:color w:val="auto"/>
              </w:rPr>
            </w:pPr>
          </w:p>
        </w:tc>
        <w:tc>
          <w:tcPr>
            <w:tcW w:w="100" w:type="dxa"/>
            <w:vAlign w:val="bottom"/>
            <w:shd w:val="clear" w:color="auto" w:fill="DBDBDB"/>
          </w:tcPr>
          <w:p>
            <w:pPr>
              <w:jc w:val="right"/>
              <w:spacing w:after="0" w:line="225"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280" w:type="dxa"/>
            <w:vAlign w:val="bottom"/>
            <w:shd w:val="clear" w:color="auto" w:fill="DBDBDB"/>
          </w:tcPr>
          <w:p>
            <w:pPr>
              <w:jc w:val="right"/>
              <w:spacing w:after="0" w:line="225" w:lineRule="exact"/>
              <w:rPr>
                <w:sz w:val="20"/>
                <w:szCs w:val="20"/>
                <w:color w:val="auto"/>
              </w:rPr>
            </w:pPr>
            <w:r>
              <w:rPr>
                <w:rFonts w:ascii="Times New Roman" w:cs="Times New Roman" w:eastAsia="Times New Roman" w:hAnsi="Times New Roman"/>
                <w:sz w:val="20"/>
                <w:szCs w:val="20"/>
                <w:color w:val="auto"/>
              </w:rPr>
              <w:t>455,715</w:t>
            </w:r>
          </w:p>
        </w:tc>
        <w:tc>
          <w:tcPr>
            <w:tcW w:w="220" w:type="dxa"/>
            <w:vAlign w:val="bottom"/>
            <w:shd w:val="clear" w:color="auto" w:fill="DBDBDB"/>
          </w:tcPr>
          <w:p>
            <w:pPr>
              <w:spacing w:after="0"/>
              <w:rPr>
                <w:sz w:val="19"/>
                <w:szCs w:val="19"/>
                <w:color w:val="auto"/>
              </w:rPr>
            </w:pPr>
          </w:p>
        </w:tc>
        <w:tc>
          <w:tcPr>
            <w:tcW w:w="110" w:type="dxa"/>
            <w:vAlign w:val="bottom"/>
            <w:shd w:val="clear" w:color="auto" w:fill="DBDBDB"/>
          </w:tcPr>
          <w:p>
            <w:pPr>
              <w:jc w:val="right"/>
              <w:spacing w:after="0" w:line="225"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270" w:type="dxa"/>
            <w:vAlign w:val="bottom"/>
            <w:shd w:val="clear" w:color="auto" w:fill="DBDBDB"/>
          </w:tcPr>
          <w:p>
            <w:pPr>
              <w:jc w:val="right"/>
              <w:spacing w:after="0" w:line="225" w:lineRule="exact"/>
              <w:rPr>
                <w:sz w:val="20"/>
                <w:szCs w:val="20"/>
                <w:color w:val="auto"/>
              </w:rPr>
            </w:pPr>
            <w:r>
              <w:rPr>
                <w:rFonts w:ascii="Times New Roman" w:cs="Times New Roman" w:eastAsia="Times New Roman" w:hAnsi="Times New Roman"/>
                <w:sz w:val="20"/>
                <w:szCs w:val="20"/>
                <w:color w:val="auto"/>
              </w:rPr>
              <w:t>249,365</w:t>
            </w:r>
          </w:p>
        </w:tc>
        <w:tc>
          <w:tcPr>
            <w:tcW w:w="220" w:type="dxa"/>
            <w:vAlign w:val="bottom"/>
            <w:shd w:val="clear" w:color="auto" w:fill="DBDBDB"/>
          </w:tcPr>
          <w:p>
            <w:pPr>
              <w:spacing w:after="0"/>
              <w:rPr>
                <w:sz w:val="19"/>
                <w:szCs w:val="19"/>
                <w:color w:val="auto"/>
              </w:rPr>
            </w:pPr>
          </w:p>
        </w:tc>
        <w:tc>
          <w:tcPr>
            <w:tcW w:w="340" w:type="dxa"/>
            <w:vAlign w:val="bottom"/>
            <w:shd w:val="clear" w:color="auto" w:fill="DBDBDB"/>
          </w:tcPr>
          <w:p>
            <w:pPr>
              <w:jc w:val="right"/>
              <w:ind w:right="142"/>
              <w:spacing w:after="0" w:line="225"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060" w:type="dxa"/>
            <w:vAlign w:val="bottom"/>
            <w:shd w:val="clear" w:color="auto" w:fill="DBDBDB"/>
          </w:tcPr>
          <w:p>
            <w:pPr>
              <w:jc w:val="right"/>
              <w:spacing w:after="0" w:line="225" w:lineRule="exact"/>
              <w:rPr>
                <w:sz w:val="20"/>
                <w:szCs w:val="20"/>
                <w:color w:val="auto"/>
              </w:rPr>
            </w:pPr>
            <w:r>
              <w:rPr>
                <w:rFonts w:ascii="Times New Roman" w:cs="Times New Roman" w:eastAsia="Times New Roman" w:hAnsi="Times New Roman"/>
                <w:sz w:val="20"/>
                <w:szCs w:val="20"/>
                <w:color w:val="auto"/>
              </w:rPr>
              <w:t>217,646</w:t>
            </w:r>
          </w:p>
        </w:tc>
      </w:tr>
      <w:tr>
        <w:trPr>
          <w:trHeight w:val="240"/>
        </w:trPr>
        <w:tc>
          <w:tcPr>
            <w:tcW w:w="6000" w:type="dxa"/>
            <w:vAlign w:val="bottom"/>
            <w:tcBorders>
              <w:bottom w:val="single" w:sz="8" w:color="DBDBDB"/>
            </w:tcBorders>
            <w:gridSpan w:val="2"/>
          </w:tcPr>
          <w:p>
            <w:pPr>
              <w:ind w:left="20"/>
              <w:spacing w:after="0"/>
              <w:rPr>
                <w:sz w:val="20"/>
                <w:szCs w:val="20"/>
                <w:color w:val="auto"/>
              </w:rPr>
            </w:pPr>
            <w:r>
              <w:rPr>
                <w:rFonts w:ascii="Times New Roman" w:cs="Times New Roman" w:eastAsia="Times New Roman" w:hAnsi="Times New Roman"/>
                <w:sz w:val="20"/>
                <w:szCs w:val="20"/>
                <w:color w:val="auto"/>
              </w:rPr>
              <w:t>Cost of goods sold</w:t>
            </w: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318,802</w:t>
            </w:r>
          </w:p>
        </w:tc>
        <w:tc>
          <w:tcPr>
            <w:tcW w:w="220" w:type="dxa"/>
            <w:vAlign w:val="bottom"/>
            <w:tcBorders>
              <w:bottom w:val="single" w:sz="8" w:color="DBDBDB"/>
            </w:tcBorders>
          </w:tcPr>
          <w:p>
            <w:pPr>
              <w:spacing w:after="0"/>
              <w:rPr>
                <w:sz w:val="20"/>
                <w:szCs w:val="20"/>
                <w:color w:val="auto"/>
              </w:rPr>
            </w:pPr>
          </w:p>
        </w:tc>
        <w:tc>
          <w:tcPr>
            <w:tcW w:w="110" w:type="dxa"/>
            <w:vAlign w:val="bottom"/>
            <w:tcBorders>
              <w:bottom w:val="single" w:sz="8" w:color="auto"/>
            </w:tcBorders>
          </w:tcPr>
          <w:p>
            <w:pPr>
              <w:spacing w:after="0"/>
              <w:rPr>
                <w:sz w:val="20"/>
                <w:szCs w:val="20"/>
                <w:color w:val="auto"/>
              </w:rPr>
            </w:pPr>
          </w:p>
        </w:tc>
        <w:tc>
          <w:tcPr>
            <w:tcW w:w="127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187,565</w:t>
            </w:r>
          </w:p>
        </w:tc>
        <w:tc>
          <w:tcPr>
            <w:tcW w:w="220" w:type="dxa"/>
            <w:vAlign w:val="bottom"/>
            <w:tcBorders>
              <w:bottom w:val="single" w:sz="8" w:color="DBDBDB"/>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158,725</w:t>
            </w:r>
          </w:p>
        </w:tc>
      </w:tr>
      <w:tr>
        <w:trPr>
          <w:trHeight w:val="238"/>
        </w:trPr>
        <w:tc>
          <w:tcPr>
            <w:tcW w:w="5900" w:type="dxa"/>
            <w:vAlign w:val="bottom"/>
            <w:tcBorders>
              <w:bottom w:val="single" w:sz="8" w:color="DBDBDB"/>
            </w:tcBorders>
            <w:shd w:val="clear" w:color="auto" w:fill="DBDBDB"/>
          </w:tcPr>
          <w:p>
            <w:pPr>
              <w:ind w:left="20"/>
              <w:spacing w:after="0" w:line="218" w:lineRule="exact"/>
              <w:rPr>
                <w:sz w:val="20"/>
                <w:szCs w:val="20"/>
                <w:color w:val="auto"/>
              </w:rPr>
            </w:pPr>
            <w:r>
              <w:rPr>
                <w:rFonts w:ascii="Times New Roman" w:cs="Times New Roman" w:eastAsia="Times New Roman" w:hAnsi="Times New Roman"/>
                <w:sz w:val="20"/>
                <w:szCs w:val="20"/>
                <w:color w:val="auto"/>
              </w:rPr>
              <w:t>Gross profit</w:t>
            </w:r>
          </w:p>
        </w:tc>
        <w:tc>
          <w:tcPr>
            <w:tcW w:w="100" w:type="dxa"/>
            <w:vAlign w:val="bottom"/>
            <w:tcBorders>
              <w:bottom w:val="single" w:sz="8" w:color="DBDBDB"/>
            </w:tcBorders>
            <w:shd w:val="clear" w:color="auto" w:fill="DBDBDB"/>
          </w:tcPr>
          <w:p>
            <w:pPr>
              <w:spacing w:after="0"/>
              <w:rPr>
                <w:sz w:val="20"/>
                <w:szCs w:val="20"/>
                <w:color w:val="auto"/>
              </w:rPr>
            </w:pPr>
          </w:p>
        </w:tc>
        <w:tc>
          <w:tcPr>
            <w:tcW w:w="100" w:type="dxa"/>
            <w:vAlign w:val="bottom"/>
            <w:tcBorders>
              <w:bottom w:val="single" w:sz="8" w:color="auto"/>
            </w:tcBorders>
            <w:shd w:val="clear" w:color="auto" w:fill="DBDBDB"/>
          </w:tcPr>
          <w:p>
            <w:pPr>
              <w:spacing w:after="0"/>
              <w:rPr>
                <w:sz w:val="20"/>
                <w:szCs w:val="20"/>
                <w:color w:val="auto"/>
              </w:rPr>
            </w:pPr>
          </w:p>
        </w:tc>
        <w:tc>
          <w:tcPr>
            <w:tcW w:w="1280" w:type="dxa"/>
            <w:vAlign w:val="bottom"/>
            <w:tcBorders>
              <w:bottom w:val="single" w:sz="8" w:color="auto"/>
            </w:tcBorders>
            <w:shd w:val="clear" w:color="auto" w:fill="DBDBDB"/>
          </w:tcPr>
          <w:p>
            <w:pPr>
              <w:jc w:val="right"/>
              <w:spacing w:after="0" w:line="218" w:lineRule="exact"/>
              <w:rPr>
                <w:sz w:val="20"/>
                <w:szCs w:val="20"/>
                <w:color w:val="auto"/>
              </w:rPr>
            </w:pPr>
            <w:r>
              <w:rPr>
                <w:rFonts w:ascii="Times New Roman" w:cs="Times New Roman" w:eastAsia="Times New Roman" w:hAnsi="Times New Roman"/>
                <w:sz w:val="20"/>
                <w:szCs w:val="20"/>
                <w:color w:val="auto"/>
              </w:rPr>
              <w:t>136,913</w:t>
            </w:r>
          </w:p>
        </w:tc>
        <w:tc>
          <w:tcPr>
            <w:tcW w:w="220" w:type="dxa"/>
            <w:vAlign w:val="bottom"/>
            <w:tcBorders>
              <w:bottom w:val="single" w:sz="8" w:color="DBDBDB"/>
            </w:tcBorders>
            <w:shd w:val="clear" w:color="auto" w:fill="DBDBDB"/>
          </w:tcPr>
          <w:p>
            <w:pPr>
              <w:spacing w:after="0"/>
              <w:rPr>
                <w:sz w:val="20"/>
                <w:szCs w:val="20"/>
                <w:color w:val="auto"/>
              </w:rPr>
            </w:pPr>
          </w:p>
        </w:tc>
        <w:tc>
          <w:tcPr>
            <w:tcW w:w="110" w:type="dxa"/>
            <w:vAlign w:val="bottom"/>
            <w:tcBorders>
              <w:bottom w:val="single" w:sz="8" w:color="auto"/>
            </w:tcBorders>
            <w:shd w:val="clear" w:color="auto" w:fill="DBDBDB"/>
          </w:tcPr>
          <w:p>
            <w:pPr>
              <w:spacing w:after="0"/>
              <w:rPr>
                <w:sz w:val="20"/>
                <w:szCs w:val="20"/>
                <w:color w:val="auto"/>
              </w:rPr>
            </w:pPr>
          </w:p>
        </w:tc>
        <w:tc>
          <w:tcPr>
            <w:tcW w:w="1270" w:type="dxa"/>
            <w:vAlign w:val="bottom"/>
            <w:tcBorders>
              <w:bottom w:val="single" w:sz="8" w:color="auto"/>
            </w:tcBorders>
            <w:shd w:val="clear" w:color="auto" w:fill="DBDBDB"/>
          </w:tcPr>
          <w:p>
            <w:pPr>
              <w:jc w:val="right"/>
              <w:spacing w:after="0" w:line="218" w:lineRule="exact"/>
              <w:rPr>
                <w:sz w:val="20"/>
                <w:szCs w:val="20"/>
                <w:color w:val="auto"/>
              </w:rPr>
            </w:pPr>
            <w:r>
              <w:rPr>
                <w:rFonts w:ascii="Times New Roman" w:cs="Times New Roman" w:eastAsia="Times New Roman" w:hAnsi="Times New Roman"/>
                <w:sz w:val="20"/>
                <w:szCs w:val="20"/>
                <w:color w:val="auto"/>
              </w:rPr>
              <w:t>61,800</w:t>
            </w:r>
          </w:p>
        </w:tc>
        <w:tc>
          <w:tcPr>
            <w:tcW w:w="220" w:type="dxa"/>
            <w:vAlign w:val="bottom"/>
            <w:tcBorders>
              <w:bottom w:val="single" w:sz="8" w:color="DBDBDB"/>
            </w:tcBorders>
            <w:shd w:val="clear" w:color="auto" w:fill="DBDBDB"/>
          </w:tcPr>
          <w:p>
            <w:pPr>
              <w:spacing w:after="0"/>
              <w:rPr>
                <w:sz w:val="20"/>
                <w:szCs w:val="20"/>
                <w:color w:val="auto"/>
              </w:rPr>
            </w:pPr>
          </w:p>
        </w:tc>
        <w:tc>
          <w:tcPr>
            <w:tcW w:w="340" w:type="dxa"/>
            <w:vAlign w:val="bottom"/>
            <w:tcBorders>
              <w:bottom w:val="single" w:sz="8" w:color="auto"/>
            </w:tcBorders>
            <w:shd w:val="clear" w:color="auto" w:fill="DBDBDB"/>
          </w:tcPr>
          <w:p>
            <w:pPr>
              <w:spacing w:after="0"/>
              <w:rPr>
                <w:sz w:val="20"/>
                <w:szCs w:val="20"/>
                <w:color w:val="auto"/>
              </w:rPr>
            </w:pPr>
          </w:p>
        </w:tc>
        <w:tc>
          <w:tcPr>
            <w:tcW w:w="1060" w:type="dxa"/>
            <w:vAlign w:val="bottom"/>
            <w:tcBorders>
              <w:bottom w:val="single" w:sz="8" w:color="auto"/>
            </w:tcBorders>
            <w:shd w:val="clear" w:color="auto" w:fill="DBDBDB"/>
          </w:tcPr>
          <w:p>
            <w:pPr>
              <w:jc w:val="right"/>
              <w:spacing w:after="0" w:line="218" w:lineRule="exact"/>
              <w:rPr>
                <w:sz w:val="20"/>
                <w:szCs w:val="20"/>
                <w:color w:val="auto"/>
              </w:rPr>
            </w:pPr>
            <w:r>
              <w:rPr>
                <w:rFonts w:ascii="Times New Roman" w:cs="Times New Roman" w:eastAsia="Times New Roman" w:hAnsi="Times New Roman"/>
                <w:sz w:val="20"/>
                <w:szCs w:val="20"/>
                <w:color w:val="auto"/>
              </w:rPr>
              <w:t>58,921</w:t>
            </w:r>
          </w:p>
        </w:tc>
      </w:tr>
      <w:tr>
        <w:trPr>
          <w:trHeight w:val="214"/>
        </w:trPr>
        <w:tc>
          <w:tcPr>
            <w:tcW w:w="5900" w:type="dxa"/>
            <w:vAlign w:val="bottom"/>
          </w:tcPr>
          <w:p>
            <w:pPr>
              <w:ind w:left="20"/>
              <w:spacing w:after="0" w:line="214" w:lineRule="exact"/>
              <w:rPr>
                <w:sz w:val="20"/>
                <w:szCs w:val="20"/>
                <w:color w:val="auto"/>
              </w:rPr>
            </w:pPr>
            <w:r>
              <w:rPr>
                <w:rFonts w:ascii="Times New Roman" w:cs="Times New Roman" w:eastAsia="Times New Roman" w:hAnsi="Times New Roman"/>
                <w:sz w:val="20"/>
                <w:szCs w:val="20"/>
                <w:color w:val="auto"/>
              </w:rPr>
              <w:t>Operating expenses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27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5"/>
        </w:trPr>
        <w:tc>
          <w:tcPr>
            <w:tcW w:w="5900" w:type="dxa"/>
            <w:vAlign w:val="bottom"/>
            <w:shd w:val="clear" w:color="auto" w:fill="DBDBDB"/>
          </w:tcPr>
          <w:p>
            <w:pPr>
              <w:ind w:left="180"/>
              <w:spacing w:after="0"/>
              <w:rPr>
                <w:sz w:val="20"/>
                <w:szCs w:val="20"/>
                <w:color w:val="auto"/>
              </w:rPr>
            </w:pPr>
            <w:r>
              <w:rPr>
                <w:rFonts w:ascii="Times New Roman" w:cs="Times New Roman" w:eastAsia="Times New Roman" w:hAnsi="Times New Roman"/>
                <w:sz w:val="20"/>
                <w:szCs w:val="20"/>
                <w:color w:val="auto"/>
              </w:rPr>
              <w:t>Research and development</w:t>
            </w:r>
          </w:p>
        </w:tc>
        <w:tc>
          <w:tcPr>
            <w:tcW w:w="10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2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85,507</w:t>
            </w:r>
          </w:p>
        </w:tc>
        <w:tc>
          <w:tcPr>
            <w:tcW w:w="220" w:type="dxa"/>
            <w:vAlign w:val="bottom"/>
            <w:shd w:val="clear" w:color="auto" w:fill="DBDBDB"/>
          </w:tcPr>
          <w:p>
            <w:pPr>
              <w:spacing w:after="0"/>
              <w:rPr>
                <w:sz w:val="20"/>
                <w:szCs w:val="20"/>
                <w:color w:val="auto"/>
              </w:rPr>
            </w:pPr>
          </w:p>
        </w:tc>
        <w:tc>
          <w:tcPr>
            <w:tcW w:w="110" w:type="dxa"/>
            <w:vAlign w:val="bottom"/>
            <w:shd w:val="clear" w:color="auto" w:fill="DBDBDB"/>
          </w:tcPr>
          <w:p>
            <w:pPr>
              <w:spacing w:after="0"/>
              <w:rPr>
                <w:sz w:val="20"/>
                <w:szCs w:val="20"/>
                <w:color w:val="auto"/>
              </w:rPr>
            </w:pPr>
          </w:p>
        </w:tc>
        <w:tc>
          <w:tcPr>
            <w:tcW w:w="127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54,955</w:t>
            </w:r>
          </w:p>
        </w:tc>
        <w:tc>
          <w:tcPr>
            <w:tcW w:w="220" w:type="dxa"/>
            <w:vAlign w:val="bottom"/>
            <w:shd w:val="clear" w:color="auto" w:fill="DBDBDB"/>
          </w:tcPr>
          <w:p>
            <w:pPr>
              <w:spacing w:after="0"/>
              <w:rPr>
                <w:sz w:val="20"/>
                <w:szCs w:val="20"/>
                <w:color w:val="auto"/>
              </w:rPr>
            </w:pPr>
          </w:p>
        </w:tc>
        <w:tc>
          <w:tcPr>
            <w:tcW w:w="340" w:type="dxa"/>
            <w:vAlign w:val="bottom"/>
            <w:shd w:val="clear" w:color="auto" w:fill="DBDBDB"/>
          </w:tcPr>
          <w:p>
            <w:pPr>
              <w:spacing w:after="0"/>
              <w:rPr>
                <w:sz w:val="20"/>
                <w:szCs w:val="20"/>
                <w:color w:val="auto"/>
              </w:rPr>
            </w:pPr>
          </w:p>
        </w:tc>
        <w:tc>
          <w:tcPr>
            <w:tcW w:w="10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35,975</w:t>
            </w:r>
          </w:p>
        </w:tc>
      </w:tr>
      <w:tr>
        <w:trPr>
          <w:trHeight w:val="235"/>
        </w:trPr>
        <w:tc>
          <w:tcPr>
            <w:tcW w:w="60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Sales and marketing</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30,267</w:t>
            </w:r>
          </w:p>
        </w:tc>
        <w:tc>
          <w:tcPr>
            <w:tcW w:w="220" w:type="dxa"/>
            <w:vAlign w:val="bottom"/>
          </w:tcPr>
          <w:p>
            <w:pPr>
              <w:spacing w:after="0"/>
              <w:rPr>
                <w:sz w:val="20"/>
                <w:szCs w:val="20"/>
                <w:color w:val="auto"/>
              </w:rPr>
            </w:pPr>
          </w:p>
        </w:tc>
        <w:tc>
          <w:tcPr>
            <w:tcW w:w="110" w:type="dxa"/>
            <w:vAlign w:val="bottom"/>
          </w:tcPr>
          <w:p>
            <w:pPr>
              <w:spacing w:after="0"/>
              <w:rPr>
                <w:sz w:val="20"/>
                <w:szCs w:val="20"/>
                <w:color w:val="auto"/>
              </w:rPr>
            </w:pPr>
          </w:p>
        </w:tc>
        <w:tc>
          <w:tcPr>
            <w:tcW w:w="127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18,154</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11,069</w:t>
            </w:r>
          </w:p>
        </w:tc>
      </w:tr>
      <w:tr>
        <w:trPr>
          <w:trHeight w:val="248"/>
        </w:trPr>
        <w:tc>
          <w:tcPr>
            <w:tcW w:w="5900" w:type="dxa"/>
            <w:vAlign w:val="bottom"/>
            <w:tcBorders>
              <w:bottom w:val="single" w:sz="8" w:color="DBDBDB"/>
            </w:tcBorders>
            <w:shd w:val="clear" w:color="auto" w:fill="DBDBDB"/>
          </w:tcPr>
          <w:p>
            <w:pPr>
              <w:ind w:left="180"/>
              <w:spacing w:after="0" w:line="229" w:lineRule="exact"/>
              <w:rPr>
                <w:sz w:val="20"/>
                <w:szCs w:val="20"/>
                <w:color w:val="auto"/>
              </w:rPr>
            </w:pPr>
            <w:r>
              <w:rPr>
                <w:rFonts w:ascii="Times New Roman" w:cs="Times New Roman" w:eastAsia="Times New Roman" w:hAnsi="Times New Roman"/>
                <w:sz w:val="20"/>
                <w:szCs w:val="20"/>
                <w:color w:val="auto"/>
              </w:rPr>
              <w:t>General and administrative</w:t>
            </w:r>
          </w:p>
        </w:tc>
        <w:tc>
          <w:tcPr>
            <w:tcW w:w="10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auto"/>
            </w:tcBorders>
            <w:shd w:val="clear" w:color="auto" w:fill="DBDBDB"/>
          </w:tcPr>
          <w:p>
            <w:pPr>
              <w:spacing w:after="0"/>
              <w:rPr>
                <w:sz w:val="21"/>
                <w:szCs w:val="21"/>
                <w:color w:val="auto"/>
              </w:rPr>
            </w:pPr>
          </w:p>
        </w:tc>
        <w:tc>
          <w:tcPr>
            <w:tcW w:w="1280" w:type="dxa"/>
            <w:vAlign w:val="bottom"/>
            <w:tcBorders>
              <w:bottom w:val="single" w:sz="8" w:color="auto"/>
            </w:tcBorders>
            <w:shd w:val="clear" w:color="auto" w:fill="DBDBDB"/>
          </w:tcPr>
          <w:p>
            <w:pPr>
              <w:jc w:val="right"/>
              <w:spacing w:after="0" w:line="229" w:lineRule="exact"/>
              <w:rPr>
                <w:sz w:val="20"/>
                <w:szCs w:val="20"/>
                <w:color w:val="auto"/>
              </w:rPr>
            </w:pPr>
            <w:r>
              <w:rPr>
                <w:rFonts w:ascii="Times New Roman" w:cs="Times New Roman" w:eastAsia="Times New Roman" w:hAnsi="Times New Roman"/>
                <w:sz w:val="20"/>
                <w:szCs w:val="20"/>
                <w:color w:val="auto"/>
              </w:rPr>
              <w:t>75,741</w:t>
            </w:r>
          </w:p>
        </w:tc>
        <w:tc>
          <w:tcPr>
            <w:tcW w:w="220" w:type="dxa"/>
            <w:vAlign w:val="bottom"/>
            <w:tcBorders>
              <w:bottom w:val="single" w:sz="8" w:color="DBDBDB"/>
            </w:tcBorders>
            <w:shd w:val="clear" w:color="auto" w:fill="DBDBDB"/>
          </w:tcPr>
          <w:p>
            <w:pPr>
              <w:spacing w:after="0"/>
              <w:rPr>
                <w:sz w:val="21"/>
                <w:szCs w:val="21"/>
                <w:color w:val="auto"/>
              </w:rPr>
            </w:pPr>
          </w:p>
        </w:tc>
        <w:tc>
          <w:tcPr>
            <w:tcW w:w="110" w:type="dxa"/>
            <w:vAlign w:val="bottom"/>
            <w:tcBorders>
              <w:bottom w:val="single" w:sz="8" w:color="auto"/>
            </w:tcBorders>
            <w:shd w:val="clear" w:color="auto" w:fill="DBDBDB"/>
          </w:tcPr>
          <w:p>
            <w:pPr>
              <w:spacing w:after="0"/>
              <w:rPr>
                <w:sz w:val="21"/>
                <w:szCs w:val="21"/>
                <w:color w:val="auto"/>
              </w:rPr>
            </w:pPr>
          </w:p>
        </w:tc>
        <w:tc>
          <w:tcPr>
            <w:tcW w:w="1270" w:type="dxa"/>
            <w:vAlign w:val="bottom"/>
            <w:tcBorders>
              <w:bottom w:val="single" w:sz="8" w:color="auto"/>
            </w:tcBorders>
            <w:shd w:val="clear" w:color="auto" w:fill="DBDBDB"/>
          </w:tcPr>
          <w:p>
            <w:pPr>
              <w:jc w:val="right"/>
              <w:spacing w:after="0" w:line="229" w:lineRule="exact"/>
              <w:rPr>
                <w:sz w:val="20"/>
                <w:szCs w:val="20"/>
                <w:color w:val="auto"/>
              </w:rPr>
            </w:pPr>
            <w:r>
              <w:rPr>
                <w:rFonts w:ascii="Times New Roman" w:cs="Times New Roman" w:eastAsia="Times New Roman" w:hAnsi="Times New Roman"/>
                <w:sz w:val="20"/>
                <w:szCs w:val="20"/>
                <w:color w:val="auto"/>
              </w:rPr>
              <w:t>59,599</w:t>
            </w:r>
          </w:p>
        </w:tc>
        <w:tc>
          <w:tcPr>
            <w:tcW w:w="220" w:type="dxa"/>
            <w:vAlign w:val="bottom"/>
            <w:tcBorders>
              <w:bottom w:val="single" w:sz="8" w:color="DBDBDB"/>
            </w:tcBorders>
            <w:shd w:val="clear" w:color="auto" w:fill="DBDBDB"/>
          </w:tcPr>
          <w:p>
            <w:pPr>
              <w:spacing w:after="0"/>
              <w:rPr>
                <w:sz w:val="21"/>
                <w:szCs w:val="21"/>
                <w:color w:val="auto"/>
              </w:rPr>
            </w:pPr>
          </w:p>
        </w:tc>
        <w:tc>
          <w:tcPr>
            <w:tcW w:w="340" w:type="dxa"/>
            <w:vAlign w:val="bottom"/>
            <w:tcBorders>
              <w:bottom w:val="single" w:sz="8" w:color="auto"/>
            </w:tcBorders>
            <w:shd w:val="clear" w:color="auto" w:fill="DBDBDB"/>
          </w:tcPr>
          <w:p>
            <w:pPr>
              <w:spacing w:after="0"/>
              <w:rPr>
                <w:sz w:val="21"/>
                <w:szCs w:val="21"/>
                <w:color w:val="auto"/>
              </w:rPr>
            </w:pPr>
          </w:p>
        </w:tc>
        <w:tc>
          <w:tcPr>
            <w:tcW w:w="1060" w:type="dxa"/>
            <w:vAlign w:val="bottom"/>
            <w:tcBorders>
              <w:bottom w:val="single" w:sz="8" w:color="auto"/>
            </w:tcBorders>
            <w:shd w:val="clear" w:color="auto" w:fill="DBDBDB"/>
          </w:tcPr>
          <w:p>
            <w:pPr>
              <w:jc w:val="right"/>
              <w:spacing w:after="0" w:line="229" w:lineRule="exact"/>
              <w:rPr>
                <w:sz w:val="20"/>
                <w:szCs w:val="20"/>
                <w:color w:val="auto"/>
              </w:rPr>
            </w:pPr>
            <w:r>
              <w:rPr>
                <w:rFonts w:ascii="Times New Roman" w:cs="Times New Roman" w:eastAsia="Times New Roman" w:hAnsi="Times New Roman"/>
                <w:sz w:val="20"/>
                <w:szCs w:val="20"/>
                <w:color w:val="auto"/>
              </w:rPr>
              <w:t>53,226</w:t>
            </w:r>
          </w:p>
        </w:tc>
      </w:tr>
      <w:tr>
        <w:trPr>
          <w:trHeight w:val="219"/>
        </w:trPr>
        <w:tc>
          <w:tcPr>
            <w:tcW w:w="5900" w:type="dxa"/>
            <w:vAlign w:val="bottom"/>
            <w:tcBorders>
              <w:bottom w:val="single" w:sz="8" w:color="DBDBDB"/>
            </w:tcBorders>
          </w:tcPr>
          <w:p>
            <w:pPr>
              <w:ind w:left="20"/>
              <w:spacing w:after="0" w:line="219" w:lineRule="exact"/>
              <w:rPr>
                <w:sz w:val="20"/>
                <w:szCs w:val="20"/>
                <w:color w:val="auto"/>
              </w:rPr>
            </w:pPr>
            <w:r>
              <w:rPr>
                <w:rFonts w:ascii="Times New Roman" w:cs="Times New Roman" w:eastAsia="Times New Roman" w:hAnsi="Times New Roman"/>
                <w:sz w:val="20"/>
                <w:szCs w:val="20"/>
                <w:color w:val="auto"/>
              </w:rPr>
              <w:t>Total operating expenses</w:t>
            </w:r>
          </w:p>
        </w:tc>
        <w:tc>
          <w:tcPr>
            <w:tcW w:w="100" w:type="dxa"/>
            <w:vAlign w:val="bottom"/>
            <w:tcBorders>
              <w:bottom w:val="single" w:sz="8" w:color="DBDBDB"/>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191,515</w:t>
            </w:r>
          </w:p>
        </w:tc>
        <w:tc>
          <w:tcPr>
            <w:tcW w:w="220" w:type="dxa"/>
            <w:vAlign w:val="bottom"/>
            <w:tcBorders>
              <w:bottom w:val="single" w:sz="8" w:color="DBDBDB"/>
            </w:tcBorders>
          </w:tcPr>
          <w:p>
            <w:pPr>
              <w:spacing w:after="0"/>
              <w:rPr>
                <w:sz w:val="19"/>
                <w:szCs w:val="19"/>
                <w:color w:val="auto"/>
              </w:rPr>
            </w:pPr>
          </w:p>
        </w:tc>
        <w:tc>
          <w:tcPr>
            <w:tcW w:w="110" w:type="dxa"/>
            <w:vAlign w:val="bottom"/>
            <w:tcBorders>
              <w:bottom w:val="single" w:sz="8" w:color="auto"/>
            </w:tcBorders>
          </w:tcPr>
          <w:p>
            <w:pPr>
              <w:spacing w:after="0"/>
              <w:rPr>
                <w:sz w:val="19"/>
                <w:szCs w:val="19"/>
                <w:color w:val="auto"/>
              </w:rPr>
            </w:pPr>
          </w:p>
        </w:tc>
        <w:tc>
          <w:tcPr>
            <w:tcW w:w="127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132,708</w:t>
            </w:r>
          </w:p>
        </w:tc>
        <w:tc>
          <w:tcPr>
            <w:tcW w:w="220" w:type="dxa"/>
            <w:vAlign w:val="bottom"/>
            <w:tcBorders>
              <w:bottom w:val="single" w:sz="8" w:color="DBDBD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100,270</w:t>
            </w:r>
          </w:p>
        </w:tc>
      </w:tr>
      <w:tr>
        <w:trPr>
          <w:trHeight w:val="238"/>
        </w:trPr>
        <w:tc>
          <w:tcPr>
            <w:tcW w:w="5900" w:type="dxa"/>
            <w:vAlign w:val="bottom"/>
            <w:tcBorders>
              <w:bottom w:val="single" w:sz="8" w:color="DBDBDB"/>
            </w:tcBorders>
            <w:shd w:val="clear" w:color="auto" w:fill="DBDBDB"/>
          </w:tcPr>
          <w:p>
            <w:pPr>
              <w:ind w:left="20"/>
              <w:spacing w:after="0" w:line="218" w:lineRule="exact"/>
              <w:rPr>
                <w:sz w:val="20"/>
                <w:szCs w:val="20"/>
                <w:color w:val="auto"/>
              </w:rPr>
            </w:pPr>
            <w:r>
              <w:rPr>
                <w:rFonts w:ascii="Times New Roman" w:cs="Times New Roman" w:eastAsia="Times New Roman" w:hAnsi="Times New Roman"/>
                <w:sz w:val="20"/>
                <w:szCs w:val="20"/>
                <w:color w:val="auto"/>
              </w:rPr>
              <w:t>Loss from operations</w:t>
            </w:r>
          </w:p>
        </w:tc>
        <w:tc>
          <w:tcPr>
            <w:tcW w:w="100" w:type="dxa"/>
            <w:vAlign w:val="bottom"/>
            <w:tcBorders>
              <w:bottom w:val="single" w:sz="8" w:color="DBDBDB"/>
            </w:tcBorders>
            <w:shd w:val="clear" w:color="auto" w:fill="DBDBDB"/>
          </w:tcPr>
          <w:p>
            <w:pPr>
              <w:spacing w:after="0"/>
              <w:rPr>
                <w:sz w:val="20"/>
                <w:szCs w:val="20"/>
                <w:color w:val="auto"/>
              </w:rPr>
            </w:pPr>
          </w:p>
        </w:tc>
        <w:tc>
          <w:tcPr>
            <w:tcW w:w="100" w:type="dxa"/>
            <w:vAlign w:val="bottom"/>
            <w:tcBorders>
              <w:bottom w:val="single" w:sz="8" w:color="auto"/>
            </w:tcBorders>
            <w:shd w:val="clear" w:color="auto" w:fill="DBDBDB"/>
          </w:tcPr>
          <w:p>
            <w:pPr>
              <w:spacing w:after="0"/>
              <w:rPr>
                <w:sz w:val="20"/>
                <w:szCs w:val="20"/>
                <w:color w:val="auto"/>
              </w:rPr>
            </w:pPr>
          </w:p>
        </w:tc>
        <w:tc>
          <w:tcPr>
            <w:tcW w:w="1280" w:type="dxa"/>
            <w:vAlign w:val="bottom"/>
            <w:tcBorders>
              <w:bottom w:val="single" w:sz="8" w:color="auto"/>
            </w:tcBorders>
            <w:shd w:val="clear" w:color="auto" w:fill="DBDBDB"/>
          </w:tcPr>
          <w:p>
            <w:pPr>
              <w:jc w:val="right"/>
              <w:spacing w:after="0" w:line="218" w:lineRule="exact"/>
              <w:rPr>
                <w:sz w:val="20"/>
                <w:szCs w:val="20"/>
                <w:color w:val="auto"/>
              </w:rPr>
            </w:pPr>
            <w:r>
              <w:rPr>
                <w:rFonts w:ascii="Times New Roman" w:cs="Times New Roman" w:eastAsia="Times New Roman" w:hAnsi="Times New Roman"/>
                <w:sz w:val="20"/>
                <w:szCs w:val="20"/>
                <w:color w:val="auto"/>
              </w:rPr>
              <w:t>(54,602)</w:t>
            </w:r>
          </w:p>
        </w:tc>
        <w:tc>
          <w:tcPr>
            <w:tcW w:w="220" w:type="dxa"/>
            <w:vAlign w:val="bottom"/>
            <w:tcBorders>
              <w:bottom w:val="single" w:sz="8" w:color="DBDBDB"/>
            </w:tcBorders>
            <w:shd w:val="clear" w:color="auto" w:fill="DBDBDB"/>
          </w:tcPr>
          <w:p>
            <w:pPr>
              <w:spacing w:after="0"/>
              <w:rPr>
                <w:sz w:val="20"/>
                <w:szCs w:val="20"/>
                <w:color w:val="auto"/>
              </w:rPr>
            </w:pPr>
          </w:p>
        </w:tc>
        <w:tc>
          <w:tcPr>
            <w:tcW w:w="110" w:type="dxa"/>
            <w:vAlign w:val="bottom"/>
            <w:tcBorders>
              <w:bottom w:val="single" w:sz="8" w:color="auto"/>
            </w:tcBorders>
            <w:shd w:val="clear" w:color="auto" w:fill="DBDBDB"/>
          </w:tcPr>
          <w:p>
            <w:pPr>
              <w:spacing w:after="0"/>
              <w:rPr>
                <w:sz w:val="20"/>
                <w:szCs w:val="20"/>
                <w:color w:val="auto"/>
              </w:rPr>
            </w:pPr>
          </w:p>
        </w:tc>
        <w:tc>
          <w:tcPr>
            <w:tcW w:w="1270" w:type="dxa"/>
            <w:vAlign w:val="bottom"/>
            <w:tcBorders>
              <w:bottom w:val="single" w:sz="8" w:color="auto"/>
            </w:tcBorders>
            <w:shd w:val="clear" w:color="auto" w:fill="DBDBDB"/>
          </w:tcPr>
          <w:p>
            <w:pPr>
              <w:jc w:val="right"/>
              <w:spacing w:after="0" w:line="218" w:lineRule="exact"/>
              <w:rPr>
                <w:sz w:val="20"/>
                <w:szCs w:val="20"/>
                <w:color w:val="auto"/>
              </w:rPr>
            </w:pPr>
            <w:r>
              <w:rPr>
                <w:rFonts w:ascii="Times New Roman" w:cs="Times New Roman" w:eastAsia="Times New Roman" w:hAnsi="Times New Roman"/>
                <w:sz w:val="20"/>
                <w:szCs w:val="20"/>
                <w:color w:val="auto"/>
              </w:rPr>
              <w:t>(70,908)</w:t>
            </w:r>
          </w:p>
        </w:tc>
        <w:tc>
          <w:tcPr>
            <w:tcW w:w="220" w:type="dxa"/>
            <w:vAlign w:val="bottom"/>
            <w:tcBorders>
              <w:bottom w:val="single" w:sz="8" w:color="DBDBDB"/>
            </w:tcBorders>
            <w:shd w:val="clear" w:color="auto" w:fill="DBDBDB"/>
          </w:tcPr>
          <w:p>
            <w:pPr>
              <w:spacing w:after="0"/>
              <w:rPr>
                <w:sz w:val="20"/>
                <w:szCs w:val="20"/>
                <w:color w:val="auto"/>
              </w:rPr>
            </w:pPr>
          </w:p>
        </w:tc>
        <w:tc>
          <w:tcPr>
            <w:tcW w:w="340" w:type="dxa"/>
            <w:vAlign w:val="bottom"/>
            <w:tcBorders>
              <w:bottom w:val="single" w:sz="8" w:color="auto"/>
            </w:tcBorders>
            <w:shd w:val="clear" w:color="auto" w:fill="DBDBDB"/>
          </w:tcPr>
          <w:p>
            <w:pPr>
              <w:spacing w:after="0"/>
              <w:rPr>
                <w:sz w:val="20"/>
                <w:szCs w:val="20"/>
                <w:color w:val="auto"/>
              </w:rPr>
            </w:pPr>
          </w:p>
        </w:tc>
        <w:tc>
          <w:tcPr>
            <w:tcW w:w="1060" w:type="dxa"/>
            <w:vAlign w:val="bottom"/>
            <w:tcBorders>
              <w:bottom w:val="single" w:sz="8" w:color="auto"/>
            </w:tcBorders>
            <w:shd w:val="clear" w:color="auto" w:fill="DBDBDB"/>
          </w:tcPr>
          <w:p>
            <w:pPr>
              <w:jc w:val="right"/>
              <w:spacing w:after="0" w:line="218" w:lineRule="exact"/>
              <w:rPr>
                <w:sz w:val="20"/>
                <w:szCs w:val="20"/>
                <w:color w:val="auto"/>
              </w:rPr>
            </w:pPr>
            <w:r>
              <w:rPr>
                <w:rFonts w:ascii="Times New Roman" w:cs="Times New Roman" w:eastAsia="Times New Roman" w:hAnsi="Times New Roman"/>
                <w:sz w:val="20"/>
                <w:szCs w:val="20"/>
                <w:color w:val="auto"/>
              </w:rPr>
              <w:t>(41,349)</w:t>
            </w:r>
          </w:p>
        </w:tc>
      </w:tr>
      <w:tr>
        <w:trPr>
          <w:trHeight w:val="214"/>
        </w:trPr>
        <w:tc>
          <w:tcPr>
            <w:tcW w:w="5900" w:type="dxa"/>
            <w:vAlign w:val="bottom"/>
          </w:tcPr>
          <w:p>
            <w:pPr>
              <w:ind w:left="20"/>
              <w:spacing w:after="0" w:line="214" w:lineRule="exact"/>
              <w:rPr>
                <w:sz w:val="20"/>
                <w:szCs w:val="20"/>
                <w:color w:val="auto"/>
              </w:rPr>
            </w:pPr>
            <w:r>
              <w:rPr>
                <w:rFonts w:ascii="Times New Roman" w:cs="Times New Roman" w:eastAsia="Times New Roman" w:hAnsi="Times New Roman"/>
                <w:sz w:val="20"/>
                <w:szCs w:val="20"/>
                <w:color w:val="auto"/>
              </w:rPr>
              <w:t>Other income (expense)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27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5"/>
        </w:trPr>
        <w:tc>
          <w:tcPr>
            <w:tcW w:w="5900" w:type="dxa"/>
            <w:vAlign w:val="bottom"/>
            <w:shd w:val="clear" w:color="auto" w:fill="DBDBDB"/>
          </w:tcPr>
          <w:p>
            <w:pPr>
              <w:ind w:left="180"/>
              <w:spacing w:after="0"/>
              <w:rPr>
                <w:sz w:val="20"/>
                <w:szCs w:val="20"/>
                <w:color w:val="auto"/>
              </w:rPr>
            </w:pPr>
            <w:r>
              <w:rPr>
                <w:rFonts w:ascii="Times New Roman" w:cs="Times New Roman" w:eastAsia="Times New Roman" w:hAnsi="Times New Roman"/>
                <w:sz w:val="20"/>
                <w:szCs w:val="20"/>
                <w:color w:val="auto"/>
              </w:rPr>
              <w:t>Interest income</w:t>
            </w:r>
          </w:p>
        </w:tc>
        <w:tc>
          <w:tcPr>
            <w:tcW w:w="10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2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1,792</w:t>
            </w:r>
          </w:p>
        </w:tc>
        <w:tc>
          <w:tcPr>
            <w:tcW w:w="220" w:type="dxa"/>
            <w:vAlign w:val="bottom"/>
            <w:shd w:val="clear" w:color="auto" w:fill="DBDBDB"/>
          </w:tcPr>
          <w:p>
            <w:pPr>
              <w:spacing w:after="0"/>
              <w:rPr>
                <w:sz w:val="20"/>
                <w:szCs w:val="20"/>
                <w:color w:val="auto"/>
              </w:rPr>
            </w:pPr>
          </w:p>
        </w:tc>
        <w:tc>
          <w:tcPr>
            <w:tcW w:w="110" w:type="dxa"/>
            <w:vAlign w:val="bottom"/>
            <w:shd w:val="clear" w:color="auto" w:fill="DBDBDB"/>
          </w:tcPr>
          <w:p>
            <w:pPr>
              <w:spacing w:after="0"/>
              <w:rPr>
                <w:sz w:val="20"/>
                <w:szCs w:val="20"/>
                <w:color w:val="auto"/>
              </w:rPr>
            </w:pPr>
          </w:p>
        </w:tc>
        <w:tc>
          <w:tcPr>
            <w:tcW w:w="127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874</w:t>
            </w:r>
          </w:p>
        </w:tc>
        <w:tc>
          <w:tcPr>
            <w:tcW w:w="220" w:type="dxa"/>
            <w:vAlign w:val="bottom"/>
            <w:shd w:val="clear" w:color="auto" w:fill="DBDBDB"/>
          </w:tcPr>
          <w:p>
            <w:pPr>
              <w:spacing w:after="0"/>
              <w:rPr>
                <w:sz w:val="20"/>
                <w:szCs w:val="20"/>
                <w:color w:val="auto"/>
              </w:rPr>
            </w:pPr>
          </w:p>
        </w:tc>
        <w:tc>
          <w:tcPr>
            <w:tcW w:w="340" w:type="dxa"/>
            <w:vAlign w:val="bottom"/>
            <w:shd w:val="clear" w:color="auto" w:fill="DBDBDB"/>
          </w:tcPr>
          <w:p>
            <w:pPr>
              <w:spacing w:after="0"/>
              <w:rPr>
                <w:sz w:val="20"/>
                <w:szCs w:val="20"/>
                <w:color w:val="auto"/>
              </w:rPr>
            </w:pPr>
          </w:p>
        </w:tc>
        <w:tc>
          <w:tcPr>
            <w:tcW w:w="10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609</w:t>
            </w:r>
          </w:p>
        </w:tc>
      </w:tr>
      <w:tr>
        <w:trPr>
          <w:trHeight w:val="235"/>
        </w:trPr>
        <w:tc>
          <w:tcPr>
            <w:tcW w:w="60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Interest expense</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(3,497)</w:t>
            </w:r>
          </w:p>
        </w:tc>
        <w:tc>
          <w:tcPr>
            <w:tcW w:w="220" w:type="dxa"/>
            <w:vAlign w:val="bottom"/>
          </w:tcPr>
          <w:p>
            <w:pPr>
              <w:spacing w:after="0"/>
              <w:rPr>
                <w:sz w:val="20"/>
                <w:szCs w:val="20"/>
                <w:color w:val="auto"/>
              </w:rPr>
            </w:pPr>
          </w:p>
        </w:tc>
        <w:tc>
          <w:tcPr>
            <w:tcW w:w="110" w:type="dxa"/>
            <w:vAlign w:val="bottom"/>
          </w:tcPr>
          <w:p>
            <w:pPr>
              <w:spacing w:after="0"/>
              <w:rPr>
                <w:sz w:val="20"/>
                <w:szCs w:val="20"/>
                <w:color w:val="auto"/>
              </w:rPr>
            </w:pPr>
          </w:p>
        </w:tc>
        <w:tc>
          <w:tcPr>
            <w:tcW w:w="127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(6,826)</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(9,428)</w:t>
            </w:r>
          </w:p>
        </w:tc>
      </w:tr>
      <w:tr>
        <w:trPr>
          <w:trHeight w:val="257"/>
        </w:trPr>
        <w:tc>
          <w:tcPr>
            <w:tcW w:w="5900" w:type="dxa"/>
            <w:vAlign w:val="bottom"/>
            <w:tcBorders>
              <w:bottom w:val="single" w:sz="8" w:color="DBDBDB"/>
            </w:tcBorders>
            <w:shd w:val="clear" w:color="auto" w:fill="DBDBDB"/>
          </w:tcPr>
          <w:p>
            <w:pPr>
              <w:ind w:left="180"/>
              <w:spacing w:after="0"/>
              <w:rPr>
                <w:sz w:val="20"/>
                <w:szCs w:val="20"/>
                <w:color w:val="auto"/>
              </w:rPr>
            </w:pPr>
            <w:r>
              <w:rPr>
                <w:rFonts w:ascii="Times New Roman" w:cs="Times New Roman" w:eastAsia="Times New Roman" w:hAnsi="Times New Roman"/>
                <w:sz w:val="20"/>
                <w:szCs w:val="20"/>
                <w:color w:val="auto"/>
              </w:rPr>
              <w:t>Other income (expense), net</w:t>
            </w:r>
          </w:p>
        </w:tc>
        <w:tc>
          <w:tcPr>
            <w:tcW w:w="100" w:type="dxa"/>
            <w:vAlign w:val="bottom"/>
            <w:tcBorders>
              <w:bottom w:val="single" w:sz="8" w:color="DBDBDB"/>
            </w:tcBorders>
            <w:shd w:val="clear" w:color="auto" w:fill="DBDBDB"/>
          </w:tcPr>
          <w:p>
            <w:pPr>
              <w:spacing w:after="0"/>
              <w:rPr>
                <w:sz w:val="22"/>
                <w:szCs w:val="22"/>
                <w:color w:val="auto"/>
              </w:rPr>
            </w:pPr>
          </w:p>
        </w:tc>
        <w:tc>
          <w:tcPr>
            <w:tcW w:w="100" w:type="dxa"/>
            <w:vAlign w:val="bottom"/>
            <w:tcBorders>
              <w:bottom w:val="single" w:sz="8" w:color="auto"/>
            </w:tcBorders>
            <w:shd w:val="clear" w:color="auto" w:fill="DBDBDB"/>
          </w:tcPr>
          <w:p>
            <w:pPr>
              <w:spacing w:after="0"/>
              <w:rPr>
                <w:sz w:val="22"/>
                <w:szCs w:val="22"/>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9,603</w:t>
            </w:r>
          </w:p>
        </w:tc>
        <w:tc>
          <w:tcPr>
            <w:tcW w:w="220" w:type="dxa"/>
            <w:vAlign w:val="bottom"/>
            <w:tcBorders>
              <w:bottom w:val="single" w:sz="8" w:color="DBDBDB"/>
            </w:tcBorders>
            <w:shd w:val="clear" w:color="auto" w:fill="DBDBDB"/>
          </w:tcPr>
          <w:p>
            <w:pPr>
              <w:spacing w:after="0"/>
              <w:rPr>
                <w:sz w:val="22"/>
                <w:szCs w:val="22"/>
                <w:color w:val="auto"/>
              </w:rPr>
            </w:pPr>
          </w:p>
        </w:tc>
        <w:tc>
          <w:tcPr>
            <w:tcW w:w="110" w:type="dxa"/>
            <w:vAlign w:val="bottom"/>
            <w:tcBorders>
              <w:bottom w:val="single" w:sz="8" w:color="auto"/>
            </w:tcBorders>
            <w:shd w:val="clear" w:color="auto" w:fill="DBDBDB"/>
          </w:tcPr>
          <w:p>
            <w:pPr>
              <w:spacing w:after="0"/>
              <w:rPr>
                <w:sz w:val="22"/>
                <w:szCs w:val="22"/>
                <w:color w:val="auto"/>
              </w:rPr>
            </w:pPr>
          </w:p>
        </w:tc>
        <w:tc>
          <w:tcPr>
            <w:tcW w:w="127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(109,871)</w:t>
            </w:r>
          </w:p>
        </w:tc>
        <w:tc>
          <w:tcPr>
            <w:tcW w:w="220" w:type="dxa"/>
            <w:vAlign w:val="bottom"/>
            <w:tcBorders>
              <w:bottom w:val="single" w:sz="8" w:color="DBDBDB"/>
            </w:tcBorders>
            <w:shd w:val="clear" w:color="auto" w:fill="DBDBDB"/>
          </w:tcPr>
          <w:p>
            <w:pPr>
              <w:spacing w:after="0"/>
              <w:rPr>
                <w:sz w:val="22"/>
                <w:szCs w:val="22"/>
                <w:color w:val="auto"/>
              </w:rPr>
            </w:pPr>
          </w:p>
        </w:tc>
        <w:tc>
          <w:tcPr>
            <w:tcW w:w="340" w:type="dxa"/>
            <w:vAlign w:val="bottom"/>
            <w:tcBorders>
              <w:bottom w:val="single" w:sz="8" w:color="auto"/>
            </w:tcBorders>
            <w:shd w:val="clear" w:color="auto" w:fill="DBDBDB"/>
          </w:tcPr>
          <w:p>
            <w:pPr>
              <w:spacing w:after="0"/>
              <w:rPr>
                <w:sz w:val="22"/>
                <w:szCs w:val="22"/>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(5,871)</w:t>
            </w:r>
          </w:p>
        </w:tc>
      </w:tr>
      <w:tr>
        <w:trPr>
          <w:trHeight w:val="210"/>
        </w:trPr>
        <w:tc>
          <w:tcPr>
            <w:tcW w:w="6000" w:type="dxa"/>
            <w:vAlign w:val="bottom"/>
            <w:tcBorders>
              <w:bottom w:val="single" w:sz="8" w:color="DBDBDB"/>
            </w:tcBorders>
            <w:gridSpan w:val="2"/>
          </w:tcPr>
          <w:p>
            <w:pPr>
              <w:ind w:left="20"/>
              <w:spacing w:after="0" w:line="210" w:lineRule="exact"/>
              <w:rPr>
                <w:sz w:val="20"/>
                <w:szCs w:val="20"/>
                <w:color w:val="auto"/>
              </w:rPr>
            </w:pPr>
            <w:r>
              <w:rPr>
                <w:rFonts w:ascii="Times New Roman" w:cs="Times New Roman" w:eastAsia="Times New Roman" w:hAnsi="Times New Roman"/>
                <w:sz w:val="20"/>
                <w:szCs w:val="20"/>
                <w:color w:val="auto"/>
              </w:rPr>
              <w:t>Total other income (expense), net</w:t>
            </w: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20"/>
                <w:szCs w:val="20"/>
                <w:color w:val="auto"/>
              </w:rPr>
              <w:t>7,898</w:t>
            </w:r>
          </w:p>
        </w:tc>
        <w:tc>
          <w:tcPr>
            <w:tcW w:w="220" w:type="dxa"/>
            <w:vAlign w:val="bottom"/>
            <w:tcBorders>
              <w:bottom w:val="single" w:sz="8" w:color="DBDBDB"/>
            </w:tcBorders>
          </w:tcPr>
          <w:p>
            <w:pPr>
              <w:spacing w:after="0"/>
              <w:rPr>
                <w:sz w:val="18"/>
                <w:szCs w:val="18"/>
                <w:color w:val="auto"/>
              </w:rPr>
            </w:pPr>
          </w:p>
        </w:tc>
        <w:tc>
          <w:tcPr>
            <w:tcW w:w="110" w:type="dxa"/>
            <w:vAlign w:val="bottom"/>
            <w:tcBorders>
              <w:bottom w:val="single" w:sz="8" w:color="auto"/>
            </w:tcBorders>
          </w:tcPr>
          <w:p>
            <w:pPr>
              <w:spacing w:after="0"/>
              <w:rPr>
                <w:sz w:val="18"/>
                <w:szCs w:val="18"/>
                <w:color w:val="auto"/>
              </w:rPr>
            </w:pPr>
          </w:p>
        </w:tc>
        <w:tc>
          <w:tcPr>
            <w:tcW w:w="127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20"/>
                <w:szCs w:val="20"/>
                <w:color w:val="auto"/>
              </w:rPr>
              <w:t>(115,823)</w:t>
            </w:r>
          </w:p>
        </w:tc>
        <w:tc>
          <w:tcPr>
            <w:tcW w:w="220" w:type="dxa"/>
            <w:vAlign w:val="bottom"/>
            <w:tcBorders>
              <w:bottom w:val="single" w:sz="8" w:color="DBDBDB"/>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20"/>
                <w:szCs w:val="20"/>
                <w:color w:val="auto"/>
              </w:rPr>
              <w:t>(14,690)</w:t>
            </w:r>
          </w:p>
        </w:tc>
      </w:tr>
      <w:tr>
        <w:trPr>
          <w:trHeight w:val="225"/>
        </w:trPr>
        <w:tc>
          <w:tcPr>
            <w:tcW w:w="5900" w:type="dxa"/>
            <w:vAlign w:val="bottom"/>
            <w:shd w:val="clear" w:color="auto" w:fill="DBDBDB"/>
          </w:tcPr>
          <w:p>
            <w:pPr>
              <w:ind w:left="20"/>
              <w:spacing w:after="0" w:line="220" w:lineRule="exact"/>
              <w:rPr>
                <w:sz w:val="20"/>
                <w:szCs w:val="20"/>
                <w:color w:val="auto"/>
              </w:rPr>
            </w:pPr>
            <w:r>
              <w:rPr>
                <w:rFonts w:ascii="Times New Roman" w:cs="Times New Roman" w:eastAsia="Times New Roman" w:hAnsi="Times New Roman"/>
                <w:sz w:val="20"/>
                <w:szCs w:val="20"/>
                <w:color w:val="auto"/>
              </w:rPr>
              <w:t>Loss before income taxes</w:t>
            </w:r>
          </w:p>
        </w:tc>
        <w:tc>
          <w:tcPr>
            <w:tcW w:w="1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line="225" w:lineRule="exact"/>
              <w:rPr>
                <w:sz w:val="20"/>
                <w:szCs w:val="20"/>
                <w:color w:val="auto"/>
              </w:rPr>
            </w:pPr>
            <w:r>
              <w:rPr>
                <w:rFonts w:ascii="Times New Roman" w:cs="Times New Roman" w:eastAsia="Times New Roman" w:hAnsi="Times New Roman"/>
                <w:sz w:val="20"/>
                <w:szCs w:val="20"/>
                <w:color w:val="auto"/>
              </w:rPr>
              <w:t>(46,704)</w:t>
            </w:r>
          </w:p>
        </w:tc>
        <w:tc>
          <w:tcPr>
            <w:tcW w:w="220" w:type="dxa"/>
            <w:vAlign w:val="bottom"/>
            <w:shd w:val="clear" w:color="auto" w:fill="DBDBDB"/>
          </w:tcPr>
          <w:p>
            <w:pPr>
              <w:spacing w:after="0"/>
              <w:rPr>
                <w:sz w:val="19"/>
                <w:szCs w:val="19"/>
                <w:color w:val="auto"/>
              </w:rPr>
            </w:pPr>
          </w:p>
        </w:tc>
        <w:tc>
          <w:tcPr>
            <w:tcW w:w="110" w:type="dxa"/>
            <w:vAlign w:val="bottom"/>
            <w:shd w:val="clear" w:color="auto" w:fill="DBDBDB"/>
          </w:tcPr>
          <w:p>
            <w:pPr>
              <w:spacing w:after="0"/>
              <w:rPr>
                <w:sz w:val="19"/>
                <w:szCs w:val="19"/>
                <w:color w:val="auto"/>
              </w:rPr>
            </w:pPr>
          </w:p>
        </w:tc>
        <w:tc>
          <w:tcPr>
            <w:tcW w:w="1270" w:type="dxa"/>
            <w:vAlign w:val="bottom"/>
            <w:shd w:val="clear" w:color="auto" w:fill="DBDBDB"/>
          </w:tcPr>
          <w:p>
            <w:pPr>
              <w:jc w:val="right"/>
              <w:spacing w:after="0" w:line="225" w:lineRule="exact"/>
              <w:rPr>
                <w:sz w:val="20"/>
                <w:szCs w:val="20"/>
                <w:color w:val="auto"/>
              </w:rPr>
            </w:pPr>
            <w:r>
              <w:rPr>
                <w:rFonts w:ascii="Times New Roman" w:cs="Times New Roman" w:eastAsia="Times New Roman" w:hAnsi="Times New Roman"/>
                <w:sz w:val="20"/>
                <w:szCs w:val="20"/>
                <w:color w:val="auto"/>
              </w:rPr>
              <w:t>(186,731)</w:t>
            </w:r>
          </w:p>
        </w:tc>
        <w:tc>
          <w:tcPr>
            <w:tcW w:w="22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line="225" w:lineRule="exact"/>
              <w:rPr>
                <w:sz w:val="20"/>
                <w:szCs w:val="20"/>
                <w:color w:val="auto"/>
              </w:rPr>
            </w:pPr>
            <w:r>
              <w:rPr>
                <w:rFonts w:ascii="Times New Roman" w:cs="Times New Roman" w:eastAsia="Times New Roman" w:hAnsi="Times New Roman"/>
                <w:sz w:val="20"/>
                <w:szCs w:val="20"/>
                <w:color w:val="auto"/>
              </w:rPr>
              <w:t>(56,039)</w:t>
            </w:r>
          </w:p>
        </w:tc>
      </w:tr>
      <w:tr>
        <w:trPr>
          <w:trHeight w:val="238"/>
        </w:trPr>
        <w:tc>
          <w:tcPr>
            <w:tcW w:w="6000" w:type="dxa"/>
            <w:vAlign w:val="bottom"/>
            <w:tcBorders>
              <w:bottom w:val="single" w:sz="8" w:color="DBDBDB"/>
            </w:tcBorders>
            <w:gridSpan w:val="2"/>
          </w:tcPr>
          <w:p>
            <w:pPr>
              <w:ind w:left="20"/>
              <w:spacing w:after="0"/>
              <w:rPr>
                <w:sz w:val="20"/>
                <w:szCs w:val="20"/>
                <w:color w:val="auto"/>
              </w:rPr>
            </w:pPr>
            <w:r>
              <w:rPr>
                <w:rFonts w:ascii="Times New Roman" w:cs="Times New Roman" w:eastAsia="Times New Roman" w:hAnsi="Times New Roman"/>
                <w:sz w:val="20"/>
                <w:szCs w:val="20"/>
                <w:color w:val="auto"/>
              </w:rPr>
              <w:t>Income tax benefit (expense)</w:t>
            </w: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8,476</w:t>
            </w:r>
          </w:p>
        </w:tc>
        <w:tc>
          <w:tcPr>
            <w:tcW w:w="220" w:type="dxa"/>
            <w:vAlign w:val="bottom"/>
            <w:tcBorders>
              <w:bottom w:val="single" w:sz="8" w:color="DBDBDB"/>
            </w:tcBorders>
          </w:tcPr>
          <w:p>
            <w:pPr>
              <w:spacing w:after="0"/>
              <w:rPr>
                <w:sz w:val="20"/>
                <w:szCs w:val="20"/>
                <w:color w:val="auto"/>
              </w:rPr>
            </w:pPr>
          </w:p>
        </w:tc>
        <w:tc>
          <w:tcPr>
            <w:tcW w:w="110" w:type="dxa"/>
            <w:vAlign w:val="bottom"/>
            <w:tcBorders>
              <w:bottom w:val="single" w:sz="8" w:color="auto"/>
            </w:tcBorders>
          </w:tcPr>
          <w:p>
            <w:pPr>
              <w:spacing w:after="0"/>
              <w:rPr>
                <w:sz w:val="20"/>
                <w:szCs w:val="20"/>
                <w:color w:val="auto"/>
              </w:rPr>
            </w:pPr>
          </w:p>
        </w:tc>
        <w:tc>
          <w:tcPr>
            <w:tcW w:w="127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220" w:type="dxa"/>
            <w:vAlign w:val="bottom"/>
            <w:tcBorders>
              <w:bottom w:val="single" w:sz="8" w:color="DBDBDB"/>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w:t>
            </w:r>
          </w:p>
        </w:tc>
      </w:tr>
      <w:tr>
        <w:trPr>
          <w:trHeight w:val="287"/>
        </w:trPr>
        <w:tc>
          <w:tcPr>
            <w:tcW w:w="5900" w:type="dxa"/>
            <w:vAlign w:val="bottom"/>
            <w:tcBorders>
              <w:bottom w:val="single" w:sz="8" w:color="DBDBDB"/>
            </w:tcBorders>
            <w:shd w:val="clear" w:color="auto" w:fill="DBDBDB"/>
          </w:tcPr>
          <w:p>
            <w:pPr>
              <w:ind w:left="20"/>
              <w:spacing w:after="0" w:line="220" w:lineRule="exact"/>
              <w:rPr>
                <w:sz w:val="20"/>
                <w:szCs w:val="20"/>
                <w:color w:val="auto"/>
              </w:rPr>
            </w:pPr>
            <w:r>
              <w:rPr>
                <w:rFonts w:ascii="Times New Roman" w:cs="Times New Roman" w:eastAsia="Times New Roman" w:hAnsi="Times New Roman"/>
                <w:sz w:val="20"/>
                <w:szCs w:val="20"/>
                <w:color w:val="auto"/>
              </w:rPr>
              <w:t>Net loss</w:t>
            </w:r>
          </w:p>
        </w:tc>
        <w:tc>
          <w:tcPr>
            <w:tcW w:w="100" w:type="dxa"/>
            <w:vAlign w:val="bottom"/>
            <w:tcBorders>
              <w:bottom w:val="single" w:sz="8" w:color="DBDBDB"/>
            </w:tcBorders>
            <w:shd w:val="clear" w:color="auto" w:fill="DBDBDB"/>
          </w:tcPr>
          <w:p>
            <w:pPr>
              <w:spacing w:after="0"/>
              <w:rPr>
                <w:sz w:val="24"/>
                <w:szCs w:val="24"/>
                <w:color w:val="auto"/>
              </w:rPr>
            </w:pPr>
          </w:p>
        </w:tc>
        <w:tc>
          <w:tcPr>
            <w:tcW w:w="10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28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rPr>
              <w:t>(38,228)</w:t>
            </w:r>
          </w:p>
        </w:tc>
        <w:tc>
          <w:tcPr>
            <w:tcW w:w="220" w:type="dxa"/>
            <w:vAlign w:val="bottom"/>
            <w:tcBorders>
              <w:bottom w:val="single" w:sz="8" w:color="DBDBDB"/>
            </w:tcBorders>
            <w:shd w:val="clear" w:color="auto" w:fill="DBDBDB"/>
          </w:tcPr>
          <w:p>
            <w:pPr>
              <w:spacing w:after="0"/>
              <w:rPr>
                <w:sz w:val="24"/>
                <w:szCs w:val="24"/>
                <w:color w:val="auto"/>
              </w:rPr>
            </w:pPr>
          </w:p>
        </w:tc>
        <w:tc>
          <w:tcPr>
            <w:tcW w:w="11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27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rPr>
              <w:t>(186,733)</w:t>
            </w:r>
          </w:p>
        </w:tc>
        <w:tc>
          <w:tcPr>
            <w:tcW w:w="220" w:type="dxa"/>
            <w:vAlign w:val="bottom"/>
            <w:tcBorders>
              <w:bottom w:val="single" w:sz="8" w:color="DBDBDB"/>
            </w:tcBorders>
            <w:shd w:val="clear" w:color="auto" w:fill="DBDBDB"/>
          </w:tcPr>
          <w:p>
            <w:pPr>
              <w:spacing w:after="0"/>
              <w:rPr>
                <w:sz w:val="24"/>
                <w:szCs w:val="24"/>
                <w:color w:val="auto"/>
              </w:rPr>
            </w:pPr>
          </w:p>
        </w:tc>
        <w:tc>
          <w:tcPr>
            <w:tcW w:w="340" w:type="dxa"/>
            <w:vAlign w:val="bottom"/>
            <w:tcBorders>
              <w:bottom w:val="single" w:sz="8" w:color="DBDBDB"/>
            </w:tcBorders>
            <w:shd w:val="clear" w:color="auto" w:fill="DBDBDB"/>
          </w:tcPr>
          <w:p>
            <w:pPr>
              <w:jc w:val="right"/>
              <w:ind w:right="142"/>
              <w:spacing w:after="0" w:line="220"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06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rPr>
              <w:t>(56,048)</w:t>
            </w:r>
          </w:p>
        </w:tc>
      </w:tr>
      <w:tr>
        <w:trPr>
          <w:trHeight w:val="214"/>
        </w:trPr>
        <w:tc>
          <w:tcPr>
            <w:tcW w:w="5900" w:type="dxa"/>
            <w:vAlign w:val="bottom"/>
            <w:tcBorders>
              <w:top w:val="single" w:sz="8" w:color="DBDBDB"/>
            </w:tcBorders>
          </w:tcPr>
          <w:p>
            <w:pPr>
              <w:ind w:left="20"/>
              <w:spacing w:after="0" w:line="214" w:lineRule="exact"/>
              <w:rPr>
                <w:sz w:val="20"/>
                <w:szCs w:val="20"/>
                <w:color w:val="auto"/>
              </w:rPr>
            </w:pPr>
            <w:r>
              <w:rPr>
                <w:rFonts w:ascii="Times New Roman" w:cs="Times New Roman" w:eastAsia="Times New Roman" w:hAnsi="Times New Roman"/>
                <w:sz w:val="20"/>
                <w:szCs w:val="20"/>
                <w:color w:val="auto"/>
              </w:rPr>
              <w:t>Net loss per share</w:t>
            </w:r>
          </w:p>
        </w:tc>
        <w:tc>
          <w:tcPr>
            <w:tcW w:w="100" w:type="dxa"/>
            <w:vAlign w:val="bottom"/>
            <w:tcBorders>
              <w:top w:val="single" w:sz="8" w:color="DBDBDB"/>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Borders>
              <w:top w:val="single" w:sz="8" w:color="DBDBDB"/>
            </w:tcBorders>
          </w:tcPr>
          <w:p>
            <w:pPr>
              <w:spacing w:after="0"/>
              <w:rPr>
                <w:sz w:val="18"/>
                <w:szCs w:val="18"/>
                <w:color w:val="auto"/>
              </w:rPr>
            </w:pPr>
          </w:p>
        </w:tc>
        <w:tc>
          <w:tcPr>
            <w:tcW w:w="110" w:type="dxa"/>
            <w:vAlign w:val="bottom"/>
            <w:tcBorders>
              <w:top w:val="single" w:sz="8" w:color="auto"/>
            </w:tcBorders>
          </w:tcPr>
          <w:p>
            <w:pPr>
              <w:spacing w:after="0"/>
              <w:rPr>
                <w:sz w:val="18"/>
                <w:szCs w:val="18"/>
                <w:color w:val="auto"/>
              </w:rPr>
            </w:pPr>
          </w:p>
        </w:tc>
        <w:tc>
          <w:tcPr>
            <w:tcW w:w="1270" w:type="dxa"/>
            <w:vAlign w:val="bottom"/>
            <w:tcBorders>
              <w:top w:val="single" w:sz="8" w:color="auto"/>
            </w:tcBorders>
          </w:tcPr>
          <w:p>
            <w:pPr>
              <w:spacing w:after="0"/>
              <w:rPr>
                <w:sz w:val="18"/>
                <w:szCs w:val="18"/>
                <w:color w:val="auto"/>
              </w:rPr>
            </w:pPr>
          </w:p>
        </w:tc>
        <w:tc>
          <w:tcPr>
            <w:tcW w:w="220" w:type="dxa"/>
            <w:vAlign w:val="bottom"/>
            <w:tcBorders>
              <w:top w:val="single" w:sz="8" w:color="DBDBDB"/>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r>
      <w:tr>
        <w:trPr>
          <w:trHeight w:val="235"/>
        </w:trPr>
        <w:tc>
          <w:tcPr>
            <w:tcW w:w="5900" w:type="dxa"/>
            <w:vAlign w:val="bottom"/>
            <w:shd w:val="clear" w:color="auto" w:fill="DBDBDB"/>
          </w:tcPr>
          <w:p>
            <w:pPr>
              <w:ind w:left="180"/>
              <w:spacing w:after="0"/>
              <w:rPr>
                <w:sz w:val="20"/>
                <w:szCs w:val="20"/>
                <w:color w:val="auto"/>
              </w:rPr>
            </w:pPr>
            <w:r>
              <w:rPr>
                <w:rFonts w:ascii="Times New Roman" w:cs="Times New Roman" w:eastAsia="Times New Roman" w:hAnsi="Times New Roman"/>
                <w:sz w:val="20"/>
                <w:szCs w:val="20"/>
                <w:color w:val="auto"/>
              </w:rPr>
              <w:t>Basic</w:t>
            </w:r>
          </w:p>
        </w:tc>
        <w:tc>
          <w:tcPr>
            <w:tcW w:w="100" w:type="dxa"/>
            <w:vAlign w:val="bottom"/>
            <w:shd w:val="clear" w:color="auto" w:fill="DBDBDB"/>
          </w:tcPr>
          <w:p>
            <w:pPr>
              <w:spacing w:after="0"/>
              <w:rPr>
                <w:sz w:val="20"/>
                <w:szCs w:val="20"/>
                <w:color w:val="auto"/>
              </w:rPr>
            </w:pPr>
          </w:p>
        </w:tc>
        <w:tc>
          <w:tcPr>
            <w:tcW w:w="1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highlight w:val="lightGray"/>
                <w:w w:val="79"/>
              </w:rPr>
              <w:t>$</w:t>
            </w:r>
          </w:p>
        </w:tc>
        <w:tc>
          <w:tcPr>
            <w:tcW w:w="12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(0.64)</w:t>
            </w:r>
          </w:p>
        </w:tc>
        <w:tc>
          <w:tcPr>
            <w:tcW w:w="220" w:type="dxa"/>
            <w:vAlign w:val="bottom"/>
            <w:shd w:val="clear" w:color="auto" w:fill="DBDBDB"/>
          </w:tcPr>
          <w:p>
            <w:pPr>
              <w:spacing w:after="0"/>
              <w:rPr>
                <w:sz w:val="20"/>
                <w:szCs w:val="20"/>
                <w:color w:val="auto"/>
              </w:rPr>
            </w:pPr>
          </w:p>
        </w:tc>
        <w:tc>
          <w:tcPr>
            <w:tcW w:w="11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highlight w:val="lightGray"/>
                <w:w w:val="79"/>
              </w:rPr>
              <w:t>$</w:t>
            </w:r>
          </w:p>
        </w:tc>
        <w:tc>
          <w:tcPr>
            <w:tcW w:w="127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(4.50)</w:t>
            </w:r>
          </w:p>
        </w:tc>
        <w:tc>
          <w:tcPr>
            <w:tcW w:w="220" w:type="dxa"/>
            <w:vAlign w:val="bottom"/>
            <w:shd w:val="clear" w:color="auto" w:fill="DBDBDB"/>
          </w:tcPr>
          <w:p>
            <w:pPr>
              <w:spacing w:after="0"/>
              <w:rPr>
                <w:sz w:val="20"/>
                <w:szCs w:val="20"/>
                <w:color w:val="auto"/>
              </w:rPr>
            </w:pPr>
          </w:p>
        </w:tc>
        <w:tc>
          <w:tcPr>
            <w:tcW w:w="340" w:type="dxa"/>
            <w:vAlign w:val="bottom"/>
            <w:shd w:val="clear" w:color="auto" w:fill="DBDBDB"/>
          </w:tcPr>
          <w:p>
            <w:pPr>
              <w:jc w:val="right"/>
              <w:ind w:right="142"/>
              <w:spacing w:after="0"/>
              <w:rPr>
                <w:sz w:val="20"/>
                <w:szCs w:val="20"/>
                <w:color w:val="auto"/>
              </w:rPr>
            </w:pPr>
            <w:r>
              <w:rPr>
                <w:rFonts w:ascii="Times New Roman" w:cs="Times New Roman" w:eastAsia="Times New Roman" w:hAnsi="Times New Roman"/>
                <w:sz w:val="20"/>
                <w:szCs w:val="20"/>
                <w:color w:val="auto"/>
                <w:highlight w:val="lightGray"/>
                <w:w w:val="79"/>
              </w:rPr>
              <w:t>$</w:t>
            </w:r>
          </w:p>
        </w:tc>
        <w:tc>
          <w:tcPr>
            <w:tcW w:w="10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(1.75)</w:t>
            </w:r>
          </w:p>
        </w:tc>
      </w:tr>
      <w:tr>
        <w:trPr>
          <w:trHeight w:val="235"/>
        </w:trPr>
        <w:tc>
          <w:tcPr>
            <w:tcW w:w="60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(0.64)</w:t>
            </w:r>
          </w:p>
        </w:tc>
        <w:tc>
          <w:tcPr>
            <w:tcW w:w="33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7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(4.50)</w:t>
            </w:r>
          </w:p>
        </w:tc>
        <w:tc>
          <w:tcPr>
            <w:tcW w:w="560" w:type="dxa"/>
            <w:vAlign w:val="bottom"/>
            <w:gridSpan w:val="2"/>
          </w:tcPr>
          <w:p>
            <w:pPr>
              <w:jc w:val="right"/>
              <w:ind w:right="142"/>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w:t>
            </w:r>
          </w:p>
        </w:tc>
      </w:tr>
      <w:tr>
        <w:trPr>
          <w:trHeight w:val="235"/>
        </w:trPr>
        <w:tc>
          <w:tcPr>
            <w:tcW w:w="59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20"/>
                <w:szCs w:val="20"/>
                <w:color w:val="auto"/>
              </w:rPr>
              <w:t>Weighted average shares used to compute net loss per share:</w:t>
            </w:r>
          </w:p>
        </w:tc>
        <w:tc>
          <w:tcPr>
            <w:tcW w:w="10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280" w:type="dxa"/>
            <w:vAlign w:val="bottom"/>
            <w:shd w:val="clear" w:color="auto" w:fill="DBDBDB"/>
          </w:tcPr>
          <w:p>
            <w:pPr>
              <w:spacing w:after="0"/>
              <w:rPr>
                <w:sz w:val="20"/>
                <w:szCs w:val="20"/>
                <w:color w:val="auto"/>
              </w:rPr>
            </w:pPr>
          </w:p>
        </w:tc>
        <w:tc>
          <w:tcPr>
            <w:tcW w:w="220" w:type="dxa"/>
            <w:vAlign w:val="bottom"/>
            <w:shd w:val="clear" w:color="auto" w:fill="DBDBDB"/>
          </w:tcPr>
          <w:p>
            <w:pPr>
              <w:spacing w:after="0"/>
              <w:rPr>
                <w:sz w:val="20"/>
                <w:szCs w:val="20"/>
                <w:color w:val="auto"/>
              </w:rPr>
            </w:pPr>
          </w:p>
        </w:tc>
        <w:tc>
          <w:tcPr>
            <w:tcW w:w="110" w:type="dxa"/>
            <w:vAlign w:val="bottom"/>
            <w:shd w:val="clear" w:color="auto" w:fill="DBDBDB"/>
          </w:tcPr>
          <w:p>
            <w:pPr>
              <w:spacing w:after="0"/>
              <w:rPr>
                <w:sz w:val="20"/>
                <w:szCs w:val="20"/>
                <w:color w:val="auto"/>
              </w:rPr>
            </w:pPr>
          </w:p>
        </w:tc>
        <w:tc>
          <w:tcPr>
            <w:tcW w:w="1270" w:type="dxa"/>
            <w:vAlign w:val="bottom"/>
            <w:shd w:val="clear" w:color="auto" w:fill="DBDBDB"/>
          </w:tcPr>
          <w:p>
            <w:pPr>
              <w:spacing w:after="0"/>
              <w:rPr>
                <w:sz w:val="20"/>
                <w:szCs w:val="20"/>
                <w:color w:val="auto"/>
              </w:rPr>
            </w:pPr>
          </w:p>
        </w:tc>
        <w:tc>
          <w:tcPr>
            <w:tcW w:w="220" w:type="dxa"/>
            <w:vAlign w:val="bottom"/>
            <w:shd w:val="clear" w:color="auto" w:fill="DBDBDB"/>
          </w:tcPr>
          <w:p>
            <w:pPr>
              <w:spacing w:after="0"/>
              <w:rPr>
                <w:sz w:val="20"/>
                <w:szCs w:val="20"/>
                <w:color w:val="auto"/>
              </w:rPr>
            </w:pPr>
          </w:p>
        </w:tc>
        <w:tc>
          <w:tcPr>
            <w:tcW w:w="340" w:type="dxa"/>
            <w:vAlign w:val="bottom"/>
            <w:shd w:val="clear" w:color="auto" w:fill="DBDBDB"/>
          </w:tcPr>
          <w:p>
            <w:pPr>
              <w:spacing w:after="0"/>
              <w:rPr>
                <w:sz w:val="20"/>
                <w:szCs w:val="20"/>
                <w:color w:val="auto"/>
              </w:rPr>
            </w:pPr>
          </w:p>
        </w:tc>
        <w:tc>
          <w:tcPr>
            <w:tcW w:w="1060" w:type="dxa"/>
            <w:vAlign w:val="bottom"/>
            <w:shd w:val="clear" w:color="auto" w:fill="DBDBDB"/>
          </w:tcPr>
          <w:p>
            <w:pPr>
              <w:spacing w:after="0"/>
              <w:rPr>
                <w:sz w:val="20"/>
                <w:szCs w:val="20"/>
                <w:color w:val="auto"/>
              </w:rPr>
            </w:pPr>
          </w:p>
        </w:tc>
      </w:tr>
      <w:tr>
        <w:trPr>
          <w:trHeight w:val="235"/>
        </w:trPr>
        <w:tc>
          <w:tcPr>
            <w:tcW w:w="60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Basic</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60,183,987</w:t>
            </w:r>
          </w:p>
        </w:tc>
        <w:tc>
          <w:tcPr>
            <w:tcW w:w="220" w:type="dxa"/>
            <w:vAlign w:val="bottom"/>
          </w:tcPr>
          <w:p>
            <w:pPr>
              <w:spacing w:after="0"/>
              <w:rPr>
                <w:sz w:val="20"/>
                <w:szCs w:val="20"/>
                <w:color w:val="auto"/>
              </w:rPr>
            </w:pPr>
          </w:p>
        </w:tc>
        <w:tc>
          <w:tcPr>
            <w:tcW w:w="110" w:type="dxa"/>
            <w:vAlign w:val="bottom"/>
          </w:tcPr>
          <w:p>
            <w:pPr>
              <w:spacing w:after="0"/>
              <w:rPr>
                <w:sz w:val="20"/>
                <w:szCs w:val="20"/>
                <w:color w:val="auto"/>
              </w:rPr>
            </w:pPr>
          </w:p>
        </w:tc>
        <w:tc>
          <w:tcPr>
            <w:tcW w:w="127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41,538,551</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31,944,259</w:t>
            </w:r>
          </w:p>
        </w:tc>
      </w:tr>
      <w:tr>
        <w:trPr>
          <w:trHeight w:val="235"/>
        </w:trPr>
        <w:tc>
          <w:tcPr>
            <w:tcW w:w="5900" w:type="dxa"/>
            <w:vAlign w:val="bottom"/>
            <w:shd w:val="clear" w:color="auto" w:fill="DBDBDB"/>
          </w:tcPr>
          <w:p>
            <w:pPr>
              <w:ind w:left="180"/>
              <w:spacing w:after="0"/>
              <w:rPr>
                <w:sz w:val="20"/>
                <w:szCs w:val="20"/>
                <w:color w:val="auto"/>
              </w:rPr>
            </w:pPr>
            <w:r>
              <w:rPr>
                <w:rFonts w:ascii="Times New Roman" w:cs="Times New Roman" w:eastAsia="Times New Roman" w:hAnsi="Times New Roman"/>
                <w:sz w:val="20"/>
                <w:szCs w:val="20"/>
                <w:color w:val="auto"/>
              </w:rPr>
              <w:t>Diluted</w:t>
            </w:r>
          </w:p>
        </w:tc>
        <w:tc>
          <w:tcPr>
            <w:tcW w:w="10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2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60,183,987</w:t>
            </w:r>
          </w:p>
        </w:tc>
        <w:tc>
          <w:tcPr>
            <w:tcW w:w="220" w:type="dxa"/>
            <w:vAlign w:val="bottom"/>
            <w:shd w:val="clear" w:color="auto" w:fill="DBDBDB"/>
          </w:tcPr>
          <w:p>
            <w:pPr>
              <w:spacing w:after="0"/>
              <w:rPr>
                <w:sz w:val="20"/>
                <w:szCs w:val="20"/>
                <w:color w:val="auto"/>
              </w:rPr>
            </w:pPr>
          </w:p>
        </w:tc>
        <w:tc>
          <w:tcPr>
            <w:tcW w:w="110" w:type="dxa"/>
            <w:vAlign w:val="bottom"/>
            <w:shd w:val="clear" w:color="auto" w:fill="DBDBDB"/>
          </w:tcPr>
          <w:p>
            <w:pPr>
              <w:spacing w:after="0"/>
              <w:rPr>
                <w:sz w:val="20"/>
                <w:szCs w:val="20"/>
                <w:color w:val="auto"/>
              </w:rPr>
            </w:pPr>
          </w:p>
        </w:tc>
        <w:tc>
          <w:tcPr>
            <w:tcW w:w="127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41,538,551</w:t>
            </w:r>
          </w:p>
        </w:tc>
        <w:tc>
          <w:tcPr>
            <w:tcW w:w="220" w:type="dxa"/>
            <w:vAlign w:val="bottom"/>
            <w:shd w:val="clear" w:color="auto" w:fill="DBDBDB"/>
          </w:tcPr>
          <w:p>
            <w:pPr>
              <w:spacing w:after="0"/>
              <w:rPr>
                <w:sz w:val="20"/>
                <w:szCs w:val="20"/>
                <w:color w:val="auto"/>
              </w:rPr>
            </w:pPr>
          </w:p>
        </w:tc>
        <w:tc>
          <w:tcPr>
            <w:tcW w:w="340" w:type="dxa"/>
            <w:vAlign w:val="bottom"/>
            <w:shd w:val="clear" w:color="auto" w:fill="DBDBDB"/>
          </w:tcPr>
          <w:p>
            <w:pPr>
              <w:spacing w:after="0"/>
              <w:rPr>
                <w:sz w:val="20"/>
                <w:szCs w:val="20"/>
                <w:color w:val="auto"/>
              </w:rPr>
            </w:pPr>
          </w:p>
        </w:tc>
        <w:tc>
          <w:tcPr>
            <w:tcW w:w="10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31,944,259</w:t>
            </w:r>
          </w:p>
        </w:tc>
      </w:tr>
    </w:tbl>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F-4</w:t>
      </w:r>
    </w:p>
    <w:p>
      <w:pPr>
        <w:sectPr>
          <w:pgSz w:w="11880" w:h="15480" w:orient="portrait"/>
          <w:cols w:equalWidth="0" w:num="1">
            <w:col w:w="10600"/>
          </w:cols>
          <w:pgMar w:left="640" w:top="443" w:right="640" w:bottom="0" w:gutter="0" w:footer="0" w:header="0"/>
        </w:sectPr>
      </w:pPr>
    </w:p>
    <w:bookmarkStart w:id="64" w:name="page65"/>
    <w:bookmarkEnd w:id="64"/>
    <w:p>
      <w:pPr>
        <w:jc w:val="center"/>
        <w:spacing w:after="0" w:line="255" w:lineRule="auto"/>
        <w:rPr>
          <w:sz w:val="20"/>
          <w:szCs w:val="20"/>
          <w:color w:val="auto"/>
        </w:rPr>
      </w:pPr>
      <w:r>
        <w:rPr>
          <w:rFonts w:ascii="Times New Roman" w:cs="Times New Roman" w:eastAsia="Times New Roman" w:hAnsi="Times New Roman"/>
          <w:sz w:val="20"/>
          <w:szCs w:val="20"/>
          <w:b w:val="1"/>
          <w:bCs w:val="1"/>
          <w:color w:val="auto"/>
        </w:rPr>
        <w:t>Applied Optoelectronics, Inc. and Subsidiaries CONSOLIDATED STATEMENTS OF COMPREHENSIVE LOSS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890" w:type="dxa"/>
            <w:vAlign w:val="bottom"/>
          </w:tcPr>
          <w:p>
            <w:pPr>
              <w:spacing w:after="0"/>
              <w:rPr>
                <w:sz w:val="22"/>
                <w:szCs w:val="22"/>
                <w:color w:val="auto"/>
              </w:rPr>
            </w:pPr>
          </w:p>
        </w:tc>
        <w:tc>
          <w:tcPr>
            <w:tcW w:w="11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40" w:type="dxa"/>
            <w:vAlign w:val="bottom"/>
            <w:tcBorders>
              <w:bottom w:val="single" w:sz="8" w:color="auto"/>
            </w:tcBorders>
            <w:gridSpan w:val="6"/>
          </w:tcPr>
          <w:p>
            <w:pPr>
              <w:jc w:val="right"/>
              <w:ind w:right="62"/>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1060" w:type="dxa"/>
            <w:vAlign w:val="bottom"/>
            <w:tcBorders>
              <w:bottom w:val="single" w:sz="8" w:color="auto"/>
            </w:tcBorders>
          </w:tcPr>
          <w:p>
            <w:pPr>
              <w:spacing w:after="0"/>
              <w:rPr>
                <w:sz w:val="22"/>
                <w:szCs w:val="22"/>
                <w:color w:val="auto"/>
              </w:rPr>
            </w:pPr>
          </w:p>
        </w:tc>
      </w:tr>
      <w:tr>
        <w:trPr>
          <w:trHeight w:val="227"/>
        </w:trPr>
        <w:tc>
          <w:tcPr>
            <w:tcW w:w="5890" w:type="dxa"/>
            <w:vAlign w:val="bottom"/>
            <w:tcBorders>
              <w:bottom w:val="single" w:sz="8" w:color="DBDBDB"/>
            </w:tcBorders>
          </w:tcPr>
          <w:p>
            <w:pPr>
              <w:spacing w:after="0"/>
              <w:rPr>
                <w:sz w:val="19"/>
                <w:szCs w:val="19"/>
                <w:color w:val="auto"/>
              </w:rPr>
            </w:pPr>
          </w:p>
        </w:tc>
        <w:tc>
          <w:tcPr>
            <w:tcW w:w="110" w:type="dxa"/>
            <w:vAlign w:val="bottom"/>
            <w:tcBorders>
              <w:bottom w:val="single" w:sz="8" w:color="DBDBDB"/>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02"/>
              <w:spacing w:after="0" w:line="227" w:lineRule="exact"/>
              <w:rPr>
                <w:sz w:val="20"/>
                <w:szCs w:val="20"/>
                <w:color w:val="auto"/>
              </w:rPr>
            </w:pPr>
            <w:r>
              <w:rPr>
                <w:rFonts w:ascii="Times New Roman" w:cs="Times New Roman" w:eastAsia="Times New Roman" w:hAnsi="Times New Roman"/>
                <w:sz w:val="20"/>
                <w:szCs w:val="20"/>
                <w:b w:val="1"/>
                <w:bCs w:val="1"/>
                <w:color w:val="auto"/>
              </w:rPr>
              <w:t>2025</w:t>
            </w:r>
          </w:p>
        </w:tc>
        <w:tc>
          <w:tcPr>
            <w:tcW w:w="220" w:type="dxa"/>
            <w:vAlign w:val="bottom"/>
            <w:tcBorders>
              <w:bottom w:val="single" w:sz="8" w:color="DBDBDB"/>
            </w:tcBorders>
          </w:tcPr>
          <w:p>
            <w:pPr>
              <w:spacing w:after="0"/>
              <w:rPr>
                <w:sz w:val="19"/>
                <w:szCs w:val="19"/>
                <w:color w:val="auto"/>
              </w:rPr>
            </w:pPr>
          </w:p>
        </w:tc>
        <w:tc>
          <w:tcPr>
            <w:tcW w:w="110" w:type="dxa"/>
            <w:vAlign w:val="bottom"/>
            <w:tcBorders>
              <w:bottom w:val="single" w:sz="8" w:color="auto"/>
            </w:tcBorders>
          </w:tcPr>
          <w:p>
            <w:pPr>
              <w:spacing w:after="0"/>
              <w:rPr>
                <w:sz w:val="19"/>
                <w:szCs w:val="19"/>
                <w:color w:val="auto"/>
              </w:rPr>
            </w:pPr>
          </w:p>
        </w:tc>
        <w:tc>
          <w:tcPr>
            <w:tcW w:w="1270" w:type="dxa"/>
            <w:vAlign w:val="bottom"/>
            <w:tcBorders>
              <w:bottom w:val="single" w:sz="8" w:color="auto"/>
            </w:tcBorders>
          </w:tcPr>
          <w:p>
            <w:pPr>
              <w:jc w:val="right"/>
              <w:ind w:right="382"/>
              <w:spacing w:after="0" w:line="227" w:lineRule="exact"/>
              <w:rPr>
                <w:sz w:val="20"/>
                <w:szCs w:val="20"/>
                <w:color w:val="auto"/>
              </w:rPr>
            </w:pPr>
            <w:r>
              <w:rPr>
                <w:rFonts w:ascii="Times New Roman" w:cs="Times New Roman" w:eastAsia="Times New Roman" w:hAnsi="Times New Roman"/>
                <w:sz w:val="20"/>
                <w:szCs w:val="20"/>
                <w:b w:val="1"/>
                <w:bCs w:val="1"/>
                <w:color w:val="auto"/>
              </w:rPr>
              <w:t>2024</w:t>
            </w:r>
          </w:p>
        </w:tc>
        <w:tc>
          <w:tcPr>
            <w:tcW w:w="220" w:type="dxa"/>
            <w:vAlign w:val="bottom"/>
            <w:tcBorders>
              <w:bottom w:val="single" w:sz="8" w:color="DBDBD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02"/>
              <w:spacing w:after="0" w:line="227" w:lineRule="exact"/>
              <w:rPr>
                <w:sz w:val="20"/>
                <w:szCs w:val="20"/>
                <w:color w:val="auto"/>
              </w:rPr>
            </w:pPr>
            <w:r>
              <w:rPr>
                <w:rFonts w:ascii="Times New Roman" w:cs="Times New Roman" w:eastAsia="Times New Roman" w:hAnsi="Times New Roman"/>
                <w:sz w:val="20"/>
                <w:szCs w:val="20"/>
                <w:b w:val="1"/>
                <w:bCs w:val="1"/>
                <w:color w:val="auto"/>
              </w:rPr>
              <w:t>2023</w:t>
            </w:r>
          </w:p>
        </w:tc>
      </w:tr>
      <w:tr>
        <w:trPr>
          <w:trHeight w:val="225"/>
        </w:trPr>
        <w:tc>
          <w:tcPr>
            <w:tcW w:w="5890" w:type="dxa"/>
            <w:vAlign w:val="bottom"/>
            <w:shd w:val="clear" w:color="auto" w:fill="DBDBDB"/>
          </w:tcPr>
          <w:p>
            <w:pPr>
              <w:ind w:left="20"/>
              <w:spacing w:after="0" w:line="220" w:lineRule="exact"/>
              <w:rPr>
                <w:sz w:val="20"/>
                <w:szCs w:val="20"/>
                <w:color w:val="auto"/>
              </w:rPr>
            </w:pPr>
            <w:r>
              <w:rPr>
                <w:rFonts w:ascii="Times New Roman" w:cs="Times New Roman" w:eastAsia="Times New Roman" w:hAnsi="Times New Roman"/>
                <w:sz w:val="20"/>
                <w:szCs w:val="20"/>
                <w:color w:val="auto"/>
              </w:rPr>
              <w:t>Net loss</w:t>
            </w:r>
          </w:p>
        </w:tc>
        <w:tc>
          <w:tcPr>
            <w:tcW w:w="110" w:type="dxa"/>
            <w:vAlign w:val="bottom"/>
            <w:tcBorders>
              <w:right w:val="single" w:sz="8" w:color="DBDBDB"/>
            </w:tcBorders>
            <w:shd w:val="clear" w:color="auto" w:fill="DBDBDB"/>
          </w:tcPr>
          <w:p>
            <w:pPr>
              <w:spacing w:after="0"/>
              <w:rPr>
                <w:sz w:val="19"/>
                <w:szCs w:val="19"/>
                <w:color w:val="auto"/>
              </w:rPr>
            </w:pPr>
          </w:p>
        </w:tc>
        <w:tc>
          <w:tcPr>
            <w:tcW w:w="100" w:type="dxa"/>
            <w:vAlign w:val="bottom"/>
            <w:shd w:val="clear" w:color="auto" w:fill="DBDBDB"/>
          </w:tcPr>
          <w:p>
            <w:pPr>
              <w:jc w:val="right"/>
              <w:spacing w:after="0" w:line="225"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280" w:type="dxa"/>
            <w:vAlign w:val="bottom"/>
            <w:shd w:val="clear" w:color="auto" w:fill="DBDBDB"/>
          </w:tcPr>
          <w:p>
            <w:pPr>
              <w:jc w:val="right"/>
              <w:spacing w:after="0" w:line="225" w:lineRule="exact"/>
              <w:rPr>
                <w:sz w:val="20"/>
                <w:szCs w:val="20"/>
                <w:color w:val="auto"/>
              </w:rPr>
            </w:pPr>
            <w:r>
              <w:rPr>
                <w:rFonts w:ascii="Times New Roman" w:cs="Times New Roman" w:eastAsia="Times New Roman" w:hAnsi="Times New Roman"/>
                <w:sz w:val="20"/>
                <w:szCs w:val="20"/>
                <w:color w:val="auto"/>
              </w:rPr>
              <w:t>(38,228)</w:t>
            </w:r>
          </w:p>
        </w:tc>
        <w:tc>
          <w:tcPr>
            <w:tcW w:w="220" w:type="dxa"/>
            <w:vAlign w:val="bottom"/>
            <w:tcBorders>
              <w:right w:val="single" w:sz="8" w:color="DBDBDB"/>
            </w:tcBorders>
            <w:shd w:val="clear" w:color="auto" w:fill="DBDBDB"/>
          </w:tcPr>
          <w:p>
            <w:pPr>
              <w:spacing w:after="0"/>
              <w:rPr>
                <w:sz w:val="19"/>
                <w:szCs w:val="19"/>
                <w:color w:val="auto"/>
              </w:rPr>
            </w:pPr>
          </w:p>
        </w:tc>
        <w:tc>
          <w:tcPr>
            <w:tcW w:w="110" w:type="dxa"/>
            <w:vAlign w:val="bottom"/>
            <w:shd w:val="clear" w:color="auto" w:fill="DBDBDB"/>
          </w:tcPr>
          <w:p>
            <w:pPr>
              <w:jc w:val="right"/>
              <w:spacing w:after="0" w:line="225"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270" w:type="dxa"/>
            <w:vAlign w:val="bottom"/>
            <w:shd w:val="clear" w:color="auto" w:fill="DBDBDB"/>
          </w:tcPr>
          <w:p>
            <w:pPr>
              <w:jc w:val="right"/>
              <w:spacing w:after="0" w:line="225" w:lineRule="exact"/>
              <w:rPr>
                <w:sz w:val="20"/>
                <w:szCs w:val="20"/>
                <w:color w:val="auto"/>
              </w:rPr>
            </w:pPr>
            <w:r>
              <w:rPr>
                <w:rFonts w:ascii="Times New Roman" w:cs="Times New Roman" w:eastAsia="Times New Roman" w:hAnsi="Times New Roman"/>
                <w:sz w:val="20"/>
                <w:szCs w:val="20"/>
                <w:color w:val="auto"/>
              </w:rPr>
              <w:t>(186,733)</w:t>
            </w:r>
          </w:p>
        </w:tc>
        <w:tc>
          <w:tcPr>
            <w:tcW w:w="220" w:type="dxa"/>
            <w:vAlign w:val="bottom"/>
            <w:tcBorders>
              <w:right w:val="single" w:sz="8" w:color="DBDBDB"/>
            </w:tcBorders>
            <w:shd w:val="clear" w:color="auto" w:fill="DBDBDB"/>
          </w:tcPr>
          <w:p>
            <w:pPr>
              <w:spacing w:after="0"/>
              <w:rPr>
                <w:sz w:val="19"/>
                <w:szCs w:val="19"/>
                <w:color w:val="auto"/>
              </w:rPr>
            </w:pPr>
          </w:p>
        </w:tc>
        <w:tc>
          <w:tcPr>
            <w:tcW w:w="340" w:type="dxa"/>
            <w:vAlign w:val="bottom"/>
            <w:shd w:val="clear" w:color="auto" w:fill="DBDBDB"/>
          </w:tcPr>
          <w:p>
            <w:pPr>
              <w:jc w:val="right"/>
              <w:ind w:right="142"/>
              <w:spacing w:after="0" w:line="225"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060" w:type="dxa"/>
            <w:vAlign w:val="bottom"/>
            <w:shd w:val="clear" w:color="auto" w:fill="DBDBDB"/>
          </w:tcPr>
          <w:p>
            <w:pPr>
              <w:jc w:val="right"/>
              <w:spacing w:after="0" w:line="225" w:lineRule="exact"/>
              <w:rPr>
                <w:sz w:val="20"/>
                <w:szCs w:val="20"/>
                <w:color w:val="auto"/>
              </w:rPr>
            </w:pPr>
            <w:r>
              <w:rPr>
                <w:rFonts w:ascii="Times New Roman" w:cs="Times New Roman" w:eastAsia="Times New Roman" w:hAnsi="Times New Roman"/>
                <w:sz w:val="20"/>
                <w:szCs w:val="20"/>
                <w:color w:val="auto"/>
              </w:rPr>
              <w:t>(56,048)</w:t>
            </w:r>
          </w:p>
        </w:tc>
      </w:tr>
      <w:tr>
        <w:trPr>
          <w:trHeight w:val="238"/>
        </w:trPr>
        <w:tc>
          <w:tcPr>
            <w:tcW w:w="6000" w:type="dxa"/>
            <w:vAlign w:val="bottom"/>
            <w:tcBorders>
              <w:bottom w:val="single" w:sz="8" w:color="DBDBDB"/>
            </w:tcBorders>
            <w:gridSpan w:val="2"/>
          </w:tcPr>
          <w:p>
            <w:pPr>
              <w:ind w:left="20"/>
              <w:spacing w:after="0"/>
              <w:rPr>
                <w:sz w:val="20"/>
                <w:szCs w:val="20"/>
                <w:color w:val="auto"/>
              </w:rPr>
            </w:pPr>
            <w:r>
              <w:rPr>
                <w:rFonts w:ascii="Times New Roman" w:cs="Times New Roman" w:eastAsia="Times New Roman" w:hAnsi="Times New Roman"/>
                <w:sz w:val="20"/>
                <w:szCs w:val="20"/>
                <w:color w:val="auto"/>
              </w:rPr>
              <w:t>Gain (loss) on foreign currency translation adjustment</w:t>
            </w: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1,931</w:t>
            </w:r>
          </w:p>
        </w:tc>
        <w:tc>
          <w:tcPr>
            <w:tcW w:w="220" w:type="dxa"/>
            <w:vAlign w:val="bottom"/>
            <w:tcBorders>
              <w:bottom w:val="single" w:sz="8" w:color="DBDBDB"/>
            </w:tcBorders>
          </w:tcPr>
          <w:p>
            <w:pPr>
              <w:spacing w:after="0"/>
              <w:rPr>
                <w:sz w:val="20"/>
                <w:szCs w:val="20"/>
                <w:color w:val="auto"/>
              </w:rPr>
            </w:pPr>
          </w:p>
        </w:tc>
        <w:tc>
          <w:tcPr>
            <w:tcW w:w="110" w:type="dxa"/>
            <w:vAlign w:val="bottom"/>
            <w:tcBorders>
              <w:bottom w:val="single" w:sz="8" w:color="auto"/>
            </w:tcBorders>
          </w:tcPr>
          <w:p>
            <w:pPr>
              <w:spacing w:after="0"/>
              <w:rPr>
                <w:sz w:val="20"/>
                <w:szCs w:val="20"/>
                <w:color w:val="auto"/>
              </w:rPr>
            </w:pPr>
          </w:p>
        </w:tc>
        <w:tc>
          <w:tcPr>
            <w:tcW w:w="127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(3,523)</w:t>
            </w:r>
          </w:p>
        </w:tc>
        <w:tc>
          <w:tcPr>
            <w:tcW w:w="220" w:type="dxa"/>
            <w:vAlign w:val="bottom"/>
            <w:tcBorders>
              <w:bottom w:val="single" w:sz="8" w:color="DBDBDB"/>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(1,208)</w:t>
            </w:r>
          </w:p>
        </w:tc>
      </w:tr>
      <w:tr>
        <w:trPr>
          <w:trHeight w:val="267"/>
        </w:trPr>
        <w:tc>
          <w:tcPr>
            <w:tcW w:w="5890" w:type="dxa"/>
            <w:vAlign w:val="bottom"/>
            <w:tcBorders>
              <w:bottom w:val="single" w:sz="8" w:color="DBDBDB"/>
            </w:tcBorders>
            <w:shd w:val="clear" w:color="auto" w:fill="DBDBDB"/>
          </w:tcPr>
          <w:p>
            <w:pPr>
              <w:ind w:left="20"/>
              <w:spacing w:after="0" w:line="220" w:lineRule="exact"/>
              <w:rPr>
                <w:sz w:val="20"/>
                <w:szCs w:val="20"/>
                <w:color w:val="auto"/>
              </w:rPr>
            </w:pPr>
            <w:r>
              <w:rPr>
                <w:rFonts w:ascii="Times New Roman" w:cs="Times New Roman" w:eastAsia="Times New Roman" w:hAnsi="Times New Roman"/>
                <w:sz w:val="20"/>
                <w:szCs w:val="20"/>
                <w:color w:val="auto"/>
              </w:rPr>
              <w:t>Comprehensive loss</w:t>
            </w:r>
          </w:p>
        </w:tc>
        <w:tc>
          <w:tcPr>
            <w:tcW w:w="110" w:type="dxa"/>
            <w:vAlign w:val="bottom"/>
            <w:tcBorders>
              <w:bottom w:val="single" w:sz="8" w:color="DBDBDB"/>
              <w:right w:val="single" w:sz="8" w:color="DBDBDB"/>
            </w:tcBorders>
            <w:shd w:val="clear" w:color="auto" w:fill="DBDBDB"/>
          </w:tcPr>
          <w:p>
            <w:pPr>
              <w:spacing w:after="0"/>
              <w:rPr>
                <w:sz w:val="22"/>
                <w:szCs w:val="22"/>
                <w:color w:val="auto"/>
              </w:rPr>
            </w:pPr>
          </w:p>
        </w:tc>
        <w:tc>
          <w:tcPr>
            <w:tcW w:w="10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28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rPr>
              <w:t>(36,297)</w:t>
            </w:r>
          </w:p>
        </w:tc>
        <w:tc>
          <w:tcPr>
            <w:tcW w:w="220" w:type="dxa"/>
            <w:vAlign w:val="bottom"/>
            <w:tcBorders>
              <w:bottom w:val="single" w:sz="8" w:color="DBDBDB"/>
              <w:right w:val="single" w:sz="8" w:color="DBDBDB"/>
            </w:tcBorders>
            <w:shd w:val="clear" w:color="auto" w:fill="DBDBDB"/>
          </w:tcPr>
          <w:p>
            <w:pPr>
              <w:spacing w:after="0"/>
              <w:rPr>
                <w:sz w:val="22"/>
                <w:szCs w:val="22"/>
                <w:color w:val="auto"/>
              </w:rPr>
            </w:pPr>
          </w:p>
        </w:tc>
        <w:tc>
          <w:tcPr>
            <w:tcW w:w="11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27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rPr>
              <w:t>(190,256)</w:t>
            </w:r>
          </w:p>
        </w:tc>
        <w:tc>
          <w:tcPr>
            <w:tcW w:w="220" w:type="dxa"/>
            <w:vAlign w:val="bottom"/>
            <w:tcBorders>
              <w:bottom w:val="single" w:sz="8" w:color="DBDBDB"/>
              <w:right w:val="single" w:sz="8" w:color="DBDBDB"/>
            </w:tcBorders>
            <w:shd w:val="clear" w:color="auto" w:fill="DBDBDB"/>
          </w:tcPr>
          <w:p>
            <w:pPr>
              <w:spacing w:after="0"/>
              <w:rPr>
                <w:sz w:val="22"/>
                <w:szCs w:val="22"/>
                <w:color w:val="auto"/>
              </w:rPr>
            </w:pPr>
          </w:p>
        </w:tc>
        <w:tc>
          <w:tcPr>
            <w:tcW w:w="340" w:type="dxa"/>
            <w:vAlign w:val="bottom"/>
            <w:tcBorders>
              <w:bottom w:val="single" w:sz="8" w:color="DBDBDB"/>
            </w:tcBorders>
            <w:shd w:val="clear" w:color="auto" w:fill="DBDBDB"/>
          </w:tcPr>
          <w:p>
            <w:pPr>
              <w:jc w:val="right"/>
              <w:ind w:right="142"/>
              <w:spacing w:after="0" w:line="220"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06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rPr>
              <w:t>(57,256)</w:t>
            </w:r>
          </w:p>
        </w:tc>
      </w:tr>
      <w:tr>
        <w:trPr>
          <w:trHeight w:val="20"/>
        </w:trPr>
        <w:tc>
          <w:tcPr>
            <w:tcW w:w="5890" w:type="dxa"/>
            <w:vAlign w:val="bottom"/>
            <w:tcBorders>
              <w:top w:val="single" w:sz="8" w:color="DBDBDB"/>
            </w:tcBorders>
          </w:tcPr>
          <w:p>
            <w:pPr>
              <w:spacing w:after="0" w:line="20" w:lineRule="exact"/>
              <w:rPr>
                <w:sz w:val="1"/>
                <w:szCs w:val="1"/>
                <w:color w:val="auto"/>
              </w:rPr>
            </w:pPr>
          </w:p>
        </w:tc>
        <w:tc>
          <w:tcPr>
            <w:tcW w:w="110" w:type="dxa"/>
            <w:vAlign w:val="bottom"/>
            <w:tcBorders>
              <w:top w:val="single" w:sz="8" w:color="DBDBDB"/>
              <w:right w:val="single" w:sz="8" w:color="auto"/>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DBDBDB"/>
              <w:right w:val="single" w:sz="8" w:color="auto"/>
            </w:tcBorders>
          </w:tcPr>
          <w:p>
            <w:pPr>
              <w:spacing w:after="0" w:line="20" w:lineRule="exact"/>
              <w:rPr>
                <w:sz w:val="1"/>
                <w:szCs w:val="1"/>
                <w:color w:val="auto"/>
              </w:rPr>
            </w:pPr>
          </w:p>
        </w:tc>
        <w:tc>
          <w:tcPr>
            <w:tcW w:w="110" w:type="dxa"/>
            <w:vAlign w:val="bottom"/>
            <w:tcBorders>
              <w:top w:val="single" w:sz="8" w:color="auto"/>
            </w:tcBorders>
            <w:shd w:val="clear" w:color="auto" w:fill="000000"/>
          </w:tcPr>
          <w:p>
            <w:pPr>
              <w:spacing w:after="0" w:line="20" w:lineRule="exact"/>
              <w:rPr>
                <w:sz w:val="1"/>
                <w:szCs w:val="1"/>
                <w:color w:val="auto"/>
              </w:rPr>
            </w:pPr>
          </w:p>
        </w:tc>
        <w:tc>
          <w:tcPr>
            <w:tcW w:w="127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DBDBDB"/>
              <w:right w:val="single" w:sz="8" w:color="auto"/>
            </w:tcBorders>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1880" w:h="15480" w:orient="portrait"/>
          <w:cols w:equalWidth="0" w:num="1">
            <w:col w:w="10600"/>
          </w:cols>
          <w:pgMar w:left="640" w:top="407"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F-5</w:t>
      </w:r>
    </w:p>
    <w:p>
      <w:pPr>
        <w:sectPr>
          <w:pgSz w:w="11880" w:h="15480" w:orient="portrait"/>
          <w:cols w:equalWidth="0" w:num="1">
            <w:col w:w="10600"/>
          </w:cols>
          <w:pgMar w:left="640" w:top="407" w:right="640" w:bottom="0" w:gutter="0" w:footer="0" w:header="0"/>
          <w:type w:val="continuous"/>
        </w:sectPr>
      </w:pPr>
    </w:p>
    <w:bookmarkStart w:id="65" w:name="page66"/>
    <w:bookmarkEnd w:id="65"/>
    <w:p>
      <w:pPr>
        <w:jc w:val="center"/>
        <w:spacing w:after="0" w:line="253" w:lineRule="auto"/>
        <w:rPr>
          <w:sz w:val="20"/>
          <w:szCs w:val="20"/>
          <w:color w:val="auto"/>
        </w:rPr>
      </w:pPr>
      <w:r>
        <w:rPr>
          <w:rFonts w:ascii="Times New Roman" w:cs="Times New Roman" w:eastAsia="Times New Roman" w:hAnsi="Times New Roman"/>
          <w:sz w:val="20"/>
          <w:szCs w:val="20"/>
          <w:b w:val="1"/>
          <w:bCs w:val="1"/>
          <w:color w:val="auto"/>
        </w:rPr>
        <w:t>Applied Optoelectronics, Inc. and Subsidiaries CONSOLIDATED STATEMENTS OF STOCKHOLDERS’ EQUITY Years ended December 2023, 2024 and 2025 (in thousands)</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Retained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9"/>
        </w:trPr>
        <w:tc>
          <w:tcPr>
            <w:tcW w:w="2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w w:val="99"/>
              </w:rPr>
              <w:t>Preferred Stock</w:t>
            </w:r>
          </w:p>
        </w:tc>
        <w:tc>
          <w:tcPr>
            <w:tcW w:w="2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Additional</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other</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earnings/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188"/>
        </w:trPr>
        <w:tc>
          <w:tcPr>
            <w:tcW w:w="2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Number</w:t>
            </w: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Number</w:t>
            </w: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center"/>
              <w:ind w:right="140"/>
              <w:spacing w:after="0" w:line="189" w:lineRule="exact"/>
              <w:rPr>
                <w:sz w:val="20"/>
                <w:szCs w:val="20"/>
                <w:color w:val="auto"/>
              </w:rPr>
            </w:pPr>
            <w:r>
              <w:rPr>
                <w:rFonts w:ascii="Times New Roman" w:cs="Times New Roman" w:eastAsia="Times New Roman" w:hAnsi="Times New Roman"/>
                <w:sz w:val="18"/>
                <w:szCs w:val="18"/>
                <w:b w:val="1"/>
                <w:bCs w:val="1"/>
                <w:color w:val="auto"/>
                <w:w w:val="98"/>
              </w:rPr>
              <w:t>paid-in</w:t>
            </w:r>
          </w:p>
        </w:tc>
        <w:tc>
          <w:tcPr>
            <w:tcW w:w="140" w:type="dxa"/>
            <w:vAlign w:val="bottom"/>
          </w:tcPr>
          <w:p>
            <w:pPr>
              <w:spacing w:after="0"/>
              <w:rPr>
                <w:sz w:val="16"/>
                <w:szCs w:val="16"/>
                <w:color w:val="auto"/>
              </w:rPr>
            </w:pPr>
          </w:p>
        </w:tc>
        <w:tc>
          <w:tcPr>
            <w:tcW w:w="116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w w:val="97"/>
              </w:rPr>
              <w:t>comprehensive</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80" w:type="dxa"/>
            <w:vAlign w:val="bottom"/>
          </w:tcPr>
          <w:p>
            <w:pPr>
              <w:spacing w:after="0"/>
              <w:rPr>
                <w:sz w:val="16"/>
                <w:szCs w:val="16"/>
                <w:color w:val="auto"/>
              </w:rPr>
            </w:pPr>
          </w:p>
        </w:tc>
        <w:tc>
          <w:tcPr>
            <w:tcW w:w="10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w w:val="95"/>
              </w:rPr>
              <w:t>Stockholders'</w:t>
            </w:r>
          </w:p>
        </w:tc>
      </w:tr>
      <w:tr>
        <w:trPr>
          <w:trHeight w:val="232"/>
        </w:trPr>
        <w:tc>
          <w:tcPr>
            <w:tcW w:w="2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40" w:type="dxa"/>
            <w:vAlign w:val="bottom"/>
          </w:tcPr>
          <w:p>
            <w:pPr>
              <w:spacing w:after="0"/>
              <w:rPr>
                <w:sz w:val="20"/>
                <w:szCs w:val="20"/>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6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capital</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gain (loss)</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deficit)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equity</w:t>
            </w:r>
          </w:p>
        </w:tc>
      </w:tr>
      <w:tr>
        <w:trPr>
          <w:trHeight w:val="201"/>
        </w:trPr>
        <w:tc>
          <w:tcPr>
            <w:tcW w:w="2100" w:type="dxa"/>
            <w:vAlign w:val="bottom"/>
            <w:tcBorders>
              <w:top w:val="single" w:sz="8" w:color="DBDBDB"/>
            </w:tcBorders>
            <w:shd w:val="clear" w:color="auto" w:fill="DBDBDB"/>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December 31, 2022</w:t>
            </w:r>
          </w:p>
        </w:tc>
        <w:tc>
          <w:tcPr>
            <w:tcW w:w="160" w:type="dxa"/>
            <w:vAlign w:val="bottom"/>
            <w:tcBorders>
              <w:top w:val="single" w:sz="8" w:color="DBDBDB"/>
              <w:right w:val="single" w:sz="8" w:color="DBDBDB"/>
            </w:tcBorders>
            <w:shd w:val="clear" w:color="auto" w:fill="DBDBDB"/>
          </w:tcPr>
          <w:p>
            <w:pPr>
              <w:spacing w:after="0"/>
              <w:rPr>
                <w:sz w:val="17"/>
                <w:szCs w:val="17"/>
                <w:color w:val="auto"/>
              </w:rPr>
            </w:pPr>
          </w:p>
        </w:tc>
        <w:tc>
          <w:tcPr>
            <w:tcW w:w="720" w:type="dxa"/>
            <w:vAlign w:val="bottom"/>
            <w:tcBorders>
              <w:top w:val="single" w:sz="8" w:color="auto"/>
            </w:tcBorders>
            <w:shd w:val="clear" w:color="auto" w:fill="DBDBDB"/>
          </w:tcPr>
          <w:p>
            <w:pPr>
              <w:ind w:left="540"/>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top w:val="single" w:sz="8" w:color="DBDBDB"/>
            </w:tcBorders>
            <w:shd w:val="clear" w:color="auto" w:fill="DBDBDB"/>
          </w:tcPr>
          <w:p>
            <w:pPr>
              <w:spacing w:after="0"/>
              <w:rPr>
                <w:sz w:val="17"/>
                <w:szCs w:val="17"/>
                <w:color w:val="auto"/>
              </w:rPr>
            </w:pPr>
          </w:p>
        </w:tc>
        <w:tc>
          <w:tcPr>
            <w:tcW w:w="140" w:type="dxa"/>
            <w:vAlign w:val="bottom"/>
            <w:tcBorders>
              <w:top w:val="single" w:sz="8" w:color="DBDBDB"/>
              <w:right w:val="single" w:sz="8" w:color="DBDBDB"/>
            </w:tcBorders>
            <w:shd w:val="clear" w:color="auto" w:fill="DBDBDB"/>
          </w:tcPr>
          <w:p>
            <w:pPr>
              <w:spacing w:after="0"/>
              <w:rPr>
                <w:sz w:val="17"/>
                <w:szCs w:val="17"/>
                <w:color w:val="auto"/>
              </w:rPr>
            </w:pPr>
          </w:p>
        </w:tc>
        <w:tc>
          <w:tcPr>
            <w:tcW w:w="560" w:type="dxa"/>
            <w:vAlign w:val="bottom"/>
            <w:tcBorders>
              <w:top w:val="single" w:sz="8" w:color="auto"/>
            </w:tcBorders>
            <w:shd w:val="clear" w:color="auto" w:fill="DBDBDB"/>
          </w:tcPr>
          <w:p>
            <w:pPr>
              <w:jc w:val="right"/>
              <w:ind w:right="396"/>
              <w:spacing w:after="0"/>
              <w:rPr>
                <w:sz w:val="20"/>
                <w:szCs w:val="20"/>
                <w:color w:val="auto"/>
              </w:rPr>
            </w:pPr>
            <w:r>
              <w:rPr>
                <w:rFonts w:ascii="Times New Roman" w:cs="Times New Roman" w:eastAsia="Times New Roman" w:hAnsi="Times New Roman"/>
                <w:sz w:val="17"/>
                <w:szCs w:val="17"/>
                <w:color w:val="auto"/>
                <w:highlight w:val="lightGray"/>
                <w:w w:val="70"/>
              </w:rPr>
              <w:t>$</w:t>
            </w:r>
          </w:p>
        </w:tc>
        <w:tc>
          <w:tcPr>
            <w:tcW w:w="240" w:type="dxa"/>
            <w:vAlign w:val="bottom"/>
            <w:tcBorders>
              <w:top w:val="single" w:sz="8" w:color="auto"/>
              <w:right w:val="single" w:sz="8" w:color="DBDBDB"/>
            </w:tcBorders>
            <w:shd w:val="clear" w:color="auto" w:fill="DBDBDB"/>
          </w:tcPr>
          <w:p>
            <w:pPr>
              <w:ind w:left="40"/>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DBDBDB"/>
              <w:right w:val="single" w:sz="8" w:color="DBDBDB"/>
            </w:tcBorders>
            <w:shd w:val="clear" w:color="auto" w:fill="DBDBDB"/>
          </w:tcPr>
          <w:p>
            <w:pPr>
              <w:spacing w:after="0"/>
              <w:rPr>
                <w:sz w:val="17"/>
                <w:szCs w:val="17"/>
                <w:color w:val="auto"/>
              </w:rPr>
            </w:pPr>
          </w:p>
        </w:tc>
        <w:tc>
          <w:tcPr>
            <w:tcW w:w="80" w:type="dxa"/>
            <w:vAlign w:val="bottom"/>
            <w:tcBorders>
              <w:top w:val="single" w:sz="8" w:color="auto"/>
            </w:tcBorders>
            <w:shd w:val="clear" w:color="auto" w:fill="DBDBDB"/>
          </w:tcPr>
          <w:p>
            <w:pPr>
              <w:spacing w:after="0"/>
              <w:rPr>
                <w:sz w:val="17"/>
                <w:szCs w:val="17"/>
                <w:color w:val="auto"/>
              </w:rPr>
            </w:pPr>
          </w:p>
        </w:tc>
        <w:tc>
          <w:tcPr>
            <w:tcW w:w="700" w:type="dxa"/>
            <w:vAlign w:val="bottom"/>
            <w:tcBorders>
              <w:top w:val="single" w:sz="8" w:color="auto"/>
            </w:tcBorders>
            <w:shd w:val="clear" w:color="auto" w:fill="DBDBDB"/>
          </w:tcPr>
          <w:p>
            <w:pPr>
              <w:jc w:val="right"/>
              <w:spacing w:after="0" w:line="201" w:lineRule="exact"/>
              <w:rPr>
                <w:sz w:val="20"/>
                <w:szCs w:val="20"/>
                <w:color w:val="auto"/>
              </w:rPr>
            </w:pPr>
            <w:r>
              <w:rPr>
                <w:rFonts w:ascii="Times New Roman" w:cs="Times New Roman" w:eastAsia="Times New Roman" w:hAnsi="Times New Roman"/>
                <w:sz w:val="18"/>
                <w:szCs w:val="18"/>
                <w:color w:val="auto"/>
              </w:rPr>
              <w:t>28,622</w:t>
            </w:r>
          </w:p>
        </w:tc>
        <w:tc>
          <w:tcPr>
            <w:tcW w:w="160" w:type="dxa"/>
            <w:vAlign w:val="bottom"/>
            <w:tcBorders>
              <w:top w:val="single" w:sz="8" w:color="DBDBDB"/>
              <w:right w:val="single" w:sz="8" w:color="DBDBDB"/>
            </w:tcBorders>
            <w:shd w:val="clear" w:color="auto" w:fill="DBDBDB"/>
          </w:tcPr>
          <w:p>
            <w:pPr>
              <w:spacing w:after="0"/>
              <w:rPr>
                <w:sz w:val="17"/>
                <w:szCs w:val="17"/>
                <w:color w:val="auto"/>
              </w:rPr>
            </w:pPr>
          </w:p>
        </w:tc>
        <w:tc>
          <w:tcPr>
            <w:tcW w:w="560" w:type="dxa"/>
            <w:vAlign w:val="bottom"/>
            <w:tcBorders>
              <w:top w:val="single" w:sz="8" w:color="auto"/>
            </w:tcBorders>
            <w:shd w:val="clear" w:color="auto" w:fill="DBDBDB"/>
          </w:tcPr>
          <w:p>
            <w:pPr>
              <w:jc w:val="right"/>
              <w:ind w:right="396"/>
              <w:spacing w:after="0"/>
              <w:rPr>
                <w:sz w:val="20"/>
                <w:szCs w:val="20"/>
                <w:color w:val="auto"/>
              </w:rPr>
            </w:pPr>
            <w:r>
              <w:rPr>
                <w:rFonts w:ascii="Times New Roman" w:cs="Times New Roman" w:eastAsia="Times New Roman" w:hAnsi="Times New Roman"/>
                <w:sz w:val="17"/>
                <w:szCs w:val="17"/>
                <w:color w:val="auto"/>
                <w:highlight w:val="lightGray"/>
                <w:w w:val="70"/>
              </w:rPr>
              <w:t>$</w:t>
            </w:r>
          </w:p>
        </w:tc>
        <w:tc>
          <w:tcPr>
            <w:tcW w:w="220" w:type="dxa"/>
            <w:vAlign w:val="bottom"/>
            <w:tcBorders>
              <w:top w:val="single" w:sz="8" w:color="auto"/>
            </w:tcBorders>
            <w:shd w:val="clear" w:color="auto" w:fill="DBDBDB"/>
          </w:tcPr>
          <w:p>
            <w:pPr>
              <w:jc w:val="right"/>
              <w:spacing w:after="0" w:line="201" w:lineRule="exact"/>
              <w:rPr>
                <w:sz w:val="20"/>
                <w:szCs w:val="20"/>
                <w:color w:val="auto"/>
              </w:rPr>
            </w:pPr>
            <w:r>
              <w:rPr>
                <w:rFonts w:ascii="Times New Roman" w:cs="Times New Roman" w:eastAsia="Times New Roman" w:hAnsi="Times New Roman"/>
                <w:sz w:val="18"/>
                <w:szCs w:val="18"/>
                <w:color w:val="auto"/>
              </w:rPr>
              <w:t>29</w:t>
            </w:r>
          </w:p>
        </w:tc>
        <w:tc>
          <w:tcPr>
            <w:tcW w:w="160" w:type="dxa"/>
            <w:vAlign w:val="bottom"/>
            <w:tcBorders>
              <w:top w:val="single" w:sz="8" w:color="DBDBDB"/>
              <w:right w:val="single" w:sz="8" w:color="DBDBDB"/>
            </w:tcBorders>
            <w:shd w:val="clear" w:color="auto" w:fill="DBDBDB"/>
          </w:tcPr>
          <w:p>
            <w:pPr>
              <w:spacing w:after="0"/>
              <w:rPr>
                <w:sz w:val="17"/>
                <w:szCs w:val="17"/>
                <w:color w:val="auto"/>
              </w:rPr>
            </w:pPr>
          </w:p>
        </w:tc>
        <w:tc>
          <w:tcPr>
            <w:tcW w:w="120" w:type="dxa"/>
            <w:vAlign w:val="bottom"/>
            <w:tcBorders>
              <w:top w:val="single" w:sz="8" w:color="auto"/>
            </w:tcBorders>
            <w:shd w:val="clear" w:color="auto" w:fill="DBDBDB"/>
          </w:tcPr>
          <w:p>
            <w:pPr>
              <w:jc w:val="right"/>
              <w:spacing w:after="0" w:line="201" w:lineRule="exact"/>
              <w:rPr>
                <w:sz w:val="20"/>
                <w:szCs w:val="20"/>
                <w:color w:val="auto"/>
              </w:rPr>
            </w:pPr>
            <w:r>
              <w:rPr>
                <w:rFonts w:ascii="Times New Roman" w:cs="Times New Roman" w:eastAsia="Times New Roman" w:hAnsi="Times New Roman"/>
                <w:sz w:val="18"/>
                <w:szCs w:val="18"/>
                <w:color w:val="auto"/>
                <w:highlight w:val="lightGray"/>
                <w:w w:val="88"/>
              </w:rPr>
              <w:t>$</w:t>
            </w:r>
          </w:p>
        </w:tc>
        <w:tc>
          <w:tcPr>
            <w:tcW w:w="780" w:type="dxa"/>
            <w:vAlign w:val="bottom"/>
            <w:tcBorders>
              <w:top w:val="single" w:sz="8" w:color="auto"/>
            </w:tcBorders>
            <w:shd w:val="clear" w:color="auto" w:fill="DBDBDB"/>
          </w:tcPr>
          <w:p>
            <w:pPr>
              <w:jc w:val="right"/>
              <w:spacing w:after="0" w:line="201" w:lineRule="exact"/>
              <w:rPr>
                <w:sz w:val="20"/>
                <w:szCs w:val="20"/>
                <w:color w:val="auto"/>
              </w:rPr>
            </w:pPr>
            <w:r>
              <w:rPr>
                <w:rFonts w:ascii="Times New Roman" w:cs="Times New Roman" w:eastAsia="Times New Roman" w:hAnsi="Times New Roman"/>
                <w:sz w:val="18"/>
                <w:szCs w:val="18"/>
                <w:color w:val="auto"/>
              </w:rPr>
              <w:t>391,526</w:t>
            </w:r>
          </w:p>
        </w:tc>
        <w:tc>
          <w:tcPr>
            <w:tcW w:w="20" w:type="dxa"/>
            <w:vAlign w:val="bottom"/>
            <w:tcBorders>
              <w:top w:val="single" w:sz="8" w:color="DBDBDB"/>
            </w:tcBorders>
            <w:shd w:val="clear" w:color="auto" w:fill="DBDBDB"/>
          </w:tcPr>
          <w:p>
            <w:pPr>
              <w:spacing w:after="0"/>
              <w:rPr>
                <w:sz w:val="17"/>
                <w:szCs w:val="17"/>
                <w:color w:val="auto"/>
              </w:rPr>
            </w:pPr>
          </w:p>
        </w:tc>
        <w:tc>
          <w:tcPr>
            <w:tcW w:w="140" w:type="dxa"/>
            <w:vAlign w:val="bottom"/>
            <w:tcBorders>
              <w:top w:val="single" w:sz="8" w:color="DBDBDB"/>
              <w:right w:val="single" w:sz="8" w:color="DBDBDB"/>
            </w:tcBorders>
            <w:shd w:val="clear" w:color="auto" w:fill="DBDBDB"/>
          </w:tcPr>
          <w:p>
            <w:pPr>
              <w:spacing w:after="0"/>
              <w:rPr>
                <w:sz w:val="17"/>
                <w:szCs w:val="17"/>
                <w:color w:val="auto"/>
              </w:rPr>
            </w:pPr>
          </w:p>
        </w:tc>
        <w:tc>
          <w:tcPr>
            <w:tcW w:w="140" w:type="dxa"/>
            <w:vAlign w:val="bottom"/>
            <w:tcBorders>
              <w:top w:val="single" w:sz="8" w:color="auto"/>
            </w:tcBorders>
            <w:shd w:val="clear" w:color="auto" w:fill="DBDBDB"/>
          </w:tcPr>
          <w:p>
            <w:pPr>
              <w:spacing w:after="0" w:line="201" w:lineRule="exact"/>
              <w:rPr>
                <w:sz w:val="20"/>
                <w:szCs w:val="20"/>
                <w:color w:val="auto"/>
              </w:rPr>
            </w:pPr>
            <w:r>
              <w:rPr>
                <w:rFonts w:ascii="Times New Roman" w:cs="Times New Roman" w:eastAsia="Times New Roman" w:hAnsi="Times New Roman"/>
                <w:sz w:val="18"/>
                <w:szCs w:val="18"/>
                <w:color w:val="auto"/>
                <w:highlight w:val="lightGray"/>
              </w:rPr>
              <w:t>$</w:t>
            </w:r>
          </w:p>
        </w:tc>
        <w:tc>
          <w:tcPr>
            <w:tcW w:w="1000" w:type="dxa"/>
            <w:vAlign w:val="bottom"/>
            <w:tcBorders>
              <w:top w:val="single" w:sz="8" w:color="auto"/>
            </w:tcBorders>
            <w:shd w:val="clear" w:color="auto" w:fill="DBDBDB"/>
          </w:tcPr>
          <w:p>
            <w:pPr>
              <w:jc w:val="right"/>
              <w:spacing w:after="0" w:line="201" w:lineRule="exact"/>
              <w:rPr>
                <w:sz w:val="20"/>
                <w:szCs w:val="20"/>
                <w:color w:val="auto"/>
              </w:rPr>
            </w:pPr>
            <w:r>
              <w:rPr>
                <w:rFonts w:ascii="Times New Roman" w:cs="Times New Roman" w:eastAsia="Times New Roman" w:hAnsi="Times New Roman"/>
                <w:sz w:val="18"/>
                <w:szCs w:val="18"/>
                <w:color w:val="auto"/>
              </w:rPr>
              <w:t>2,183</w:t>
            </w:r>
          </w:p>
        </w:tc>
        <w:tc>
          <w:tcPr>
            <w:tcW w:w="20" w:type="dxa"/>
            <w:vAlign w:val="bottom"/>
            <w:tcBorders>
              <w:top w:val="single" w:sz="8" w:color="DBDBDB"/>
            </w:tcBorders>
            <w:shd w:val="clear" w:color="auto" w:fill="DBDBDB"/>
          </w:tcPr>
          <w:p>
            <w:pPr>
              <w:spacing w:after="0"/>
              <w:rPr>
                <w:sz w:val="17"/>
                <w:szCs w:val="17"/>
                <w:color w:val="auto"/>
              </w:rPr>
            </w:pPr>
          </w:p>
        </w:tc>
        <w:tc>
          <w:tcPr>
            <w:tcW w:w="60" w:type="dxa"/>
            <w:vAlign w:val="bottom"/>
            <w:tcBorders>
              <w:top w:val="single" w:sz="8" w:color="DBDBDB"/>
            </w:tcBorders>
            <w:shd w:val="clear" w:color="auto" w:fill="DBDBDB"/>
          </w:tcPr>
          <w:p>
            <w:pPr>
              <w:spacing w:after="0"/>
              <w:rPr>
                <w:sz w:val="17"/>
                <w:szCs w:val="17"/>
                <w:color w:val="auto"/>
              </w:rPr>
            </w:pPr>
          </w:p>
        </w:tc>
        <w:tc>
          <w:tcPr>
            <w:tcW w:w="80" w:type="dxa"/>
            <w:vAlign w:val="bottom"/>
            <w:tcBorders>
              <w:top w:val="single" w:sz="8" w:color="DBDBDB"/>
              <w:right w:val="single" w:sz="8" w:color="DBDBDB"/>
            </w:tcBorders>
            <w:shd w:val="clear" w:color="auto" w:fill="DBDBDB"/>
          </w:tcPr>
          <w:p>
            <w:pPr>
              <w:spacing w:after="0"/>
              <w:rPr>
                <w:sz w:val="17"/>
                <w:szCs w:val="17"/>
                <w:color w:val="auto"/>
              </w:rPr>
            </w:pPr>
          </w:p>
        </w:tc>
        <w:tc>
          <w:tcPr>
            <w:tcW w:w="140" w:type="dxa"/>
            <w:vAlign w:val="bottom"/>
            <w:tcBorders>
              <w:top w:val="single" w:sz="8" w:color="auto"/>
            </w:tcBorders>
            <w:shd w:val="clear" w:color="auto" w:fill="DBDBDB"/>
          </w:tcPr>
          <w:p>
            <w:pPr>
              <w:spacing w:after="0" w:line="201" w:lineRule="exact"/>
              <w:rPr>
                <w:sz w:val="20"/>
                <w:szCs w:val="20"/>
                <w:color w:val="auto"/>
              </w:rPr>
            </w:pPr>
            <w:r>
              <w:rPr>
                <w:rFonts w:ascii="Times New Roman" w:cs="Times New Roman" w:eastAsia="Times New Roman" w:hAnsi="Times New Roman"/>
                <w:sz w:val="18"/>
                <w:szCs w:val="18"/>
                <w:color w:val="auto"/>
                <w:highlight w:val="lightGray"/>
              </w:rPr>
              <w:t>$</w:t>
            </w:r>
          </w:p>
        </w:tc>
        <w:tc>
          <w:tcPr>
            <w:tcW w:w="940" w:type="dxa"/>
            <w:vAlign w:val="bottom"/>
            <w:tcBorders>
              <w:top w:val="single" w:sz="8" w:color="auto"/>
            </w:tcBorders>
            <w:shd w:val="clear" w:color="auto" w:fill="DBDBDB"/>
          </w:tcPr>
          <w:p>
            <w:pPr>
              <w:jc w:val="right"/>
              <w:spacing w:after="0" w:line="201" w:lineRule="exact"/>
              <w:rPr>
                <w:sz w:val="20"/>
                <w:szCs w:val="20"/>
                <w:color w:val="auto"/>
              </w:rPr>
            </w:pPr>
            <w:r>
              <w:rPr>
                <w:rFonts w:ascii="Times New Roman" w:cs="Times New Roman" w:eastAsia="Times New Roman" w:hAnsi="Times New Roman"/>
                <w:sz w:val="18"/>
                <w:szCs w:val="18"/>
                <w:color w:val="auto"/>
              </w:rPr>
              <w:t>(209,068)</w:t>
            </w:r>
          </w:p>
        </w:tc>
        <w:tc>
          <w:tcPr>
            <w:tcW w:w="80" w:type="dxa"/>
            <w:vAlign w:val="bottom"/>
            <w:tcBorders>
              <w:top w:val="single" w:sz="8" w:color="DBDBDB"/>
            </w:tcBorders>
            <w:shd w:val="clear" w:color="auto" w:fill="DBDBDB"/>
          </w:tcPr>
          <w:p>
            <w:pPr>
              <w:spacing w:after="0"/>
              <w:rPr>
                <w:sz w:val="17"/>
                <w:szCs w:val="17"/>
                <w:color w:val="auto"/>
              </w:rPr>
            </w:pPr>
          </w:p>
        </w:tc>
        <w:tc>
          <w:tcPr>
            <w:tcW w:w="80" w:type="dxa"/>
            <w:vAlign w:val="bottom"/>
            <w:tcBorders>
              <w:top w:val="single" w:sz="8" w:color="DBDBDB"/>
              <w:right w:val="single" w:sz="8" w:color="DBDBDB"/>
            </w:tcBorders>
            <w:shd w:val="clear" w:color="auto" w:fill="DBDBDB"/>
          </w:tcPr>
          <w:p>
            <w:pPr>
              <w:spacing w:after="0"/>
              <w:rPr>
                <w:sz w:val="17"/>
                <w:szCs w:val="17"/>
                <w:color w:val="auto"/>
              </w:rPr>
            </w:pPr>
          </w:p>
        </w:tc>
        <w:tc>
          <w:tcPr>
            <w:tcW w:w="120" w:type="dxa"/>
            <w:vAlign w:val="bottom"/>
            <w:tcBorders>
              <w:top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7"/>
                <w:szCs w:val="17"/>
                <w:color w:val="auto"/>
                <w:highlight w:val="lightGray"/>
                <w:w w:val="70"/>
              </w:rPr>
              <w:t>$</w:t>
            </w:r>
          </w:p>
        </w:tc>
        <w:tc>
          <w:tcPr>
            <w:tcW w:w="920" w:type="dxa"/>
            <w:vAlign w:val="bottom"/>
            <w:tcBorders>
              <w:top w:val="single" w:sz="8" w:color="auto"/>
            </w:tcBorders>
            <w:shd w:val="clear" w:color="auto" w:fill="DBDBDB"/>
          </w:tcPr>
          <w:p>
            <w:pPr>
              <w:jc w:val="right"/>
              <w:spacing w:after="0" w:line="201" w:lineRule="exact"/>
              <w:rPr>
                <w:sz w:val="20"/>
                <w:szCs w:val="20"/>
                <w:color w:val="auto"/>
              </w:rPr>
            </w:pPr>
            <w:r>
              <w:rPr>
                <w:rFonts w:ascii="Times New Roman" w:cs="Times New Roman" w:eastAsia="Times New Roman" w:hAnsi="Times New Roman"/>
                <w:sz w:val="18"/>
                <w:szCs w:val="18"/>
                <w:color w:val="auto"/>
              </w:rPr>
              <w:t>184,670</w:t>
            </w:r>
          </w:p>
        </w:tc>
      </w:tr>
      <w:tr>
        <w:trPr>
          <w:trHeight w:val="188"/>
        </w:trPr>
        <w:tc>
          <w:tcPr>
            <w:tcW w:w="226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Public offering of common</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28"/>
        </w:trPr>
        <w:tc>
          <w:tcPr>
            <w:tcW w:w="2260" w:type="dxa"/>
            <w:vAlign w:val="bottom"/>
            <w:tcBorders>
              <w:bottom w:val="single" w:sz="8" w:color="DBDBDB"/>
            </w:tcBorders>
            <w:gridSpan w:val="2"/>
          </w:tcPr>
          <w:p>
            <w:pPr>
              <w:ind w:left="20"/>
              <w:spacing w:after="0"/>
              <w:rPr>
                <w:sz w:val="20"/>
                <w:szCs w:val="20"/>
                <w:color w:val="auto"/>
              </w:rPr>
            </w:pPr>
            <w:r>
              <w:rPr>
                <w:rFonts w:ascii="Times New Roman" w:cs="Times New Roman" w:eastAsia="Times New Roman" w:hAnsi="Times New Roman"/>
                <w:sz w:val="18"/>
                <w:szCs w:val="18"/>
                <w:color w:val="auto"/>
              </w:rPr>
              <w:t>stock, net</w:t>
            </w:r>
          </w:p>
        </w:tc>
        <w:tc>
          <w:tcPr>
            <w:tcW w:w="740" w:type="dxa"/>
            <w:vAlign w:val="bottom"/>
            <w:tcBorders>
              <w:bottom w:val="single" w:sz="8" w:color="DBDBDB"/>
            </w:tcBorders>
            <w:gridSpan w:val="2"/>
          </w:tcPr>
          <w:p>
            <w:pPr>
              <w:ind w:left="54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bottom w:val="single" w:sz="8" w:color="DBDBDB"/>
            </w:tcBorders>
          </w:tcPr>
          <w:p>
            <w:pPr>
              <w:spacing w:after="0"/>
              <w:rPr>
                <w:sz w:val="19"/>
                <w:szCs w:val="19"/>
                <w:color w:val="auto"/>
              </w:rPr>
            </w:pPr>
          </w:p>
        </w:tc>
        <w:tc>
          <w:tcPr>
            <w:tcW w:w="560" w:type="dxa"/>
            <w:vAlign w:val="bottom"/>
            <w:tcBorders>
              <w:bottom w:val="single" w:sz="8" w:color="DBDBDB"/>
            </w:tcBorders>
          </w:tcPr>
          <w:p>
            <w:pPr>
              <w:spacing w:after="0"/>
              <w:rPr>
                <w:sz w:val="19"/>
                <w:szCs w:val="19"/>
                <w:color w:val="auto"/>
              </w:rPr>
            </w:pPr>
          </w:p>
        </w:tc>
        <w:tc>
          <w:tcPr>
            <w:tcW w:w="240" w:type="dxa"/>
            <w:vAlign w:val="bottom"/>
            <w:tcBorders>
              <w:bottom w:val="single" w:sz="8" w:color="DBDBDB"/>
            </w:tcBorders>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DBDBDB"/>
            </w:tcBorders>
            <w:gridSpan w:val="3"/>
          </w:tcPr>
          <w:p>
            <w:pPr>
              <w:jc w:val="right"/>
              <w:spacing w:after="0"/>
              <w:rPr>
                <w:sz w:val="20"/>
                <w:szCs w:val="20"/>
                <w:color w:val="auto"/>
              </w:rPr>
            </w:pPr>
            <w:r>
              <w:rPr>
                <w:rFonts w:ascii="Times New Roman" w:cs="Times New Roman" w:eastAsia="Times New Roman" w:hAnsi="Times New Roman"/>
                <w:sz w:val="18"/>
                <w:szCs w:val="18"/>
                <w:color w:val="auto"/>
              </w:rPr>
              <w:t>8,275</w:t>
            </w:r>
          </w:p>
        </w:tc>
        <w:tc>
          <w:tcPr>
            <w:tcW w:w="160" w:type="dxa"/>
            <w:vAlign w:val="bottom"/>
            <w:tcBorders>
              <w:bottom w:val="single" w:sz="8" w:color="DBDBDB"/>
            </w:tcBorders>
          </w:tcPr>
          <w:p>
            <w:pPr>
              <w:spacing w:after="0"/>
              <w:rPr>
                <w:sz w:val="19"/>
                <w:szCs w:val="19"/>
                <w:color w:val="auto"/>
              </w:rPr>
            </w:pPr>
          </w:p>
        </w:tc>
        <w:tc>
          <w:tcPr>
            <w:tcW w:w="560" w:type="dxa"/>
            <w:vAlign w:val="bottom"/>
            <w:tcBorders>
              <w:bottom w:val="single" w:sz="8" w:color="DBDBDB"/>
            </w:tcBorders>
          </w:tcPr>
          <w:p>
            <w:pPr>
              <w:spacing w:after="0"/>
              <w:rPr>
                <w:sz w:val="19"/>
                <w:szCs w:val="19"/>
                <w:color w:val="auto"/>
              </w:rPr>
            </w:pPr>
          </w:p>
        </w:tc>
        <w:tc>
          <w:tcPr>
            <w:tcW w:w="220" w:type="dxa"/>
            <w:vAlign w:val="bottom"/>
            <w:tcBorders>
              <w:bottom w:val="single" w:sz="8" w:color="DBDBDB"/>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Borders>
              <w:bottom w:val="single" w:sz="8" w:color="DBDBDB"/>
            </w:tcBorders>
          </w:tcPr>
          <w:p>
            <w:pPr>
              <w:spacing w:after="0"/>
              <w:rPr>
                <w:sz w:val="19"/>
                <w:szCs w:val="19"/>
                <w:color w:val="auto"/>
              </w:rPr>
            </w:pPr>
          </w:p>
        </w:tc>
        <w:tc>
          <w:tcPr>
            <w:tcW w:w="120" w:type="dxa"/>
            <w:vAlign w:val="bottom"/>
            <w:tcBorders>
              <w:bottom w:val="single" w:sz="8" w:color="DBDBDB"/>
            </w:tcBorders>
          </w:tcPr>
          <w:p>
            <w:pPr>
              <w:spacing w:after="0"/>
              <w:rPr>
                <w:sz w:val="19"/>
                <w:szCs w:val="19"/>
                <w:color w:val="auto"/>
              </w:rPr>
            </w:pPr>
          </w:p>
        </w:tc>
        <w:tc>
          <w:tcPr>
            <w:tcW w:w="780" w:type="dxa"/>
            <w:vAlign w:val="bottom"/>
            <w:tcBorders>
              <w:bottom w:val="single" w:sz="8" w:color="DBDBDB"/>
            </w:tcBorders>
          </w:tcPr>
          <w:p>
            <w:pPr>
              <w:jc w:val="right"/>
              <w:spacing w:after="0"/>
              <w:rPr>
                <w:sz w:val="20"/>
                <w:szCs w:val="20"/>
                <w:color w:val="auto"/>
              </w:rPr>
            </w:pPr>
            <w:r>
              <w:rPr>
                <w:rFonts w:ascii="Times New Roman" w:cs="Times New Roman" w:eastAsia="Times New Roman" w:hAnsi="Times New Roman"/>
                <w:sz w:val="18"/>
                <w:szCs w:val="18"/>
                <w:color w:val="auto"/>
              </w:rPr>
              <w:t>76,498</w:t>
            </w:r>
          </w:p>
        </w:tc>
        <w:tc>
          <w:tcPr>
            <w:tcW w:w="20" w:type="dxa"/>
            <w:vAlign w:val="bottom"/>
            <w:tcBorders>
              <w:bottom w:val="single" w:sz="8" w:color="DBDBDB"/>
            </w:tcBorders>
          </w:tcPr>
          <w:p>
            <w:pPr>
              <w:spacing w:after="0"/>
              <w:rPr>
                <w:sz w:val="19"/>
                <w:szCs w:val="19"/>
                <w:color w:val="auto"/>
              </w:rPr>
            </w:pPr>
          </w:p>
        </w:tc>
        <w:tc>
          <w:tcPr>
            <w:tcW w:w="140" w:type="dxa"/>
            <w:vAlign w:val="bottom"/>
            <w:tcBorders>
              <w:bottom w:val="single" w:sz="8" w:color="DBDBDB"/>
            </w:tcBorders>
          </w:tcPr>
          <w:p>
            <w:pPr>
              <w:spacing w:after="0"/>
              <w:rPr>
                <w:sz w:val="19"/>
                <w:szCs w:val="19"/>
                <w:color w:val="auto"/>
              </w:rPr>
            </w:pPr>
          </w:p>
        </w:tc>
        <w:tc>
          <w:tcPr>
            <w:tcW w:w="140" w:type="dxa"/>
            <w:vAlign w:val="bottom"/>
            <w:tcBorders>
              <w:bottom w:val="single" w:sz="8" w:color="DBDBDB"/>
            </w:tcBorders>
          </w:tcPr>
          <w:p>
            <w:pPr>
              <w:spacing w:after="0"/>
              <w:rPr>
                <w:sz w:val="19"/>
                <w:szCs w:val="19"/>
                <w:color w:val="auto"/>
              </w:rPr>
            </w:pPr>
          </w:p>
        </w:tc>
        <w:tc>
          <w:tcPr>
            <w:tcW w:w="1020" w:type="dxa"/>
            <w:vAlign w:val="bottom"/>
            <w:tcBorders>
              <w:bottom w:val="single" w:sz="8" w:color="DBDBDB"/>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DBDBDB"/>
            </w:tcBorders>
          </w:tcPr>
          <w:p>
            <w:pPr>
              <w:spacing w:after="0"/>
              <w:rPr>
                <w:sz w:val="19"/>
                <w:szCs w:val="19"/>
                <w:color w:val="auto"/>
              </w:rPr>
            </w:pPr>
          </w:p>
        </w:tc>
        <w:tc>
          <w:tcPr>
            <w:tcW w:w="80" w:type="dxa"/>
            <w:vAlign w:val="bottom"/>
            <w:tcBorders>
              <w:bottom w:val="single" w:sz="8" w:color="DBDBDB"/>
            </w:tcBorders>
          </w:tcPr>
          <w:p>
            <w:pPr>
              <w:spacing w:after="0"/>
              <w:rPr>
                <w:sz w:val="19"/>
                <w:szCs w:val="19"/>
                <w:color w:val="auto"/>
              </w:rPr>
            </w:pPr>
          </w:p>
        </w:tc>
        <w:tc>
          <w:tcPr>
            <w:tcW w:w="140" w:type="dxa"/>
            <w:vAlign w:val="bottom"/>
            <w:tcBorders>
              <w:bottom w:val="single" w:sz="8" w:color="DBDBDB"/>
            </w:tcBorders>
          </w:tcPr>
          <w:p>
            <w:pPr>
              <w:spacing w:after="0"/>
              <w:rPr>
                <w:sz w:val="19"/>
                <w:szCs w:val="19"/>
                <w:color w:val="auto"/>
              </w:rPr>
            </w:pPr>
          </w:p>
        </w:tc>
        <w:tc>
          <w:tcPr>
            <w:tcW w:w="1020" w:type="dxa"/>
            <w:vAlign w:val="bottom"/>
            <w:tcBorders>
              <w:bottom w:val="single" w:sz="8" w:color="DBDBDB"/>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DBDBDB"/>
            </w:tcBorders>
          </w:tcPr>
          <w:p>
            <w:pPr>
              <w:spacing w:after="0"/>
              <w:rPr>
                <w:sz w:val="19"/>
                <w:szCs w:val="19"/>
                <w:color w:val="auto"/>
              </w:rPr>
            </w:pPr>
          </w:p>
        </w:tc>
        <w:tc>
          <w:tcPr>
            <w:tcW w:w="120" w:type="dxa"/>
            <w:vAlign w:val="bottom"/>
            <w:tcBorders>
              <w:bottom w:val="single" w:sz="8" w:color="DBDBDB"/>
            </w:tcBorders>
          </w:tcPr>
          <w:p>
            <w:pPr>
              <w:spacing w:after="0"/>
              <w:rPr>
                <w:sz w:val="19"/>
                <w:szCs w:val="19"/>
                <w:color w:val="auto"/>
              </w:rPr>
            </w:pPr>
          </w:p>
        </w:tc>
        <w:tc>
          <w:tcPr>
            <w:tcW w:w="920" w:type="dxa"/>
            <w:vAlign w:val="bottom"/>
            <w:tcBorders>
              <w:bottom w:val="single" w:sz="8" w:color="DBDBDB"/>
            </w:tcBorders>
          </w:tcPr>
          <w:p>
            <w:pPr>
              <w:jc w:val="right"/>
              <w:spacing w:after="0"/>
              <w:rPr>
                <w:sz w:val="20"/>
                <w:szCs w:val="20"/>
                <w:color w:val="auto"/>
              </w:rPr>
            </w:pPr>
            <w:r>
              <w:rPr>
                <w:rFonts w:ascii="Times New Roman" w:cs="Times New Roman" w:eastAsia="Times New Roman" w:hAnsi="Times New Roman"/>
                <w:sz w:val="18"/>
                <w:szCs w:val="18"/>
                <w:color w:val="auto"/>
              </w:rPr>
              <w:t>76,506</w:t>
            </w:r>
          </w:p>
        </w:tc>
      </w:tr>
      <w:tr>
        <w:trPr>
          <w:trHeight w:val="168"/>
        </w:trPr>
        <w:tc>
          <w:tcPr>
            <w:tcW w:w="2100" w:type="dxa"/>
            <w:vAlign w:val="bottom"/>
            <w:shd w:val="clear" w:color="auto" w:fill="DBDBDB"/>
          </w:tcPr>
          <w:p>
            <w:pPr>
              <w:ind w:left="20"/>
              <w:spacing w:after="0" w:line="169" w:lineRule="exact"/>
              <w:rPr>
                <w:sz w:val="20"/>
                <w:szCs w:val="20"/>
                <w:color w:val="auto"/>
              </w:rPr>
            </w:pPr>
            <w:r>
              <w:rPr>
                <w:rFonts w:ascii="Times New Roman" w:cs="Times New Roman" w:eastAsia="Times New Roman" w:hAnsi="Times New Roman"/>
                <w:sz w:val="18"/>
                <w:szCs w:val="18"/>
                <w:color w:val="auto"/>
                <w:highlight w:val="lightGray"/>
              </w:rPr>
              <w:t>Stock options exercised, net</w:t>
            </w:r>
          </w:p>
        </w:tc>
        <w:tc>
          <w:tcPr>
            <w:tcW w:w="160" w:type="dxa"/>
            <w:vAlign w:val="bottom"/>
            <w:tcBorders>
              <w:right w:val="single" w:sz="8" w:color="DBDBDB"/>
            </w:tcBorders>
            <w:shd w:val="clear" w:color="auto" w:fill="DBDBDB"/>
          </w:tcPr>
          <w:p>
            <w:pPr>
              <w:spacing w:after="0"/>
              <w:rPr>
                <w:sz w:val="14"/>
                <w:szCs w:val="14"/>
                <w:color w:val="auto"/>
              </w:rPr>
            </w:pPr>
          </w:p>
        </w:tc>
        <w:tc>
          <w:tcPr>
            <w:tcW w:w="720" w:type="dxa"/>
            <w:vAlign w:val="bottom"/>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140" w:type="dxa"/>
            <w:vAlign w:val="bottom"/>
            <w:tcBorders>
              <w:right w:val="single" w:sz="8" w:color="DBDBDB"/>
            </w:tcBorders>
            <w:shd w:val="clear" w:color="auto" w:fill="DBDBDB"/>
          </w:tcPr>
          <w:p>
            <w:pPr>
              <w:spacing w:after="0"/>
              <w:rPr>
                <w:sz w:val="14"/>
                <w:szCs w:val="14"/>
                <w:color w:val="auto"/>
              </w:rPr>
            </w:pPr>
          </w:p>
        </w:tc>
        <w:tc>
          <w:tcPr>
            <w:tcW w:w="560" w:type="dxa"/>
            <w:vAlign w:val="bottom"/>
            <w:shd w:val="clear" w:color="auto" w:fill="DBDBDB"/>
          </w:tcPr>
          <w:p>
            <w:pPr>
              <w:spacing w:after="0"/>
              <w:rPr>
                <w:sz w:val="14"/>
                <w:szCs w:val="14"/>
                <w:color w:val="auto"/>
              </w:rPr>
            </w:pPr>
          </w:p>
        </w:tc>
        <w:tc>
          <w:tcPr>
            <w:tcW w:w="240" w:type="dxa"/>
            <w:vAlign w:val="bottom"/>
            <w:tcBorders>
              <w:right w:val="single" w:sz="8" w:color="DBDBDB"/>
            </w:tcBorders>
            <w:shd w:val="clear" w:color="auto" w:fill="DBDBDB"/>
          </w:tcPr>
          <w:p>
            <w:pPr>
              <w:spacing w:after="0"/>
              <w:rPr>
                <w:sz w:val="14"/>
                <w:szCs w:val="14"/>
                <w:color w:val="auto"/>
              </w:rPr>
            </w:pPr>
          </w:p>
        </w:tc>
        <w:tc>
          <w:tcPr>
            <w:tcW w:w="140" w:type="dxa"/>
            <w:vAlign w:val="bottom"/>
            <w:tcBorders>
              <w:right w:val="single" w:sz="8" w:color="DBDBDB"/>
            </w:tcBorders>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700" w:type="dxa"/>
            <w:vAlign w:val="bottom"/>
            <w:shd w:val="clear" w:color="auto" w:fill="DBDBDB"/>
          </w:tcPr>
          <w:p>
            <w:pPr>
              <w:spacing w:after="0"/>
              <w:rPr>
                <w:sz w:val="14"/>
                <w:szCs w:val="14"/>
                <w:color w:val="auto"/>
              </w:rPr>
            </w:pPr>
          </w:p>
        </w:tc>
        <w:tc>
          <w:tcPr>
            <w:tcW w:w="160" w:type="dxa"/>
            <w:vAlign w:val="bottom"/>
            <w:tcBorders>
              <w:right w:val="single" w:sz="8" w:color="DBDBDB"/>
            </w:tcBorders>
            <w:shd w:val="clear" w:color="auto" w:fill="DBDBDB"/>
          </w:tcPr>
          <w:p>
            <w:pPr>
              <w:spacing w:after="0"/>
              <w:rPr>
                <w:sz w:val="14"/>
                <w:szCs w:val="14"/>
                <w:color w:val="auto"/>
              </w:rPr>
            </w:pPr>
          </w:p>
        </w:tc>
        <w:tc>
          <w:tcPr>
            <w:tcW w:w="560" w:type="dxa"/>
            <w:vAlign w:val="bottom"/>
            <w:shd w:val="clear" w:color="auto" w:fill="DBDBDB"/>
          </w:tcPr>
          <w:p>
            <w:pPr>
              <w:spacing w:after="0"/>
              <w:rPr>
                <w:sz w:val="14"/>
                <w:szCs w:val="14"/>
                <w:color w:val="auto"/>
              </w:rPr>
            </w:pPr>
          </w:p>
        </w:tc>
        <w:tc>
          <w:tcPr>
            <w:tcW w:w="220" w:type="dxa"/>
            <w:vAlign w:val="bottom"/>
            <w:shd w:val="clear" w:color="auto" w:fill="DBDBDB"/>
          </w:tcPr>
          <w:p>
            <w:pPr>
              <w:spacing w:after="0"/>
              <w:rPr>
                <w:sz w:val="14"/>
                <w:szCs w:val="14"/>
                <w:color w:val="auto"/>
              </w:rPr>
            </w:pPr>
          </w:p>
        </w:tc>
        <w:tc>
          <w:tcPr>
            <w:tcW w:w="160" w:type="dxa"/>
            <w:vAlign w:val="bottom"/>
            <w:tcBorders>
              <w:right w:val="single" w:sz="8" w:color="DBDBDB"/>
            </w:tcBorders>
            <w:shd w:val="clear" w:color="auto" w:fill="DBDBDB"/>
          </w:tcPr>
          <w:p>
            <w:pPr>
              <w:spacing w:after="0"/>
              <w:rPr>
                <w:sz w:val="14"/>
                <w:szCs w:val="14"/>
                <w:color w:val="auto"/>
              </w:rPr>
            </w:pPr>
          </w:p>
        </w:tc>
        <w:tc>
          <w:tcPr>
            <w:tcW w:w="120" w:type="dxa"/>
            <w:vAlign w:val="bottom"/>
            <w:shd w:val="clear" w:color="auto" w:fill="DBDBDB"/>
          </w:tcPr>
          <w:p>
            <w:pPr>
              <w:spacing w:after="0"/>
              <w:rPr>
                <w:sz w:val="14"/>
                <w:szCs w:val="14"/>
                <w:color w:val="auto"/>
              </w:rPr>
            </w:pPr>
          </w:p>
        </w:tc>
        <w:tc>
          <w:tcPr>
            <w:tcW w:w="780" w:type="dxa"/>
            <w:vAlign w:val="bottom"/>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140" w:type="dxa"/>
            <w:vAlign w:val="bottom"/>
            <w:tcBorders>
              <w:right w:val="single" w:sz="8" w:color="DBDBDB"/>
            </w:tcBorders>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1000" w:type="dxa"/>
            <w:vAlign w:val="bottom"/>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60" w:type="dxa"/>
            <w:vAlign w:val="bottom"/>
            <w:shd w:val="clear" w:color="auto" w:fill="DBDBDB"/>
          </w:tcPr>
          <w:p>
            <w:pPr>
              <w:spacing w:after="0"/>
              <w:rPr>
                <w:sz w:val="14"/>
                <w:szCs w:val="14"/>
                <w:color w:val="auto"/>
              </w:rPr>
            </w:pPr>
          </w:p>
        </w:tc>
        <w:tc>
          <w:tcPr>
            <w:tcW w:w="80" w:type="dxa"/>
            <w:vAlign w:val="bottom"/>
            <w:tcBorders>
              <w:right w:val="single" w:sz="8" w:color="DBDBDB"/>
            </w:tcBorders>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94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80" w:type="dxa"/>
            <w:vAlign w:val="bottom"/>
            <w:tcBorders>
              <w:right w:val="single" w:sz="8" w:color="DBDBDB"/>
            </w:tcBorders>
            <w:shd w:val="clear" w:color="auto" w:fill="DBDBDB"/>
          </w:tcPr>
          <w:p>
            <w:pPr>
              <w:spacing w:after="0"/>
              <w:rPr>
                <w:sz w:val="14"/>
                <w:szCs w:val="14"/>
                <w:color w:val="auto"/>
              </w:rPr>
            </w:pPr>
          </w:p>
        </w:tc>
        <w:tc>
          <w:tcPr>
            <w:tcW w:w="120" w:type="dxa"/>
            <w:vAlign w:val="bottom"/>
            <w:shd w:val="clear" w:color="auto" w:fill="DBDBDB"/>
          </w:tcPr>
          <w:p>
            <w:pPr>
              <w:spacing w:after="0"/>
              <w:rPr>
                <w:sz w:val="14"/>
                <w:szCs w:val="14"/>
                <w:color w:val="auto"/>
              </w:rPr>
            </w:pPr>
          </w:p>
        </w:tc>
        <w:tc>
          <w:tcPr>
            <w:tcW w:w="920" w:type="dxa"/>
            <w:vAlign w:val="bottom"/>
            <w:shd w:val="clear" w:color="auto" w:fill="DBDBDB"/>
          </w:tcPr>
          <w:p>
            <w:pPr>
              <w:spacing w:after="0"/>
              <w:rPr>
                <w:sz w:val="14"/>
                <w:szCs w:val="14"/>
                <w:color w:val="auto"/>
              </w:rPr>
            </w:pPr>
          </w:p>
        </w:tc>
      </w:tr>
      <w:tr>
        <w:trPr>
          <w:trHeight w:val="202"/>
        </w:trPr>
        <w:tc>
          <w:tcPr>
            <w:tcW w:w="2100" w:type="dxa"/>
            <w:vAlign w:val="bottom"/>
            <w:shd w:val="clear" w:color="auto" w:fill="DBDBDB"/>
          </w:tcPr>
          <w:p>
            <w:pPr>
              <w:ind w:left="20"/>
              <w:spacing w:after="0" w:line="202" w:lineRule="exact"/>
              <w:rPr>
                <w:sz w:val="20"/>
                <w:szCs w:val="20"/>
                <w:color w:val="auto"/>
              </w:rPr>
            </w:pPr>
            <w:r>
              <w:rPr>
                <w:rFonts w:ascii="Times New Roman" w:cs="Times New Roman" w:eastAsia="Times New Roman" w:hAnsi="Times New Roman"/>
                <w:sz w:val="18"/>
                <w:szCs w:val="18"/>
                <w:color w:val="auto"/>
              </w:rPr>
              <w:t>of shares withheld for</w:t>
            </w:r>
          </w:p>
        </w:tc>
        <w:tc>
          <w:tcPr>
            <w:tcW w:w="160" w:type="dxa"/>
            <w:vAlign w:val="bottom"/>
            <w:tcBorders>
              <w:right w:val="single" w:sz="8" w:color="DBDBDB"/>
            </w:tcBorders>
            <w:shd w:val="clear" w:color="auto" w:fill="DBDBDB"/>
          </w:tcPr>
          <w:p>
            <w:pPr>
              <w:spacing w:after="0"/>
              <w:rPr>
                <w:sz w:val="17"/>
                <w:szCs w:val="17"/>
                <w:color w:val="auto"/>
              </w:rPr>
            </w:pPr>
          </w:p>
        </w:tc>
        <w:tc>
          <w:tcPr>
            <w:tcW w:w="72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140" w:type="dxa"/>
            <w:vAlign w:val="bottom"/>
            <w:tcBorders>
              <w:right w:val="single" w:sz="8" w:color="DBDBDB"/>
            </w:tcBorders>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240" w:type="dxa"/>
            <w:vAlign w:val="bottom"/>
            <w:tcBorders>
              <w:right w:val="single" w:sz="8" w:color="DBDBDB"/>
            </w:tcBorders>
            <w:shd w:val="clear" w:color="auto" w:fill="DBDBDB"/>
          </w:tcPr>
          <w:p>
            <w:pPr>
              <w:spacing w:after="0"/>
              <w:rPr>
                <w:sz w:val="17"/>
                <w:szCs w:val="17"/>
                <w:color w:val="auto"/>
              </w:rPr>
            </w:pPr>
          </w:p>
        </w:tc>
        <w:tc>
          <w:tcPr>
            <w:tcW w:w="140" w:type="dxa"/>
            <w:vAlign w:val="bottom"/>
            <w:tcBorders>
              <w:right w:val="single" w:sz="8" w:color="DBDBDB"/>
            </w:tcBorders>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700" w:type="dxa"/>
            <w:vAlign w:val="bottom"/>
            <w:shd w:val="clear" w:color="auto" w:fill="DBDBDB"/>
          </w:tcPr>
          <w:p>
            <w:pPr>
              <w:spacing w:after="0"/>
              <w:rPr>
                <w:sz w:val="17"/>
                <w:szCs w:val="17"/>
                <w:color w:val="auto"/>
              </w:rPr>
            </w:pPr>
          </w:p>
        </w:tc>
        <w:tc>
          <w:tcPr>
            <w:tcW w:w="160" w:type="dxa"/>
            <w:vAlign w:val="bottom"/>
            <w:tcBorders>
              <w:right w:val="single" w:sz="8" w:color="DBDBDB"/>
            </w:tcBorders>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60" w:type="dxa"/>
            <w:vAlign w:val="bottom"/>
            <w:tcBorders>
              <w:right w:val="single" w:sz="8" w:color="DBDBDB"/>
            </w:tcBorders>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140" w:type="dxa"/>
            <w:vAlign w:val="bottom"/>
            <w:tcBorders>
              <w:right w:val="single" w:sz="8" w:color="DBDBDB"/>
            </w:tcBorders>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80" w:type="dxa"/>
            <w:vAlign w:val="bottom"/>
            <w:tcBorders>
              <w:right w:val="single" w:sz="8" w:color="DBDBDB"/>
            </w:tcBorders>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9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80" w:type="dxa"/>
            <w:vAlign w:val="bottom"/>
            <w:tcBorders>
              <w:right w:val="single" w:sz="8" w:color="DBDBDB"/>
            </w:tcBorders>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920" w:type="dxa"/>
            <w:vAlign w:val="bottom"/>
            <w:shd w:val="clear" w:color="auto" w:fill="DBDBDB"/>
          </w:tcPr>
          <w:p>
            <w:pPr>
              <w:spacing w:after="0"/>
              <w:rPr>
                <w:sz w:val="17"/>
                <w:szCs w:val="17"/>
                <w:color w:val="auto"/>
              </w:rPr>
            </w:pPr>
          </w:p>
        </w:tc>
      </w:tr>
      <w:tr>
        <w:trPr>
          <w:trHeight w:val="228"/>
        </w:trPr>
        <w:tc>
          <w:tcPr>
            <w:tcW w:w="21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employee tax</w:t>
            </w:r>
          </w:p>
        </w:tc>
        <w:tc>
          <w:tcPr>
            <w:tcW w:w="160" w:type="dxa"/>
            <w:vAlign w:val="bottom"/>
            <w:tcBorders>
              <w:right w:val="single" w:sz="8" w:color="DBDBDB"/>
            </w:tcBorders>
            <w:shd w:val="clear" w:color="auto" w:fill="DBDBDB"/>
          </w:tcPr>
          <w:p>
            <w:pPr>
              <w:spacing w:after="0"/>
              <w:rPr>
                <w:sz w:val="19"/>
                <w:szCs w:val="19"/>
                <w:color w:val="auto"/>
              </w:rPr>
            </w:pPr>
          </w:p>
        </w:tc>
        <w:tc>
          <w:tcPr>
            <w:tcW w:w="720" w:type="dxa"/>
            <w:vAlign w:val="bottom"/>
            <w:shd w:val="clear" w:color="auto" w:fill="DBDBDB"/>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shd w:val="clear" w:color="auto" w:fill="DBDBDB"/>
          </w:tcPr>
          <w:p>
            <w:pPr>
              <w:spacing w:after="0"/>
              <w:rPr>
                <w:sz w:val="19"/>
                <w:szCs w:val="19"/>
                <w:color w:val="auto"/>
              </w:rPr>
            </w:pPr>
          </w:p>
        </w:tc>
        <w:tc>
          <w:tcPr>
            <w:tcW w:w="140" w:type="dxa"/>
            <w:vAlign w:val="bottom"/>
            <w:tcBorders>
              <w:right w:val="single" w:sz="8" w:color="DBDBDB"/>
            </w:tcBorders>
            <w:shd w:val="clear" w:color="auto" w:fill="DBDBDB"/>
          </w:tcPr>
          <w:p>
            <w:pPr>
              <w:spacing w:after="0"/>
              <w:rPr>
                <w:sz w:val="19"/>
                <w:szCs w:val="19"/>
                <w:color w:val="auto"/>
              </w:rPr>
            </w:pPr>
          </w:p>
        </w:tc>
        <w:tc>
          <w:tcPr>
            <w:tcW w:w="560" w:type="dxa"/>
            <w:vAlign w:val="bottom"/>
            <w:shd w:val="clear" w:color="auto" w:fill="DBDBDB"/>
          </w:tcPr>
          <w:p>
            <w:pPr>
              <w:spacing w:after="0"/>
              <w:rPr>
                <w:sz w:val="19"/>
                <w:szCs w:val="19"/>
                <w:color w:val="auto"/>
              </w:rPr>
            </w:pPr>
          </w:p>
        </w:tc>
        <w:tc>
          <w:tcPr>
            <w:tcW w:w="240" w:type="dxa"/>
            <w:vAlign w:val="bottom"/>
            <w:tcBorders>
              <w:right w:val="single" w:sz="8" w:color="DBDBDB"/>
            </w:tcBorders>
            <w:shd w:val="clear" w:color="auto" w:fill="DBDBDB"/>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right w:val="single" w:sz="8" w:color="DBDBDB"/>
            </w:tcBorders>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7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tcBorders>
              <w:right w:val="single" w:sz="8" w:color="DBDBDB"/>
            </w:tcBorders>
            <w:shd w:val="clear" w:color="auto" w:fill="DBDBDB"/>
          </w:tcPr>
          <w:p>
            <w:pPr>
              <w:spacing w:after="0"/>
              <w:rPr>
                <w:sz w:val="19"/>
                <w:szCs w:val="19"/>
                <w:color w:val="auto"/>
              </w:rPr>
            </w:pPr>
          </w:p>
        </w:tc>
        <w:tc>
          <w:tcPr>
            <w:tcW w:w="560" w:type="dxa"/>
            <w:vAlign w:val="bottom"/>
            <w:shd w:val="clear" w:color="auto" w:fill="DBDBDB"/>
          </w:tcPr>
          <w:p>
            <w:pPr>
              <w:spacing w:after="0"/>
              <w:rPr>
                <w:sz w:val="19"/>
                <w:szCs w:val="19"/>
                <w:color w:val="auto"/>
              </w:rPr>
            </w:pPr>
          </w:p>
        </w:tc>
        <w:tc>
          <w:tcPr>
            <w:tcW w:w="2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DBDBDB"/>
            </w:tcBorders>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shd w:val="clear" w:color="auto" w:fill="DBDBDB"/>
          </w:tcPr>
          <w:p>
            <w:pPr>
              <w:spacing w:after="0"/>
              <w:rPr>
                <w:sz w:val="19"/>
                <w:szCs w:val="19"/>
                <w:color w:val="auto"/>
              </w:rPr>
            </w:pPr>
          </w:p>
        </w:tc>
        <w:tc>
          <w:tcPr>
            <w:tcW w:w="140" w:type="dxa"/>
            <w:vAlign w:val="bottom"/>
            <w:tcBorders>
              <w:right w:val="single" w:sz="8" w:color="DBDBDB"/>
            </w:tcBorders>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80" w:type="dxa"/>
            <w:vAlign w:val="bottom"/>
            <w:tcBorders>
              <w:right w:val="single" w:sz="8" w:color="DBDBDB"/>
            </w:tcBorders>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DBDBDB"/>
          </w:tcPr>
          <w:p>
            <w:pPr>
              <w:spacing w:after="0"/>
              <w:rPr>
                <w:sz w:val="19"/>
                <w:szCs w:val="19"/>
                <w:color w:val="auto"/>
              </w:rPr>
            </w:pPr>
          </w:p>
        </w:tc>
        <w:tc>
          <w:tcPr>
            <w:tcW w:w="80" w:type="dxa"/>
            <w:vAlign w:val="bottom"/>
            <w:tcBorders>
              <w:right w:val="single" w:sz="8" w:color="DBDBDB"/>
            </w:tcBorders>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188"/>
        </w:trPr>
        <w:tc>
          <w:tcPr>
            <w:tcW w:w="226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Issuance of restricted stock,</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2"/>
        </w:trPr>
        <w:tc>
          <w:tcPr>
            <w:tcW w:w="226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net of shares withheld for</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8"/>
        </w:trPr>
        <w:tc>
          <w:tcPr>
            <w:tcW w:w="2260" w:type="dxa"/>
            <w:vAlign w:val="bottom"/>
            <w:tcBorders>
              <w:bottom w:val="single" w:sz="8" w:color="DBDBDB"/>
            </w:tcBorders>
            <w:gridSpan w:val="2"/>
          </w:tcPr>
          <w:p>
            <w:pPr>
              <w:ind w:left="20"/>
              <w:spacing w:after="0"/>
              <w:rPr>
                <w:sz w:val="20"/>
                <w:szCs w:val="20"/>
                <w:color w:val="auto"/>
              </w:rPr>
            </w:pPr>
            <w:r>
              <w:rPr>
                <w:rFonts w:ascii="Times New Roman" w:cs="Times New Roman" w:eastAsia="Times New Roman" w:hAnsi="Times New Roman"/>
                <w:sz w:val="18"/>
                <w:szCs w:val="18"/>
                <w:color w:val="auto"/>
              </w:rPr>
              <w:t>employee tax</w:t>
            </w:r>
          </w:p>
        </w:tc>
        <w:tc>
          <w:tcPr>
            <w:tcW w:w="740" w:type="dxa"/>
            <w:vAlign w:val="bottom"/>
            <w:tcBorders>
              <w:bottom w:val="single" w:sz="8" w:color="DBDBDB"/>
            </w:tcBorders>
            <w:gridSpan w:val="2"/>
          </w:tcPr>
          <w:p>
            <w:pPr>
              <w:ind w:left="54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bottom w:val="single" w:sz="8" w:color="DBDBDB"/>
            </w:tcBorders>
          </w:tcPr>
          <w:p>
            <w:pPr>
              <w:spacing w:after="0"/>
              <w:rPr>
                <w:sz w:val="19"/>
                <w:szCs w:val="19"/>
                <w:color w:val="auto"/>
              </w:rPr>
            </w:pPr>
          </w:p>
        </w:tc>
        <w:tc>
          <w:tcPr>
            <w:tcW w:w="560" w:type="dxa"/>
            <w:vAlign w:val="bottom"/>
            <w:tcBorders>
              <w:bottom w:val="single" w:sz="8" w:color="DBDBDB"/>
            </w:tcBorders>
          </w:tcPr>
          <w:p>
            <w:pPr>
              <w:spacing w:after="0"/>
              <w:rPr>
                <w:sz w:val="19"/>
                <w:szCs w:val="19"/>
                <w:color w:val="auto"/>
              </w:rPr>
            </w:pPr>
          </w:p>
        </w:tc>
        <w:tc>
          <w:tcPr>
            <w:tcW w:w="240" w:type="dxa"/>
            <w:vAlign w:val="bottom"/>
            <w:tcBorders>
              <w:bottom w:val="single" w:sz="8" w:color="DBDBDB"/>
            </w:tcBorders>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DBDBDB"/>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160" w:type="dxa"/>
            <w:vAlign w:val="bottom"/>
            <w:tcBorders>
              <w:bottom w:val="single" w:sz="8" w:color="DBDBDB"/>
            </w:tcBorders>
          </w:tcPr>
          <w:p>
            <w:pPr>
              <w:spacing w:after="0"/>
              <w:rPr>
                <w:sz w:val="19"/>
                <w:szCs w:val="19"/>
                <w:color w:val="auto"/>
              </w:rPr>
            </w:pPr>
          </w:p>
        </w:tc>
        <w:tc>
          <w:tcPr>
            <w:tcW w:w="560" w:type="dxa"/>
            <w:vAlign w:val="bottom"/>
            <w:tcBorders>
              <w:bottom w:val="single" w:sz="8" w:color="DBDBDB"/>
            </w:tcBorders>
          </w:tcPr>
          <w:p>
            <w:pPr>
              <w:spacing w:after="0"/>
              <w:rPr>
                <w:sz w:val="19"/>
                <w:szCs w:val="19"/>
                <w:color w:val="auto"/>
              </w:rPr>
            </w:pPr>
          </w:p>
        </w:tc>
        <w:tc>
          <w:tcPr>
            <w:tcW w:w="220" w:type="dxa"/>
            <w:vAlign w:val="bottom"/>
            <w:tcBorders>
              <w:bottom w:val="single" w:sz="8" w:color="DBDBDB"/>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bottom w:val="single" w:sz="8" w:color="DBDBDB"/>
            </w:tcBorders>
          </w:tcPr>
          <w:p>
            <w:pPr>
              <w:spacing w:after="0"/>
              <w:rPr>
                <w:sz w:val="19"/>
                <w:szCs w:val="19"/>
                <w:color w:val="auto"/>
              </w:rPr>
            </w:pPr>
          </w:p>
        </w:tc>
        <w:tc>
          <w:tcPr>
            <w:tcW w:w="120" w:type="dxa"/>
            <w:vAlign w:val="bottom"/>
            <w:tcBorders>
              <w:bottom w:val="single" w:sz="8" w:color="DBDBDB"/>
            </w:tcBorders>
          </w:tcPr>
          <w:p>
            <w:pPr>
              <w:spacing w:after="0"/>
              <w:rPr>
                <w:sz w:val="19"/>
                <w:szCs w:val="19"/>
                <w:color w:val="auto"/>
              </w:rPr>
            </w:pPr>
          </w:p>
        </w:tc>
        <w:tc>
          <w:tcPr>
            <w:tcW w:w="780" w:type="dxa"/>
            <w:vAlign w:val="bottom"/>
            <w:tcBorders>
              <w:bottom w:val="single" w:sz="8" w:color="DBDBDB"/>
            </w:tcBorders>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20" w:type="dxa"/>
            <w:vAlign w:val="bottom"/>
            <w:tcBorders>
              <w:bottom w:val="single" w:sz="8" w:color="DBDBDB"/>
            </w:tcBorders>
          </w:tcPr>
          <w:p>
            <w:pPr>
              <w:spacing w:after="0"/>
              <w:rPr>
                <w:sz w:val="19"/>
                <w:szCs w:val="19"/>
                <w:color w:val="auto"/>
              </w:rPr>
            </w:pPr>
          </w:p>
        </w:tc>
        <w:tc>
          <w:tcPr>
            <w:tcW w:w="140" w:type="dxa"/>
            <w:vAlign w:val="bottom"/>
            <w:tcBorders>
              <w:bottom w:val="single" w:sz="8" w:color="DBDBDB"/>
            </w:tcBorders>
          </w:tcPr>
          <w:p>
            <w:pPr>
              <w:spacing w:after="0"/>
              <w:rPr>
                <w:sz w:val="19"/>
                <w:szCs w:val="19"/>
                <w:color w:val="auto"/>
              </w:rPr>
            </w:pPr>
          </w:p>
        </w:tc>
        <w:tc>
          <w:tcPr>
            <w:tcW w:w="140" w:type="dxa"/>
            <w:vAlign w:val="bottom"/>
            <w:tcBorders>
              <w:bottom w:val="single" w:sz="8" w:color="DBDBDB"/>
            </w:tcBorders>
          </w:tcPr>
          <w:p>
            <w:pPr>
              <w:spacing w:after="0"/>
              <w:rPr>
                <w:sz w:val="19"/>
                <w:szCs w:val="19"/>
                <w:color w:val="auto"/>
              </w:rPr>
            </w:pPr>
          </w:p>
        </w:tc>
        <w:tc>
          <w:tcPr>
            <w:tcW w:w="1020" w:type="dxa"/>
            <w:vAlign w:val="bottom"/>
            <w:tcBorders>
              <w:bottom w:val="single" w:sz="8" w:color="DBDBDB"/>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DBDBDB"/>
            </w:tcBorders>
          </w:tcPr>
          <w:p>
            <w:pPr>
              <w:spacing w:after="0"/>
              <w:rPr>
                <w:sz w:val="19"/>
                <w:szCs w:val="19"/>
                <w:color w:val="auto"/>
              </w:rPr>
            </w:pPr>
          </w:p>
        </w:tc>
        <w:tc>
          <w:tcPr>
            <w:tcW w:w="80" w:type="dxa"/>
            <w:vAlign w:val="bottom"/>
            <w:tcBorders>
              <w:bottom w:val="single" w:sz="8" w:color="DBDBDB"/>
            </w:tcBorders>
          </w:tcPr>
          <w:p>
            <w:pPr>
              <w:spacing w:after="0"/>
              <w:rPr>
                <w:sz w:val="19"/>
                <w:szCs w:val="19"/>
                <w:color w:val="auto"/>
              </w:rPr>
            </w:pPr>
          </w:p>
        </w:tc>
        <w:tc>
          <w:tcPr>
            <w:tcW w:w="140" w:type="dxa"/>
            <w:vAlign w:val="bottom"/>
            <w:tcBorders>
              <w:bottom w:val="single" w:sz="8" w:color="DBDBDB"/>
            </w:tcBorders>
          </w:tcPr>
          <w:p>
            <w:pPr>
              <w:spacing w:after="0"/>
              <w:rPr>
                <w:sz w:val="19"/>
                <w:szCs w:val="19"/>
                <w:color w:val="auto"/>
              </w:rPr>
            </w:pPr>
          </w:p>
        </w:tc>
        <w:tc>
          <w:tcPr>
            <w:tcW w:w="1020" w:type="dxa"/>
            <w:vAlign w:val="bottom"/>
            <w:tcBorders>
              <w:bottom w:val="single" w:sz="8" w:color="DBDBDB"/>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DBDBDB"/>
            </w:tcBorders>
          </w:tcPr>
          <w:p>
            <w:pPr>
              <w:spacing w:after="0"/>
              <w:rPr>
                <w:sz w:val="19"/>
                <w:szCs w:val="19"/>
                <w:color w:val="auto"/>
              </w:rPr>
            </w:pPr>
          </w:p>
        </w:tc>
        <w:tc>
          <w:tcPr>
            <w:tcW w:w="120" w:type="dxa"/>
            <w:vAlign w:val="bottom"/>
            <w:tcBorders>
              <w:bottom w:val="single" w:sz="8" w:color="DBDBDB"/>
            </w:tcBorders>
          </w:tcPr>
          <w:p>
            <w:pPr>
              <w:spacing w:after="0"/>
              <w:rPr>
                <w:sz w:val="19"/>
                <w:szCs w:val="19"/>
                <w:color w:val="auto"/>
              </w:rPr>
            </w:pPr>
          </w:p>
        </w:tc>
        <w:tc>
          <w:tcPr>
            <w:tcW w:w="920" w:type="dxa"/>
            <w:vAlign w:val="bottom"/>
            <w:tcBorders>
              <w:bottom w:val="single" w:sz="8" w:color="DBDBDB"/>
            </w:tcBorders>
          </w:tcPr>
          <w:p>
            <w:pPr>
              <w:jc w:val="right"/>
              <w:spacing w:after="0"/>
              <w:rPr>
                <w:sz w:val="20"/>
                <w:szCs w:val="20"/>
                <w:color w:val="auto"/>
              </w:rPr>
            </w:pPr>
            <w:r>
              <w:rPr>
                <w:rFonts w:ascii="Times New Roman" w:cs="Times New Roman" w:eastAsia="Times New Roman" w:hAnsi="Times New Roman"/>
                <w:sz w:val="18"/>
                <w:szCs w:val="18"/>
                <w:color w:val="auto"/>
              </w:rPr>
              <w:t>(956)</w:t>
            </w:r>
          </w:p>
        </w:tc>
      </w:tr>
      <w:tr>
        <w:trPr>
          <w:trHeight w:val="192"/>
        </w:trPr>
        <w:tc>
          <w:tcPr>
            <w:tcW w:w="2100" w:type="dxa"/>
            <w:vAlign w:val="bottom"/>
            <w:shd w:val="clear" w:color="auto" w:fill="DBDBDB"/>
          </w:tcPr>
          <w:p>
            <w:pPr>
              <w:ind w:left="20"/>
              <w:spacing w:after="0" w:line="187" w:lineRule="exact"/>
              <w:rPr>
                <w:sz w:val="20"/>
                <w:szCs w:val="20"/>
                <w:color w:val="auto"/>
              </w:rPr>
            </w:pPr>
            <w:r>
              <w:rPr>
                <w:rFonts w:ascii="Times New Roman" w:cs="Times New Roman" w:eastAsia="Times New Roman" w:hAnsi="Times New Roman"/>
                <w:sz w:val="18"/>
                <w:szCs w:val="18"/>
                <w:color w:val="auto"/>
              </w:rPr>
              <w:t>Share-based compensation</w:t>
            </w:r>
          </w:p>
        </w:tc>
        <w:tc>
          <w:tcPr>
            <w:tcW w:w="160" w:type="dxa"/>
            <w:vAlign w:val="bottom"/>
            <w:tcBorders>
              <w:right w:val="single" w:sz="8" w:color="DBDBDB"/>
            </w:tcBorders>
            <w:shd w:val="clear" w:color="auto" w:fill="DBDBDB"/>
          </w:tcPr>
          <w:p>
            <w:pPr>
              <w:spacing w:after="0"/>
              <w:rPr>
                <w:sz w:val="16"/>
                <w:szCs w:val="16"/>
                <w:color w:val="auto"/>
              </w:rPr>
            </w:pPr>
          </w:p>
        </w:tc>
        <w:tc>
          <w:tcPr>
            <w:tcW w:w="720" w:type="dxa"/>
            <w:vAlign w:val="bottom"/>
            <w:shd w:val="clear" w:color="auto" w:fill="DBDBDB"/>
          </w:tcPr>
          <w:p>
            <w:pPr>
              <w:ind w:left="540"/>
              <w:spacing w:after="0" w:line="187" w:lineRule="exact"/>
              <w:rPr>
                <w:sz w:val="20"/>
                <w:szCs w:val="20"/>
                <w:color w:val="auto"/>
              </w:rPr>
            </w:pPr>
            <w:r>
              <w:rPr>
                <w:rFonts w:ascii="Times New Roman" w:cs="Times New Roman" w:eastAsia="Times New Roman" w:hAnsi="Times New Roman"/>
                <w:sz w:val="18"/>
                <w:szCs w:val="18"/>
                <w:color w:val="auto"/>
                <w:w w:val="88"/>
              </w:rPr>
              <w:t>—</w:t>
            </w:r>
          </w:p>
        </w:tc>
        <w:tc>
          <w:tcPr>
            <w:tcW w:w="20" w:type="dxa"/>
            <w:vAlign w:val="bottom"/>
            <w:shd w:val="clear" w:color="auto" w:fill="DBDBDB"/>
          </w:tcPr>
          <w:p>
            <w:pPr>
              <w:spacing w:after="0"/>
              <w:rPr>
                <w:sz w:val="16"/>
                <w:szCs w:val="16"/>
                <w:color w:val="auto"/>
              </w:rPr>
            </w:pPr>
          </w:p>
        </w:tc>
        <w:tc>
          <w:tcPr>
            <w:tcW w:w="140" w:type="dxa"/>
            <w:vAlign w:val="bottom"/>
            <w:tcBorders>
              <w:right w:val="single" w:sz="8" w:color="DBDBDB"/>
            </w:tcBorders>
            <w:shd w:val="clear" w:color="auto" w:fill="DBDBDB"/>
          </w:tcPr>
          <w:p>
            <w:pPr>
              <w:spacing w:after="0"/>
              <w:rPr>
                <w:sz w:val="16"/>
                <w:szCs w:val="16"/>
                <w:color w:val="auto"/>
              </w:rPr>
            </w:pPr>
          </w:p>
        </w:tc>
        <w:tc>
          <w:tcPr>
            <w:tcW w:w="560" w:type="dxa"/>
            <w:vAlign w:val="bottom"/>
            <w:shd w:val="clear" w:color="auto" w:fill="DBDBDB"/>
          </w:tcPr>
          <w:p>
            <w:pPr>
              <w:spacing w:after="0"/>
              <w:rPr>
                <w:sz w:val="16"/>
                <w:szCs w:val="16"/>
                <w:color w:val="auto"/>
              </w:rPr>
            </w:pPr>
          </w:p>
        </w:tc>
        <w:tc>
          <w:tcPr>
            <w:tcW w:w="240" w:type="dxa"/>
            <w:vAlign w:val="bottom"/>
            <w:tcBorders>
              <w:right w:val="single" w:sz="8" w:color="DBDBDB"/>
            </w:tcBorders>
            <w:shd w:val="clear" w:color="auto" w:fill="DBDBDB"/>
          </w:tcPr>
          <w:p>
            <w:pPr>
              <w:ind w:left="40"/>
              <w:spacing w:after="0" w:line="187" w:lineRule="exact"/>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right w:val="single" w:sz="8" w:color="DBDBDB"/>
            </w:tcBorders>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700" w:type="dxa"/>
            <w:vAlign w:val="bottom"/>
            <w:shd w:val="clear" w:color="auto" w:fill="DBDBDB"/>
          </w:tcPr>
          <w:p>
            <w:pPr>
              <w:jc w:val="right"/>
              <w:spacing w:after="0" w:line="187"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DBDBDB"/>
            </w:tcBorders>
            <w:shd w:val="clear" w:color="auto" w:fill="DBDBDB"/>
          </w:tcPr>
          <w:p>
            <w:pPr>
              <w:spacing w:after="0"/>
              <w:rPr>
                <w:sz w:val="16"/>
                <w:szCs w:val="16"/>
                <w:color w:val="auto"/>
              </w:rPr>
            </w:pPr>
          </w:p>
        </w:tc>
        <w:tc>
          <w:tcPr>
            <w:tcW w:w="560" w:type="dxa"/>
            <w:vAlign w:val="bottom"/>
            <w:shd w:val="clear" w:color="auto" w:fill="DBDBDB"/>
          </w:tcPr>
          <w:p>
            <w:pPr>
              <w:spacing w:after="0"/>
              <w:rPr>
                <w:sz w:val="16"/>
                <w:szCs w:val="16"/>
                <w:color w:val="auto"/>
              </w:rPr>
            </w:pPr>
          </w:p>
        </w:tc>
        <w:tc>
          <w:tcPr>
            <w:tcW w:w="220" w:type="dxa"/>
            <w:vAlign w:val="bottom"/>
            <w:shd w:val="clear" w:color="auto" w:fill="DBDBDB"/>
          </w:tcPr>
          <w:p>
            <w:pPr>
              <w:jc w:val="right"/>
              <w:spacing w:after="0" w:line="187"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DBDBDB"/>
            </w:tcBorders>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780" w:type="dxa"/>
            <w:vAlign w:val="bottom"/>
            <w:shd w:val="clear" w:color="auto" w:fill="DBDBDB"/>
          </w:tcPr>
          <w:p>
            <w:pPr>
              <w:jc w:val="right"/>
              <w:spacing w:after="0" w:line="187" w:lineRule="exact"/>
              <w:rPr>
                <w:sz w:val="20"/>
                <w:szCs w:val="20"/>
                <w:color w:val="auto"/>
              </w:rPr>
            </w:pPr>
            <w:r>
              <w:rPr>
                <w:rFonts w:ascii="Times New Roman" w:cs="Times New Roman" w:eastAsia="Times New Roman" w:hAnsi="Times New Roman"/>
                <w:sz w:val="18"/>
                <w:szCs w:val="18"/>
                <w:color w:val="auto"/>
              </w:rPr>
              <w:t>11,884</w:t>
            </w:r>
          </w:p>
        </w:tc>
        <w:tc>
          <w:tcPr>
            <w:tcW w:w="20" w:type="dxa"/>
            <w:vAlign w:val="bottom"/>
            <w:shd w:val="clear" w:color="auto" w:fill="DBDBDB"/>
          </w:tcPr>
          <w:p>
            <w:pPr>
              <w:spacing w:after="0"/>
              <w:rPr>
                <w:sz w:val="16"/>
                <w:szCs w:val="16"/>
                <w:color w:val="auto"/>
              </w:rPr>
            </w:pPr>
          </w:p>
        </w:tc>
        <w:tc>
          <w:tcPr>
            <w:tcW w:w="140" w:type="dxa"/>
            <w:vAlign w:val="bottom"/>
            <w:tcBorders>
              <w:right w:val="single" w:sz="8" w:color="DBDBDB"/>
            </w:tcBorders>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1000" w:type="dxa"/>
            <w:vAlign w:val="bottom"/>
            <w:shd w:val="clear" w:color="auto" w:fill="DBDBDB"/>
          </w:tcPr>
          <w:p>
            <w:pPr>
              <w:jc w:val="right"/>
              <w:spacing w:after="0" w:line="187"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80" w:type="dxa"/>
            <w:vAlign w:val="bottom"/>
            <w:tcBorders>
              <w:right w:val="single" w:sz="8" w:color="DBDBDB"/>
            </w:tcBorders>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940" w:type="dxa"/>
            <w:vAlign w:val="bottom"/>
            <w:shd w:val="clear" w:color="auto" w:fill="DBDBDB"/>
          </w:tcPr>
          <w:p>
            <w:pPr>
              <w:jc w:val="right"/>
              <w:spacing w:after="0" w:line="187"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DBDBDB"/>
          </w:tcPr>
          <w:p>
            <w:pPr>
              <w:spacing w:after="0"/>
              <w:rPr>
                <w:sz w:val="16"/>
                <w:szCs w:val="16"/>
                <w:color w:val="auto"/>
              </w:rPr>
            </w:pPr>
          </w:p>
        </w:tc>
        <w:tc>
          <w:tcPr>
            <w:tcW w:w="80" w:type="dxa"/>
            <w:vAlign w:val="bottom"/>
            <w:tcBorders>
              <w:right w:val="single" w:sz="8" w:color="DBDBDB"/>
            </w:tcBorders>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920" w:type="dxa"/>
            <w:vAlign w:val="bottom"/>
            <w:shd w:val="clear" w:color="auto" w:fill="DBDBDB"/>
          </w:tcPr>
          <w:p>
            <w:pPr>
              <w:jc w:val="right"/>
              <w:spacing w:after="0" w:line="187" w:lineRule="exact"/>
              <w:rPr>
                <w:sz w:val="20"/>
                <w:szCs w:val="20"/>
                <w:color w:val="auto"/>
              </w:rPr>
            </w:pPr>
            <w:r>
              <w:rPr>
                <w:rFonts w:ascii="Times New Roman" w:cs="Times New Roman" w:eastAsia="Times New Roman" w:hAnsi="Times New Roman"/>
                <w:sz w:val="18"/>
                <w:szCs w:val="18"/>
                <w:color w:val="auto"/>
              </w:rPr>
              <w:t>11,884</w:t>
            </w:r>
          </w:p>
        </w:tc>
      </w:tr>
      <w:tr>
        <w:trPr>
          <w:trHeight w:val="188"/>
        </w:trPr>
        <w:tc>
          <w:tcPr>
            <w:tcW w:w="226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Foreign currency translation</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28"/>
        </w:trPr>
        <w:tc>
          <w:tcPr>
            <w:tcW w:w="2260" w:type="dxa"/>
            <w:vAlign w:val="bottom"/>
            <w:tcBorders>
              <w:bottom w:val="single" w:sz="8" w:color="DBDBDB"/>
            </w:tcBorders>
            <w:gridSpan w:val="2"/>
          </w:tcPr>
          <w:p>
            <w:pPr>
              <w:ind w:left="20"/>
              <w:spacing w:after="0"/>
              <w:rPr>
                <w:sz w:val="20"/>
                <w:szCs w:val="20"/>
                <w:color w:val="auto"/>
              </w:rPr>
            </w:pPr>
            <w:r>
              <w:rPr>
                <w:rFonts w:ascii="Times New Roman" w:cs="Times New Roman" w:eastAsia="Times New Roman" w:hAnsi="Times New Roman"/>
                <w:sz w:val="18"/>
                <w:szCs w:val="18"/>
                <w:color w:val="auto"/>
              </w:rPr>
              <w:t>adjustment</w:t>
            </w:r>
          </w:p>
        </w:tc>
        <w:tc>
          <w:tcPr>
            <w:tcW w:w="740" w:type="dxa"/>
            <w:vAlign w:val="bottom"/>
            <w:tcBorders>
              <w:bottom w:val="single" w:sz="8" w:color="DBDBDB"/>
            </w:tcBorders>
            <w:gridSpan w:val="2"/>
          </w:tcPr>
          <w:p>
            <w:pPr>
              <w:ind w:left="54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bottom w:val="single" w:sz="8" w:color="DBDBDB"/>
            </w:tcBorders>
          </w:tcPr>
          <w:p>
            <w:pPr>
              <w:spacing w:after="0"/>
              <w:rPr>
                <w:sz w:val="19"/>
                <w:szCs w:val="19"/>
                <w:color w:val="auto"/>
              </w:rPr>
            </w:pPr>
          </w:p>
        </w:tc>
        <w:tc>
          <w:tcPr>
            <w:tcW w:w="560" w:type="dxa"/>
            <w:vAlign w:val="bottom"/>
            <w:tcBorders>
              <w:bottom w:val="single" w:sz="8" w:color="DBDBDB"/>
            </w:tcBorders>
          </w:tcPr>
          <w:p>
            <w:pPr>
              <w:spacing w:after="0"/>
              <w:rPr>
                <w:sz w:val="19"/>
                <w:szCs w:val="19"/>
                <w:color w:val="auto"/>
              </w:rPr>
            </w:pPr>
          </w:p>
        </w:tc>
        <w:tc>
          <w:tcPr>
            <w:tcW w:w="240" w:type="dxa"/>
            <w:vAlign w:val="bottom"/>
            <w:tcBorders>
              <w:bottom w:val="single" w:sz="8" w:color="DBDBDB"/>
            </w:tcBorders>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DBDBDB"/>
            </w:tcBorders>
          </w:tcPr>
          <w:p>
            <w:pPr>
              <w:spacing w:after="0"/>
              <w:rPr>
                <w:sz w:val="19"/>
                <w:szCs w:val="19"/>
                <w:color w:val="auto"/>
              </w:rPr>
            </w:pPr>
          </w:p>
        </w:tc>
        <w:tc>
          <w:tcPr>
            <w:tcW w:w="80" w:type="dxa"/>
            <w:vAlign w:val="bottom"/>
            <w:tcBorders>
              <w:bottom w:val="single" w:sz="8" w:color="DBDBDB"/>
            </w:tcBorders>
          </w:tcPr>
          <w:p>
            <w:pPr>
              <w:spacing w:after="0"/>
              <w:rPr>
                <w:sz w:val="19"/>
                <w:szCs w:val="19"/>
                <w:color w:val="auto"/>
              </w:rPr>
            </w:pPr>
          </w:p>
        </w:tc>
        <w:tc>
          <w:tcPr>
            <w:tcW w:w="700" w:type="dxa"/>
            <w:vAlign w:val="bottom"/>
            <w:tcBorders>
              <w:bottom w:val="single" w:sz="8" w:color="DBDBDB"/>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DBDBDB"/>
            </w:tcBorders>
          </w:tcPr>
          <w:p>
            <w:pPr>
              <w:spacing w:after="0"/>
              <w:rPr>
                <w:sz w:val="19"/>
                <w:szCs w:val="19"/>
                <w:color w:val="auto"/>
              </w:rPr>
            </w:pPr>
          </w:p>
        </w:tc>
        <w:tc>
          <w:tcPr>
            <w:tcW w:w="560" w:type="dxa"/>
            <w:vAlign w:val="bottom"/>
            <w:tcBorders>
              <w:bottom w:val="single" w:sz="8" w:color="DBDBDB"/>
            </w:tcBorders>
          </w:tcPr>
          <w:p>
            <w:pPr>
              <w:spacing w:after="0"/>
              <w:rPr>
                <w:sz w:val="19"/>
                <w:szCs w:val="19"/>
                <w:color w:val="auto"/>
              </w:rPr>
            </w:pPr>
          </w:p>
        </w:tc>
        <w:tc>
          <w:tcPr>
            <w:tcW w:w="220" w:type="dxa"/>
            <w:vAlign w:val="bottom"/>
            <w:tcBorders>
              <w:bottom w:val="single" w:sz="8" w:color="DBDBDB"/>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DBDBDB"/>
            </w:tcBorders>
          </w:tcPr>
          <w:p>
            <w:pPr>
              <w:spacing w:after="0"/>
              <w:rPr>
                <w:sz w:val="19"/>
                <w:szCs w:val="19"/>
                <w:color w:val="auto"/>
              </w:rPr>
            </w:pPr>
          </w:p>
        </w:tc>
        <w:tc>
          <w:tcPr>
            <w:tcW w:w="120" w:type="dxa"/>
            <w:vAlign w:val="bottom"/>
            <w:tcBorders>
              <w:bottom w:val="single" w:sz="8" w:color="DBDBDB"/>
            </w:tcBorders>
          </w:tcPr>
          <w:p>
            <w:pPr>
              <w:spacing w:after="0"/>
              <w:rPr>
                <w:sz w:val="19"/>
                <w:szCs w:val="19"/>
                <w:color w:val="auto"/>
              </w:rPr>
            </w:pPr>
          </w:p>
        </w:tc>
        <w:tc>
          <w:tcPr>
            <w:tcW w:w="800" w:type="dxa"/>
            <w:vAlign w:val="bottom"/>
            <w:tcBorders>
              <w:bottom w:val="single" w:sz="8" w:color="DBDBDB"/>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DBDBDB"/>
            </w:tcBorders>
          </w:tcPr>
          <w:p>
            <w:pPr>
              <w:spacing w:after="0"/>
              <w:rPr>
                <w:sz w:val="19"/>
                <w:szCs w:val="19"/>
                <w:color w:val="auto"/>
              </w:rPr>
            </w:pPr>
          </w:p>
        </w:tc>
        <w:tc>
          <w:tcPr>
            <w:tcW w:w="140" w:type="dxa"/>
            <w:vAlign w:val="bottom"/>
            <w:tcBorders>
              <w:bottom w:val="single" w:sz="8" w:color="DBDBDB"/>
            </w:tcBorders>
          </w:tcPr>
          <w:p>
            <w:pPr>
              <w:spacing w:after="0"/>
              <w:rPr>
                <w:sz w:val="19"/>
                <w:szCs w:val="19"/>
                <w:color w:val="auto"/>
              </w:rPr>
            </w:pPr>
          </w:p>
        </w:tc>
        <w:tc>
          <w:tcPr>
            <w:tcW w:w="1000" w:type="dxa"/>
            <w:vAlign w:val="bottom"/>
            <w:tcBorders>
              <w:bottom w:val="single" w:sz="8" w:color="DBDBDB"/>
            </w:tcBorders>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20" w:type="dxa"/>
            <w:vAlign w:val="bottom"/>
            <w:tcBorders>
              <w:bottom w:val="single" w:sz="8" w:color="DBDBDB"/>
            </w:tcBorders>
          </w:tcPr>
          <w:p>
            <w:pPr>
              <w:spacing w:after="0"/>
              <w:rPr>
                <w:sz w:val="19"/>
                <w:szCs w:val="19"/>
                <w:color w:val="auto"/>
              </w:rPr>
            </w:pPr>
          </w:p>
        </w:tc>
        <w:tc>
          <w:tcPr>
            <w:tcW w:w="60" w:type="dxa"/>
            <w:vAlign w:val="bottom"/>
            <w:tcBorders>
              <w:bottom w:val="single" w:sz="8" w:color="DBDBDB"/>
            </w:tcBorders>
          </w:tcPr>
          <w:p>
            <w:pPr>
              <w:spacing w:after="0"/>
              <w:rPr>
                <w:sz w:val="19"/>
                <w:szCs w:val="19"/>
                <w:color w:val="auto"/>
              </w:rPr>
            </w:pPr>
          </w:p>
        </w:tc>
        <w:tc>
          <w:tcPr>
            <w:tcW w:w="80" w:type="dxa"/>
            <w:vAlign w:val="bottom"/>
            <w:tcBorders>
              <w:bottom w:val="single" w:sz="8" w:color="DBDBDB"/>
            </w:tcBorders>
          </w:tcPr>
          <w:p>
            <w:pPr>
              <w:spacing w:after="0"/>
              <w:rPr>
                <w:sz w:val="19"/>
                <w:szCs w:val="19"/>
                <w:color w:val="auto"/>
              </w:rPr>
            </w:pPr>
          </w:p>
        </w:tc>
        <w:tc>
          <w:tcPr>
            <w:tcW w:w="140" w:type="dxa"/>
            <w:vAlign w:val="bottom"/>
            <w:tcBorders>
              <w:bottom w:val="single" w:sz="8" w:color="DBDBDB"/>
            </w:tcBorders>
          </w:tcPr>
          <w:p>
            <w:pPr>
              <w:spacing w:after="0"/>
              <w:rPr>
                <w:sz w:val="19"/>
                <w:szCs w:val="19"/>
                <w:color w:val="auto"/>
              </w:rPr>
            </w:pPr>
          </w:p>
        </w:tc>
        <w:tc>
          <w:tcPr>
            <w:tcW w:w="1020" w:type="dxa"/>
            <w:vAlign w:val="bottom"/>
            <w:tcBorders>
              <w:bottom w:val="single" w:sz="8" w:color="DBDBDB"/>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DBDBDB"/>
            </w:tcBorders>
          </w:tcPr>
          <w:p>
            <w:pPr>
              <w:spacing w:after="0"/>
              <w:rPr>
                <w:sz w:val="19"/>
                <w:szCs w:val="19"/>
                <w:color w:val="auto"/>
              </w:rPr>
            </w:pPr>
          </w:p>
        </w:tc>
        <w:tc>
          <w:tcPr>
            <w:tcW w:w="120" w:type="dxa"/>
            <w:vAlign w:val="bottom"/>
            <w:tcBorders>
              <w:bottom w:val="single" w:sz="8" w:color="DBDBDB"/>
            </w:tcBorders>
          </w:tcPr>
          <w:p>
            <w:pPr>
              <w:spacing w:after="0"/>
              <w:rPr>
                <w:sz w:val="19"/>
                <w:szCs w:val="19"/>
                <w:color w:val="auto"/>
              </w:rPr>
            </w:pPr>
          </w:p>
        </w:tc>
        <w:tc>
          <w:tcPr>
            <w:tcW w:w="920" w:type="dxa"/>
            <w:vAlign w:val="bottom"/>
            <w:tcBorders>
              <w:bottom w:val="single" w:sz="8" w:color="DBDBDB"/>
            </w:tcBorders>
          </w:tcPr>
          <w:p>
            <w:pPr>
              <w:jc w:val="right"/>
              <w:spacing w:after="0"/>
              <w:rPr>
                <w:sz w:val="20"/>
                <w:szCs w:val="20"/>
                <w:color w:val="auto"/>
              </w:rPr>
            </w:pPr>
            <w:r>
              <w:rPr>
                <w:rFonts w:ascii="Times New Roman" w:cs="Times New Roman" w:eastAsia="Times New Roman" w:hAnsi="Times New Roman"/>
                <w:sz w:val="18"/>
                <w:szCs w:val="18"/>
                <w:color w:val="auto"/>
              </w:rPr>
              <w:t>(1,208)</w:t>
            </w:r>
          </w:p>
        </w:tc>
      </w:tr>
      <w:tr>
        <w:trPr>
          <w:trHeight w:val="217"/>
        </w:trPr>
        <w:tc>
          <w:tcPr>
            <w:tcW w:w="2100" w:type="dxa"/>
            <w:vAlign w:val="bottom"/>
            <w:shd w:val="clear" w:color="auto" w:fill="DBDBDB"/>
          </w:tcPr>
          <w:p>
            <w:pPr>
              <w:ind w:left="20"/>
              <w:spacing w:after="0" w:line="185" w:lineRule="exact"/>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Borders>
              <w:right w:val="single" w:sz="8" w:color="DBDBDB"/>
            </w:tcBorders>
            <w:shd w:val="clear" w:color="auto" w:fill="DBDBDB"/>
          </w:tcPr>
          <w:p>
            <w:pPr>
              <w:spacing w:after="0"/>
              <w:rPr>
                <w:sz w:val="18"/>
                <w:szCs w:val="18"/>
                <w:color w:val="auto"/>
              </w:rPr>
            </w:pPr>
          </w:p>
        </w:tc>
        <w:tc>
          <w:tcPr>
            <w:tcW w:w="720" w:type="dxa"/>
            <w:vAlign w:val="bottom"/>
            <w:tcBorders>
              <w:bottom w:val="single" w:sz="8" w:color="DBDBDB"/>
            </w:tcBorders>
            <w:shd w:val="clear" w:color="auto" w:fill="DBDBDB"/>
          </w:tcPr>
          <w:p>
            <w:pPr>
              <w:ind w:left="540"/>
              <w:spacing w:after="0" w:line="185" w:lineRule="exact"/>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bottom w:val="single" w:sz="8" w:color="DBDBDB"/>
            </w:tcBorders>
            <w:shd w:val="clear" w:color="auto" w:fill="DBDBDB"/>
          </w:tcPr>
          <w:p>
            <w:pPr>
              <w:spacing w:after="0"/>
              <w:rPr>
                <w:sz w:val="18"/>
                <w:szCs w:val="18"/>
                <w:color w:val="auto"/>
              </w:rPr>
            </w:pPr>
          </w:p>
        </w:tc>
        <w:tc>
          <w:tcPr>
            <w:tcW w:w="140" w:type="dxa"/>
            <w:vAlign w:val="bottom"/>
            <w:tcBorders>
              <w:right w:val="single" w:sz="8" w:color="DBDBDB"/>
            </w:tcBorders>
            <w:shd w:val="clear" w:color="auto" w:fill="DBDBDB"/>
          </w:tcPr>
          <w:p>
            <w:pPr>
              <w:spacing w:after="0"/>
              <w:rPr>
                <w:sz w:val="18"/>
                <w:szCs w:val="18"/>
                <w:color w:val="auto"/>
              </w:rPr>
            </w:pPr>
          </w:p>
        </w:tc>
        <w:tc>
          <w:tcPr>
            <w:tcW w:w="560" w:type="dxa"/>
            <w:vAlign w:val="bottom"/>
            <w:tcBorders>
              <w:bottom w:val="single" w:sz="8" w:color="DBDBDB"/>
            </w:tcBorders>
            <w:shd w:val="clear" w:color="auto" w:fill="DBDBDB"/>
          </w:tcPr>
          <w:p>
            <w:pPr>
              <w:spacing w:after="0"/>
              <w:rPr>
                <w:sz w:val="18"/>
                <w:szCs w:val="18"/>
                <w:color w:val="auto"/>
              </w:rPr>
            </w:pPr>
          </w:p>
        </w:tc>
        <w:tc>
          <w:tcPr>
            <w:tcW w:w="240" w:type="dxa"/>
            <w:vAlign w:val="bottom"/>
            <w:tcBorders>
              <w:bottom w:val="single" w:sz="8" w:color="DBDBDB"/>
              <w:right w:val="single" w:sz="8" w:color="DBDBDB"/>
            </w:tcBorders>
            <w:shd w:val="clear" w:color="auto" w:fill="DBDBDB"/>
          </w:tcPr>
          <w:p>
            <w:pPr>
              <w:ind w:left="40"/>
              <w:spacing w:after="0" w:line="185" w:lineRule="exact"/>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right w:val="single" w:sz="8" w:color="DBDBDB"/>
            </w:tcBorders>
            <w:shd w:val="clear" w:color="auto" w:fill="DBDBDB"/>
          </w:tcPr>
          <w:p>
            <w:pPr>
              <w:spacing w:after="0"/>
              <w:rPr>
                <w:sz w:val="18"/>
                <w:szCs w:val="18"/>
                <w:color w:val="auto"/>
              </w:rPr>
            </w:pPr>
          </w:p>
        </w:tc>
        <w:tc>
          <w:tcPr>
            <w:tcW w:w="80" w:type="dxa"/>
            <w:vAlign w:val="bottom"/>
            <w:tcBorders>
              <w:bottom w:val="single" w:sz="8" w:color="DBDBDB"/>
            </w:tcBorders>
            <w:shd w:val="clear" w:color="auto" w:fill="DBDBDB"/>
          </w:tcPr>
          <w:p>
            <w:pPr>
              <w:spacing w:after="0"/>
              <w:rPr>
                <w:sz w:val="18"/>
                <w:szCs w:val="18"/>
                <w:color w:val="auto"/>
              </w:rPr>
            </w:pPr>
          </w:p>
        </w:tc>
        <w:tc>
          <w:tcPr>
            <w:tcW w:w="700" w:type="dxa"/>
            <w:vAlign w:val="bottom"/>
            <w:tcBorders>
              <w:bottom w:val="single" w:sz="8" w:color="DBDBDB"/>
            </w:tcBorders>
            <w:shd w:val="clear" w:color="auto" w:fill="DBDBDB"/>
          </w:tcPr>
          <w:p>
            <w:pPr>
              <w:jc w:val="right"/>
              <w:spacing w:after="0" w:line="185"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DBDBDB"/>
            </w:tcBorders>
            <w:shd w:val="clear" w:color="auto" w:fill="DBDBDB"/>
          </w:tcPr>
          <w:p>
            <w:pPr>
              <w:spacing w:after="0"/>
              <w:rPr>
                <w:sz w:val="18"/>
                <w:szCs w:val="18"/>
                <w:color w:val="auto"/>
              </w:rPr>
            </w:pPr>
          </w:p>
        </w:tc>
        <w:tc>
          <w:tcPr>
            <w:tcW w:w="560" w:type="dxa"/>
            <w:vAlign w:val="bottom"/>
            <w:tcBorders>
              <w:bottom w:val="single" w:sz="8" w:color="DBDBDB"/>
            </w:tcBorders>
            <w:shd w:val="clear" w:color="auto" w:fill="DBDBDB"/>
          </w:tcPr>
          <w:p>
            <w:pPr>
              <w:spacing w:after="0"/>
              <w:rPr>
                <w:sz w:val="18"/>
                <w:szCs w:val="18"/>
                <w:color w:val="auto"/>
              </w:rPr>
            </w:pPr>
          </w:p>
        </w:tc>
        <w:tc>
          <w:tcPr>
            <w:tcW w:w="220" w:type="dxa"/>
            <w:vAlign w:val="bottom"/>
            <w:tcBorders>
              <w:bottom w:val="single" w:sz="8" w:color="DBDBDB"/>
            </w:tcBorders>
            <w:shd w:val="clear" w:color="auto" w:fill="DBDBDB"/>
          </w:tcPr>
          <w:p>
            <w:pPr>
              <w:jc w:val="right"/>
              <w:spacing w:after="0" w:line="185"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DBDBDB"/>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780" w:type="dxa"/>
            <w:vAlign w:val="bottom"/>
            <w:tcBorders>
              <w:bottom w:val="single" w:sz="8" w:color="DBDBDB"/>
            </w:tcBorders>
            <w:shd w:val="clear" w:color="auto" w:fill="DBDBDB"/>
          </w:tcPr>
          <w:p>
            <w:pPr>
              <w:jc w:val="right"/>
              <w:spacing w:after="0" w:line="185"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DBDBDB"/>
          </w:tcPr>
          <w:p>
            <w:pPr>
              <w:spacing w:after="0"/>
              <w:rPr>
                <w:sz w:val="18"/>
                <w:szCs w:val="18"/>
                <w:color w:val="auto"/>
              </w:rPr>
            </w:pPr>
          </w:p>
        </w:tc>
        <w:tc>
          <w:tcPr>
            <w:tcW w:w="140" w:type="dxa"/>
            <w:vAlign w:val="bottom"/>
            <w:tcBorders>
              <w:right w:val="single" w:sz="8" w:color="DBDBDB"/>
            </w:tcBorders>
            <w:shd w:val="clear" w:color="auto" w:fill="DBDBDB"/>
          </w:tcPr>
          <w:p>
            <w:pPr>
              <w:spacing w:after="0"/>
              <w:rPr>
                <w:sz w:val="18"/>
                <w:szCs w:val="18"/>
                <w:color w:val="auto"/>
              </w:rPr>
            </w:pPr>
          </w:p>
        </w:tc>
        <w:tc>
          <w:tcPr>
            <w:tcW w:w="140" w:type="dxa"/>
            <w:vAlign w:val="bottom"/>
            <w:tcBorders>
              <w:bottom w:val="single" w:sz="8" w:color="DBDBDB"/>
            </w:tcBorders>
            <w:shd w:val="clear" w:color="auto" w:fill="DBDBDB"/>
          </w:tcPr>
          <w:p>
            <w:pPr>
              <w:spacing w:after="0"/>
              <w:rPr>
                <w:sz w:val="18"/>
                <w:szCs w:val="18"/>
                <w:color w:val="auto"/>
              </w:rPr>
            </w:pPr>
          </w:p>
        </w:tc>
        <w:tc>
          <w:tcPr>
            <w:tcW w:w="1000" w:type="dxa"/>
            <w:vAlign w:val="bottom"/>
            <w:tcBorders>
              <w:bottom w:val="single" w:sz="8" w:color="DBDBDB"/>
            </w:tcBorders>
            <w:shd w:val="clear" w:color="auto" w:fill="DBDBDB"/>
          </w:tcPr>
          <w:p>
            <w:pPr>
              <w:jc w:val="right"/>
              <w:spacing w:after="0" w:line="185"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80" w:type="dxa"/>
            <w:vAlign w:val="bottom"/>
            <w:tcBorders>
              <w:right w:val="single" w:sz="8" w:color="DBDBDB"/>
            </w:tcBorders>
            <w:shd w:val="clear" w:color="auto" w:fill="DBDBDB"/>
          </w:tcPr>
          <w:p>
            <w:pPr>
              <w:spacing w:after="0"/>
              <w:rPr>
                <w:sz w:val="18"/>
                <w:szCs w:val="18"/>
                <w:color w:val="auto"/>
              </w:rPr>
            </w:pPr>
          </w:p>
        </w:tc>
        <w:tc>
          <w:tcPr>
            <w:tcW w:w="140" w:type="dxa"/>
            <w:vAlign w:val="bottom"/>
            <w:tcBorders>
              <w:bottom w:val="single" w:sz="8" w:color="DBDBDB"/>
            </w:tcBorders>
            <w:shd w:val="clear" w:color="auto" w:fill="DBDBDB"/>
          </w:tcPr>
          <w:p>
            <w:pPr>
              <w:spacing w:after="0"/>
              <w:rPr>
                <w:sz w:val="18"/>
                <w:szCs w:val="18"/>
                <w:color w:val="auto"/>
              </w:rPr>
            </w:pPr>
          </w:p>
        </w:tc>
        <w:tc>
          <w:tcPr>
            <w:tcW w:w="940" w:type="dxa"/>
            <w:vAlign w:val="bottom"/>
            <w:tcBorders>
              <w:bottom w:val="single" w:sz="8" w:color="DBDBDB"/>
            </w:tcBorders>
            <w:shd w:val="clear" w:color="auto" w:fill="DBDBDB"/>
          </w:tcPr>
          <w:p>
            <w:pPr>
              <w:jc w:val="right"/>
              <w:spacing w:after="0" w:line="185" w:lineRule="exact"/>
              <w:rPr>
                <w:sz w:val="20"/>
                <w:szCs w:val="20"/>
                <w:color w:val="auto"/>
              </w:rPr>
            </w:pPr>
            <w:r>
              <w:rPr>
                <w:rFonts w:ascii="Times New Roman" w:cs="Times New Roman" w:eastAsia="Times New Roman" w:hAnsi="Times New Roman"/>
                <w:sz w:val="18"/>
                <w:szCs w:val="18"/>
                <w:color w:val="auto"/>
              </w:rPr>
              <w:t>(56,048)</w:t>
            </w:r>
          </w:p>
        </w:tc>
        <w:tc>
          <w:tcPr>
            <w:tcW w:w="80" w:type="dxa"/>
            <w:vAlign w:val="bottom"/>
            <w:shd w:val="clear" w:color="auto" w:fill="DBDBDB"/>
          </w:tcPr>
          <w:p>
            <w:pPr>
              <w:spacing w:after="0"/>
              <w:rPr>
                <w:sz w:val="18"/>
                <w:szCs w:val="18"/>
                <w:color w:val="auto"/>
              </w:rPr>
            </w:pPr>
          </w:p>
        </w:tc>
        <w:tc>
          <w:tcPr>
            <w:tcW w:w="80" w:type="dxa"/>
            <w:vAlign w:val="bottom"/>
            <w:tcBorders>
              <w:right w:val="single" w:sz="8" w:color="DBDBDB"/>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920" w:type="dxa"/>
            <w:vAlign w:val="bottom"/>
            <w:tcBorders>
              <w:bottom w:val="single" w:sz="8" w:color="DBDBDB"/>
            </w:tcBorders>
            <w:shd w:val="clear" w:color="auto" w:fill="DBDBDB"/>
          </w:tcPr>
          <w:p>
            <w:pPr>
              <w:jc w:val="right"/>
              <w:spacing w:after="0" w:line="185" w:lineRule="exact"/>
              <w:rPr>
                <w:sz w:val="20"/>
                <w:szCs w:val="20"/>
                <w:color w:val="auto"/>
              </w:rPr>
            </w:pPr>
            <w:r>
              <w:rPr>
                <w:rFonts w:ascii="Times New Roman" w:cs="Times New Roman" w:eastAsia="Times New Roman" w:hAnsi="Times New Roman"/>
                <w:sz w:val="18"/>
                <w:szCs w:val="18"/>
                <w:color w:val="auto"/>
              </w:rPr>
              <w:t>(56,048)</w:t>
            </w:r>
          </w:p>
        </w:tc>
      </w:tr>
      <w:tr>
        <w:trPr>
          <w:trHeight w:val="222"/>
        </w:trPr>
        <w:tc>
          <w:tcPr>
            <w:tcW w:w="2260" w:type="dxa"/>
            <w:vAlign w:val="bottom"/>
            <w:tcBorders>
              <w:bottom w:val="single" w:sz="8" w:color="DBDBDB"/>
            </w:tcBorders>
            <w:gridSpan w:val="2"/>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December 31, 2023</w:t>
            </w:r>
          </w:p>
        </w:tc>
        <w:tc>
          <w:tcPr>
            <w:tcW w:w="720" w:type="dxa"/>
            <w:vAlign w:val="bottom"/>
            <w:tcBorders>
              <w:top w:val="single" w:sz="8" w:color="auto"/>
              <w:bottom w:val="single" w:sz="8" w:color="DBDBDB"/>
            </w:tcBorders>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top w:val="single" w:sz="8" w:color="DBDBDB"/>
              <w:bottom w:val="single" w:sz="8" w:color="DBDBDB"/>
            </w:tcBorders>
          </w:tcPr>
          <w:p>
            <w:pPr>
              <w:spacing w:after="0"/>
              <w:rPr>
                <w:sz w:val="19"/>
                <w:szCs w:val="19"/>
                <w:color w:val="auto"/>
              </w:rPr>
            </w:pPr>
          </w:p>
        </w:tc>
        <w:tc>
          <w:tcPr>
            <w:tcW w:w="140" w:type="dxa"/>
            <w:vAlign w:val="bottom"/>
            <w:tcBorders>
              <w:bottom w:val="single" w:sz="8" w:color="DBDBDB"/>
            </w:tcBorders>
          </w:tcPr>
          <w:p>
            <w:pPr>
              <w:spacing w:after="0"/>
              <w:rPr>
                <w:sz w:val="19"/>
                <w:szCs w:val="19"/>
                <w:color w:val="auto"/>
              </w:rPr>
            </w:pPr>
          </w:p>
        </w:tc>
        <w:tc>
          <w:tcPr>
            <w:tcW w:w="560" w:type="dxa"/>
            <w:vAlign w:val="bottom"/>
            <w:tcBorders>
              <w:top w:val="single" w:sz="8" w:color="auto"/>
              <w:bottom w:val="single" w:sz="8" w:color="DBDBDB"/>
            </w:tcBorders>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top w:val="single" w:sz="8" w:color="auto"/>
              <w:bottom w:val="single" w:sz="8" w:color="DBDBDB"/>
            </w:tcBorders>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DBDBDB"/>
            </w:tcBorders>
          </w:tcPr>
          <w:p>
            <w:pPr>
              <w:spacing w:after="0"/>
              <w:rPr>
                <w:sz w:val="19"/>
                <w:szCs w:val="19"/>
                <w:color w:val="auto"/>
              </w:rPr>
            </w:pPr>
          </w:p>
        </w:tc>
        <w:tc>
          <w:tcPr>
            <w:tcW w:w="780" w:type="dxa"/>
            <w:vAlign w:val="bottom"/>
            <w:tcBorders>
              <w:top w:val="single" w:sz="8" w:color="auto"/>
              <w:bottom w:val="single" w:sz="8" w:color="DBDBDB"/>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38,148</w:t>
            </w:r>
          </w:p>
        </w:tc>
        <w:tc>
          <w:tcPr>
            <w:tcW w:w="160" w:type="dxa"/>
            <w:vAlign w:val="bottom"/>
            <w:tcBorders>
              <w:bottom w:val="single" w:sz="8" w:color="DBDBDB"/>
            </w:tcBorders>
          </w:tcPr>
          <w:p>
            <w:pPr>
              <w:spacing w:after="0"/>
              <w:rPr>
                <w:sz w:val="19"/>
                <w:szCs w:val="19"/>
                <w:color w:val="auto"/>
              </w:rPr>
            </w:pPr>
          </w:p>
        </w:tc>
        <w:tc>
          <w:tcPr>
            <w:tcW w:w="560" w:type="dxa"/>
            <w:vAlign w:val="bottom"/>
            <w:tcBorders>
              <w:top w:val="single" w:sz="8" w:color="auto"/>
              <w:bottom w:val="single" w:sz="8" w:color="DBDBDB"/>
            </w:tcBorders>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auto"/>
              <w:bottom w:val="single" w:sz="8" w:color="DBDBDB"/>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tcBorders>
              <w:bottom w:val="single" w:sz="8" w:color="DBDBDB"/>
            </w:tcBorders>
          </w:tcPr>
          <w:p>
            <w:pPr>
              <w:spacing w:after="0"/>
              <w:rPr>
                <w:sz w:val="19"/>
                <w:szCs w:val="19"/>
                <w:color w:val="auto"/>
              </w:rPr>
            </w:pPr>
          </w:p>
        </w:tc>
        <w:tc>
          <w:tcPr>
            <w:tcW w:w="120" w:type="dxa"/>
            <w:vAlign w:val="bottom"/>
            <w:tcBorders>
              <w:top w:val="single" w:sz="8" w:color="auto"/>
              <w:bottom w:val="single" w:sz="8" w:color="DBDBDB"/>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DBDBDB"/>
            </w:tcBorders>
          </w:tcPr>
          <w:p>
            <w:pPr>
              <w:jc w:val="right"/>
              <w:spacing w:after="0"/>
              <w:rPr>
                <w:sz w:val="20"/>
                <w:szCs w:val="20"/>
                <w:color w:val="auto"/>
              </w:rPr>
            </w:pPr>
            <w:r>
              <w:rPr>
                <w:rFonts w:ascii="Times New Roman" w:cs="Times New Roman" w:eastAsia="Times New Roman" w:hAnsi="Times New Roman"/>
                <w:sz w:val="18"/>
                <w:szCs w:val="18"/>
                <w:color w:val="auto"/>
              </w:rPr>
              <w:t>478,972</w:t>
            </w:r>
          </w:p>
        </w:tc>
        <w:tc>
          <w:tcPr>
            <w:tcW w:w="20" w:type="dxa"/>
            <w:vAlign w:val="bottom"/>
            <w:tcBorders>
              <w:bottom w:val="single" w:sz="8" w:color="DBDBDB"/>
            </w:tcBorders>
          </w:tcPr>
          <w:p>
            <w:pPr>
              <w:spacing w:after="0"/>
              <w:rPr>
                <w:sz w:val="19"/>
                <w:szCs w:val="19"/>
                <w:color w:val="auto"/>
              </w:rPr>
            </w:pPr>
          </w:p>
        </w:tc>
        <w:tc>
          <w:tcPr>
            <w:tcW w:w="140" w:type="dxa"/>
            <w:vAlign w:val="bottom"/>
            <w:tcBorders>
              <w:bottom w:val="single" w:sz="8" w:color="DBDBDB"/>
            </w:tcBorders>
          </w:tcPr>
          <w:p>
            <w:pPr>
              <w:spacing w:after="0"/>
              <w:rPr>
                <w:sz w:val="19"/>
                <w:szCs w:val="19"/>
                <w:color w:val="auto"/>
              </w:rPr>
            </w:pPr>
          </w:p>
        </w:tc>
        <w:tc>
          <w:tcPr>
            <w:tcW w:w="140" w:type="dxa"/>
            <w:vAlign w:val="bottom"/>
            <w:tcBorders>
              <w:top w:val="single" w:sz="8" w:color="auto"/>
              <w:bottom w:val="single" w:sz="8" w:color="DBDBDB"/>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DBDBDB"/>
            </w:tcBorders>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20" w:type="dxa"/>
            <w:vAlign w:val="bottom"/>
            <w:tcBorders>
              <w:bottom w:val="single" w:sz="8" w:color="DBDBDB"/>
            </w:tcBorders>
          </w:tcPr>
          <w:p>
            <w:pPr>
              <w:spacing w:after="0"/>
              <w:rPr>
                <w:sz w:val="19"/>
                <w:szCs w:val="19"/>
                <w:color w:val="auto"/>
              </w:rPr>
            </w:pPr>
          </w:p>
        </w:tc>
        <w:tc>
          <w:tcPr>
            <w:tcW w:w="60" w:type="dxa"/>
            <w:vAlign w:val="bottom"/>
            <w:tcBorders>
              <w:bottom w:val="single" w:sz="8" w:color="DBDBDB"/>
            </w:tcBorders>
          </w:tcPr>
          <w:p>
            <w:pPr>
              <w:spacing w:after="0"/>
              <w:rPr>
                <w:sz w:val="19"/>
                <w:szCs w:val="19"/>
                <w:color w:val="auto"/>
              </w:rPr>
            </w:pPr>
          </w:p>
        </w:tc>
        <w:tc>
          <w:tcPr>
            <w:tcW w:w="80" w:type="dxa"/>
            <w:vAlign w:val="bottom"/>
            <w:tcBorders>
              <w:bottom w:val="single" w:sz="8" w:color="DBDBDB"/>
            </w:tcBorders>
          </w:tcPr>
          <w:p>
            <w:pPr>
              <w:spacing w:after="0"/>
              <w:rPr>
                <w:sz w:val="19"/>
                <w:szCs w:val="19"/>
                <w:color w:val="auto"/>
              </w:rPr>
            </w:pPr>
          </w:p>
        </w:tc>
        <w:tc>
          <w:tcPr>
            <w:tcW w:w="140" w:type="dxa"/>
            <w:vAlign w:val="bottom"/>
            <w:tcBorders>
              <w:top w:val="single" w:sz="8" w:color="auto"/>
              <w:bottom w:val="single" w:sz="8" w:color="DBDBDB"/>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DBDBDB"/>
            </w:tcBorders>
          </w:tcPr>
          <w:p>
            <w:pPr>
              <w:jc w:val="right"/>
              <w:spacing w:after="0"/>
              <w:rPr>
                <w:sz w:val="20"/>
                <w:szCs w:val="20"/>
                <w:color w:val="auto"/>
              </w:rPr>
            </w:pPr>
            <w:r>
              <w:rPr>
                <w:rFonts w:ascii="Times New Roman" w:cs="Times New Roman" w:eastAsia="Times New Roman" w:hAnsi="Times New Roman"/>
                <w:sz w:val="18"/>
                <w:szCs w:val="18"/>
                <w:color w:val="auto"/>
              </w:rPr>
              <w:t>(265,116)</w:t>
            </w:r>
          </w:p>
        </w:tc>
        <w:tc>
          <w:tcPr>
            <w:tcW w:w="80" w:type="dxa"/>
            <w:vAlign w:val="bottom"/>
            <w:tcBorders>
              <w:bottom w:val="single" w:sz="8" w:color="DBDBDB"/>
            </w:tcBorders>
          </w:tcPr>
          <w:p>
            <w:pPr>
              <w:spacing w:after="0"/>
              <w:rPr>
                <w:sz w:val="19"/>
                <w:szCs w:val="19"/>
                <w:color w:val="auto"/>
              </w:rPr>
            </w:pPr>
          </w:p>
        </w:tc>
        <w:tc>
          <w:tcPr>
            <w:tcW w:w="80" w:type="dxa"/>
            <w:vAlign w:val="bottom"/>
            <w:tcBorders>
              <w:bottom w:val="single" w:sz="8" w:color="DBDBDB"/>
            </w:tcBorders>
          </w:tcPr>
          <w:p>
            <w:pPr>
              <w:spacing w:after="0"/>
              <w:rPr>
                <w:sz w:val="19"/>
                <w:szCs w:val="19"/>
                <w:color w:val="auto"/>
              </w:rPr>
            </w:pPr>
          </w:p>
        </w:tc>
        <w:tc>
          <w:tcPr>
            <w:tcW w:w="120" w:type="dxa"/>
            <w:vAlign w:val="bottom"/>
            <w:tcBorders>
              <w:top w:val="single" w:sz="8" w:color="auto"/>
              <w:bottom w:val="single" w:sz="8" w:color="DBDBDB"/>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DBDBDB"/>
            </w:tcBorders>
          </w:tcPr>
          <w:p>
            <w:pPr>
              <w:jc w:val="right"/>
              <w:spacing w:after="0"/>
              <w:rPr>
                <w:sz w:val="20"/>
                <w:szCs w:val="20"/>
                <w:color w:val="auto"/>
              </w:rPr>
            </w:pPr>
            <w:r>
              <w:rPr>
                <w:rFonts w:ascii="Times New Roman" w:cs="Times New Roman" w:eastAsia="Times New Roman" w:hAnsi="Times New Roman"/>
                <w:sz w:val="18"/>
                <w:szCs w:val="18"/>
                <w:color w:val="auto"/>
              </w:rPr>
              <w:t>214,869</w:t>
            </w:r>
          </w:p>
        </w:tc>
      </w:tr>
      <w:tr>
        <w:trPr>
          <w:trHeight w:val="177"/>
        </w:trPr>
        <w:tc>
          <w:tcPr>
            <w:tcW w:w="2100" w:type="dxa"/>
            <w:vAlign w:val="bottom"/>
            <w:shd w:val="clear" w:color="auto" w:fill="DBDBDB"/>
          </w:tcPr>
          <w:p>
            <w:pPr>
              <w:ind w:left="20"/>
              <w:spacing w:after="0" w:line="177" w:lineRule="exact"/>
              <w:rPr>
                <w:sz w:val="20"/>
                <w:szCs w:val="20"/>
                <w:color w:val="auto"/>
              </w:rPr>
            </w:pPr>
            <w:r>
              <w:rPr>
                <w:rFonts w:ascii="Times New Roman" w:cs="Times New Roman" w:eastAsia="Times New Roman" w:hAnsi="Times New Roman"/>
                <w:sz w:val="18"/>
                <w:szCs w:val="18"/>
                <w:color w:val="auto"/>
              </w:rPr>
              <w:t>Public offering of common</w:t>
            </w:r>
          </w:p>
        </w:tc>
        <w:tc>
          <w:tcPr>
            <w:tcW w:w="160" w:type="dxa"/>
            <w:vAlign w:val="bottom"/>
            <w:tcBorders>
              <w:right w:val="single" w:sz="8" w:color="DBDBDB"/>
            </w:tcBorders>
            <w:shd w:val="clear" w:color="auto" w:fill="DBDBDB"/>
          </w:tcPr>
          <w:p>
            <w:pPr>
              <w:spacing w:after="0"/>
              <w:rPr>
                <w:sz w:val="15"/>
                <w:szCs w:val="15"/>
                <w:color w:val="auto"/>
              </w:rPr>
            </w:pPr>
          </w:p>
        </w:tc>
        <w:tc>
          <w:tcPr>
            <w:tcW w:w="720" w:type="dxa"/>
            <w:vAlign w:val="bottom"/>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140" w:type="dxa"/>
            <w:vAlign w:val="bottom"/>
            <w:tcBorders>
              <w:right w:val="single" w:sz="8" w:color="DBDBDB"/>
            </w:tcBorders>
            <w:shd w:val="clear" w:color="auto" w:fill="DBDBDB"/>
          </w:tcPr>
          <w:p>
            <w:pPr>
              <w:spacing w:after="0"/>
              <w:rPr>
                <w:sz w:val="15"/>
                <w:szCs w:val="15"/>
                <w:color w:val="auto"/>
              </w:rPr>
            </w:pPr>
          </w:p>
        </w:tc>
        <w:tc>
          <w:tcPr>
            <w:tcW w:w="560" w:type="dxa"/>
            <w:vAlign w:val="bottom"/>
            <w:shd w:val="clear" w:color="auto" w:fill="DBDBDB"/>
          </w:tcPr>
          <w:p>
            <w:pPr>
              <w:spacing w:after="0"/>
              <w:rPr>
                <w:sz w:val="15"/>
                <w:szCs w:val="15"/>
                <w:color w:val="auto"/>
              </w:rPr>
            </w:pPr>
          </w:p>
        </w:tc>
        <w:tc>
          <w:tcPr>
            <w:tcW w:w="240" w:type="dxa"/>
            <w:vAlign w:val="bottom"/>
            <w:tcBorders>
              <w:right w:val="single" w:sz="8" w:color="DBDBDB"/>
            </w:tcBorders>
            <w:shd w:val="clear" w:color="auto" w:fill="DBDBDB"/>
          </w:tcPr>
          <w:p>
            <w:pPr>
              <w:spacing w:after="0"/>
              <w:rPr>
                <w:sz w:val="15"/>
                <w:szCs w:val="15"/>
                <w:color w:val="auto"/>
              </w:rPr>
            </w:pPr>
          </w:p>
        </w:tc>
        <w:tc>
          <w:tcPr>
            <w:tcW w:w="140" w:type="dxa"/>
            <w:vAlign w:val="bottom"/>
            <w:tcBorders>
              <w:right w:val="single" w:sz="8" w:color="DBDBDB"/>
            </w:tcBorders>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700" w:type="dxa"/>
            <w:vAlign w:val="bottom"/>
            <w:shd w:val="clear" w:color="auto" w:fill="DBDBDB"/>
          </w:tcPr>
          <w:p>
            <w:pPr>
              <w:spacing w:after="0"/>
              <w:rPr>
                <w:sz w:val="15"/>
                <w:szCs w:val="15"/>
                <w:color w:val="auto"/>
              </w:rPr>
            </w:pPr>
          </w:p>
        </w:tc>
        <w:tc>
          <w:tcPr>
            <w:tcW w:w="160" w:type="dxa"/>
            <w:vAlign w:val="bottom"/>
            <w:tcBorders>
              <w:right w:val="single" w:sz="8" w:color="DBDBDB"/>
            </w:tcBorders>
            <w:shd w:val="clear" w:color="auto" w:fill="DBDBDB"/>
          </w:tcPr>
          <w:p>
            <w:pPr>
              <w:spacing w:after="0"/>
              <w:rPr>
                <w:sz w:val="15"/>
                <w:szCs w:val="15"/>
                <w:color w:val="auto"/>
              </w:rPr>
            </w:pPr>
          </w:p>
        </w:tc>
        <w:tc>
          <w:tcPr>
            <w:tcW w:w="56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60" w:type="dxa"/>
            <w:vAlign w:val="bottom"/>
            <w:tcBorders>
              <w:right w:val="single" w:sz="8" w:color="DBDBDB"/>
            </w:tcBorders>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780" w:type="dxa"/>
            <w:vAlign w:val="bottom"/>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140" w:type="dxa"/>
            <w:vAlign w:val="bottom"/>
            <w:tcBorders>
              <w:right w:val="single" w:sz="8" w:color="DBDBDB"/>
            </w:tcBorders>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000" w:type="dxa"/>
            <w:vAlign w:val="bottom"/>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60" w:type="dxa"/>
            <w:vAlign w:val="bottom"/>
            <w:shd w:val="clear" w:color="auto" w:fill="DBDBDB"/>
          </w:tcPr>
          <w:p>
            <w:pPr>
              <w:spacing w:after="0"/>
              <w:rPr>
                <w:sz w:val="15"/>
                <w:szCs w:val="15"/>
                <w:color w:val="auto"/>
              </w:rPr>
            </w:pPr>
          </w:p>
        </w:tc>
        <w:tc>
          <w:tcPr>
            <w:tcW w:w="80" w:type="dxa"/>
            <w:vAlign w:val="bottom"/>
            <w:tcBorders>
              <w:right w:val="single" w:sz="8" w:color="DBDBDB"/>
            </w:tcBorders>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94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80" w:type="dxa"/>
            <w:vAlign w:val="bottom"/>
            <w:tcBorders>
              <w:right w:val="single" w:sz="8" w:color="DBDBDB"/>
            </w:tcBorders>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r>
      <w:tr>
        <w:trPr>
          <w:trHeight w:val="226"/>
        </w:trPr>
        <w:tc>
          <w:tcPr>
            <w:tcW w:w="21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stock, net</w:t>
            </w:r>
          </w:p>
        </w:tc>
        <w:tc>
          <w:tcPr>
            <w:tcW w:w="160" w:type="dxa"/>
            <w:vAlign w:val="bottom"/>
            <w:tcBorders>
              <w:right w:val="single" w:sz="8" w:color="DBDBDB"/>
            </w:tcBorders>
            <w:shd w:val="clear" w:color="auto" w:fill="DBDBDB"/>
          </w:tcPr>
          <w:p>
            <w:pPr>
              <w:spacing w:after="0"/>
              <w:rPr>
                <w:sz w:val="19"/>
                <w:szCs w:val="19"/>
                <w:color w:val="auto"/>
              </w:rPr>
            </w:pPr>
          </w:p>
        </w:tc>
        <w:tc>
          <w:tcPr>
            <w:tcW w:w="720" w:type="dxa"/>
            <w:vAlign w:val="bottom"/>
            <w:shd w:val="clear" w:color="auto" w:fill="DBDBDB"/>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shd w:val="clear" w:color="auto" w:fill="DBDBDB"/>
          </w:tcPr>
          <w:p>
            <w:pPr>
              <w:spacing w:after="0"/>
              <w:rPr>
                <w:sz w:val="19"/>
                <w:szCs w:val="19"/>
                <w:color w:val="auto"/>
              </w:rPr>
            </w:pPr>
          </w:p>
        </w:tc>
        <w:tc>
          <w:tcPr>
            <w:tcW w:w="140" w:type="dxa"/>
            <w:vAlign w:val="bottom"/>
            <w:tcBorders>
              <w:right w:val="single" w:sz="8" w:color="DBDBDB"/>
            </w:tcBorders>
            <w:shd w:val="clear" w:color="auto" w:fill="DBDBDB"/>
          </w:tcPr>
          <w:p>
            <w:pPr>
              <w:spacing w:after="0"/>
              <w:rPr>
                <w:sz w:val="19"/>
                <w:szCs w:val="19"/>
                <w:color w:val="auto"/>
              </w:rPr>
            </w:pPr>
          </w:p>
        </w:tc>
        <w:tc>
          <w:tcPr>
            <w:tcW w:w="560" w:type="dxa"/>
            <w:vAlign w:val="bottom"/>
            <w:shd w:val="clear" w:color="auto" w:fill="DBDBDB"/>
          </w:tcPr>
          <w:p>
            <w:pPr>
              <w:spacing w:after="0"/>
              <w:rPr>
                <w:sz w:val="19"/>
                <w:szCs w:val="19"/>
                <w:color w:val="auto"/>
              </w:rPr>
            </w:pPr>
          </w:p>
        </w:tc>
        <w:tc>
          <w:tcPr>
            <w:tcW w:w="240" w:type="dxa"/>
            <w:vAlign w:val="bottom"/>
            <w:tcBorders>
              <w:right w:val="single" w:sz="8" w:color="DBDBDB"/>
            </w:tcBorders>
            <w:shd w:val="clear" w:color="auto" w:fill="DBDBDB"/>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right w:val="single" w:sz="8" w:color="DBDBDB"/>
            </w:tcBorders>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7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9,968</w:t>
            </w:r>
          </w:p>
        </w:tc>
        <w:tc>
          <w:tcPr>
            <w:tcW w:w="160" w:type="dxa"/>
            <w:vAlign w:val="bottom"/>
            <w:tcBorders>
              <w:right w:val="single" w:sz="8" w:color="DBDBDB"/>
            </w:tcBorders>
            <w:shd w:val="clear" w:color="auto" w:fill="DBDBDB"/>
          </w:tcPr>
          <w:p>
            <w:pPr>
              <w:spacing w:after="0"/>
              <w:rPr>
                <w:sz w:val="19"/>
                <w:szCs w:val="19"/>
                <w:color w:val="auto"/>
              </w:rPr>
            </w:pPr>
          </w:p>
        </w:tc>
        <w:tc>
          <w:tcPr>
            <w:tcW w:w="560" w:type="dxa"/>
            <w:vAlign w:val="bottom"/>
            <w:shd w:val="clear" w:color="auto" w:fill="DBDBDB"/>
          </w:tcPr>
          <w:p>
            <w:pPr>
              <w:spacing w:after="0"/>
              <w:rPr>
                <w:sz w:val="19"/>
                <w:szCs w:val="19"/>
                <w:color w:val="auto"/>
              </w:rPr>
            </w:pPr>
          </w:p>
        </w:tc>
        <w:tc>
          <w:tcPr>
            <w:tcW w:w="2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Borders>
              <w:right w:val="single" w:sz="8" w:color="DBDBDB"/>
            </w:tcBorders>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196,826</w:t>
            </w:r>
          </w:p>
        </w:tc>
        <w:tc>
          <w:tcPr>
            <w:tcW w:w="20" w:type="dxa"/>
            <w:vAlign w:val="bottom"/>
            <w:shd w:val="clear" w:color="auto" w:fill="DBDBDB"/>
          </w:tcPr>
          <w:p>
            <w:pPr>
              <w:spacing w:after="0"/>
              <w:rPr>
                <w:sz w:val="19"/>
                <w:szCs w:val="19"/>
                <w:color w:val="auto"/>
              </w:rPr>
            </w:pPr>
          </w:p>
        </w:tc>
        <w:tc>
          <w:tcPr>
            <w:tcW w:w="140" w:type="dxa"/>
            <w:vAlign w:val="bottom"/>
            <w:tcBorders>
              <w:right w:val="single" w:sz="8" w:color="DBDBDB"/>
            </w:tcBorders>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80" w:type="dxa"/>
            <w:vAlign w:val="bottom"/>
            <w:tcBorders>
              <w:right w:val="single" w:sz="8" w:color="DBDBDB"/>
            </w:tcBorders>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DBDBDB"/>
          </w:tcPr>
          <w:p>
            <w:pPr>
              <w:spacing w:after="0"/>
              <w:rPr>
                <w:sz w:val="19"/>
                <w:szCs w:val="19"/>
                <w:color w:val="auto"/>
              </w:rPr>
            </w:pPr>
          </w:p>
        </w:tc>
        <w:tc>
          <w:tcPr>
            <w:tcW w:w="80" w:type="dxa"/>
            <w:vAlign w:val="bottom"/>
            <w:tcBorders>
              <w:right w:val="single" w:sz="8" w:color="DBDBDB"/>
            </w:tcBorders>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196,836</w:t>
            </w:r>
          </w:p>
        </w:tc>
      </w:tr>
      <w:tr>
        <w:trPr>
          <w:trHeight w:val="191"/>
        </w:trPr>
        <w:tc>
          <w:tcPr>
            <w:tcW w:w="2260" w:type="dxa"/>
            <w:vAlign w:val="bottom"/>
            <w:gridSpan w:val="2"/>
          </w:tcPr>
          <w:p>
            <w:pPr>
              <w:ind w:left="20"/>
              <w:spacing w:after="0" w:line="190" w:lineRule="exact"/>
              <w:rPr>
                <w:sz w:val="20"/>
                <w:szCs w:val="20"/>
                <w:color w:val="auto"/>
              </w:rPr>
            </w:pPr>
            <w:r>
              <w:rPr>
                <w:rFonts w:ascii="Times New Roman" w:cs="Times New Roman" w:eastAsia="Times New Roman" w:hAnsi="Times New Roman"/>
                <w:sz w:val="18"/>
                <w:szCs w:val="18"/>
                <w:color w:val="auto"/>
              </w:rPr>
              <w:t>Stock options exercised, net</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2"/>
        </w:trPr>
        <w:tc>
          <w:tcPr>
            <w:tcW w:w="226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of shares withheld for</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6"/>
        </w:trPr>
        <w:tc>
          <w:tcPr>
            <w:tcW w:w="2260" w:type="dxa"/>
            <w:vAlign w:val="bottom"/>
            <w:tcBorders>
              <w:bottom w:val="single" w:sz="8" w:color="DBDBDB"/>
            </w:tcBorders>
            <w:gridSpan w:val="2"/>
          </w:tcPr>
          <w:p>
            <w:pPr>
              <w:ind w:left="20"/>
              <w:spacing w:after="0"/>
              <w:rPr>
                <w:sz w:val="20"/>
                <w:szCs w:val="20"/>
                <w:color w:val="auto"/>
              </w:rPr>
            </w:pPr>
            <w:r>
              <w:rPr>
                <w:rFonts w:ascii="Times New Roman" w:cs="Times New Roman" w:eastAsia="Times New Roman" w:hAnsi="Times New Roman"/>
                <w:sz w:val="18"/>
                <w:szCs w:val="18"/>
                <w:color w:val="auto"/>
              </w:rPr>
              <w:t>employee tax</w:t>
            </w:r>
          </w:p>
        </w:tc>
        <w:tc>
          <w:tcPr>
            <w:tcW w:w="740" w:type="dxa"/>
            <w:vAlign w:val="bottom"/>
            <w:tcBorders>
              <w:bottom w:val="single" w:sz="8" w:color="DBDBDB"/>
            </w:tcBorders>
            <w:gridSpan w:val="2"/>
          </w:tcPr>
          <w:p>
            <w:pPr>
              <w:ind w:left="54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bottom w:val="single" w:sz="8" w:color="DBDBDB"/>
            </w:tcBorders>
          </w:tcPr>
          <w:p>
            <w:pPr>
              <w:spacing w:after="0"/>
              <w:rPr>
                <w:sz w:val="19"/>
                <w:szCs w:val="19"/>
                <w:color w:val="auto"/>
              </w:rPr>
            </w:pPr>
          </w:p>
        </w:tc>
        <w:tc>
          <w:tcPr>
            <w:tcW w:w="560" w:type="dxa"/>
            <w:vAlign w:val="bottom"/>
            <w:tcBorders>
              <w:bottom w:val="single" w:sz="8" w:color="DBDBDB"/>
            </w:tcBorders>
          </w:tcPr>
          <w:p>
            <w:pPr>
              <w:spacing w:after="0"/>
              <w:rPr>
                <w:sz w:val="19"/>
                <w:szCs w:val="19"/>
                <w:color w:val="auto"/>
              </w:rPr>
            </w:pPr>
          </w:p>
        </w:tc>
        <w:tc>
          <w:tcPr>
            <w:tcW w:w="240" w:type="dxa"/>
            <w:vAlign w:val="bottom"/>
            <w:tcBorders>
              <w:bottom w:val="single" w:sz="8" w:color="DBDBDB"/>
            </w:tcBorders>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DBDBDB"/>
            </w:tcBorders>
          </w:tcPr>
          <w:p>
            <w:pPr>
              <w:spacing w:after="0"/>
              <w:rPr>
                <w:sz w:val="19"/>
                <w:szCs w:val="19"/>
                <w:color w:val="auto"/>
              </w:rPr>
            </w:pPr>
          </w:p>
        </w:tc>
        <w:tc>
          <w:tcPr>
            <w:tcW w:w="80" w:type="dxa"/>
            <w:vAlign w:val="bottom"/>
            <w:tcBorders>
              <w:bottom w:val="single" w:sz="8" w:color="DBDBDB"/>
            </w:tcBorders>
          </w:tcPr>
          <w:p>
            <w:pPr>
              <w:spacing w:after="0"/>
              <w:rPr>
                <w:sz w:val="19"/>
                <w:szCs w:val="19"/>
                <w:color w:val="auto"/>
              </w:rPr>
            </w:pPr>
          </w:p>
        </w:tc>
        <w:tc>
          <w:tcPr>
            <w:tcW w:w="700" w:type="dxa"/>
            <w:vAlign w:val="bottom"/>
            <w:tcBorders>
              <w:bottom w:val="single" w:sz="8" w:color="DBDBDB"/>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DBDBDB"/>
            </w:tcBorders>
          </w:tcPr>
          <w:p>
            <w:pPr>
              <w:spacing w:after="0"/>
              <w:rPr>
                <w:sz w:val="19"/>
                <w:szCs w:val="19"/>
                <w:color w:val="auto"/>
              </w:rPr>
            </w:pPr>
          </w:p>
        </w:tc>
        <w:tc>
          <w:tcPr>
            <w:tcW w:w="560" w:type="dxa"/>
            <w:vAlign w:val="bottom"/>
            <w:tcBorders>
              <w:bottom w:val="single" w:sz="8" w:color="DBDBDB"/>
            </w:tcBorders>
          </w:tcPr>
          <w:p>
            <w:pPr>
              <w:spacing w:after="0"/>
              <w:rPr>
                <w:sz w:val="19"/>
                <w:szCs w:val="19"/>
                <w:color w:val="auto"/>
              </w:rPr>
            </w:pPr>
          </w:p>
        </w:tc>
        <w:tc>
          <w:tcPr>
            <w:tcW w:w="220" w:type="dxa"/>
            <w:vAlign w:val="bottom"/>
            <w:tcBorders>
              <w:bottom w:val="single" w:sz="8" w:color="DBDBDB"/>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DBDBDB"/>
            </w:tcBorders>
          </w:tcPr>
          <w:p>
            <w:pPr>
              <w:spacing w:after="0"/>
              <w:rPr>
                <w:sz w:val="19"/>
                <w:szCs w:val="19"/>
                <w:color w:val="auto"/>
              </w:rPr>
            </w:pPr>
          </w:p>
        </w:tc>
        <w:tc>
          <w:tcPr>
            <w:tcW w:w="120" w:type="dxa"/>
            <w:vAlign w:val="bottom"/>
            <w:tcBorders>
              <w:bottom w:val="single" w:sz="8" w:color="DBDBDB"/>
            </w:tcBorders>
          </w:tcPr>
          <w:p>
            <w:pPr>
              <w:spacing w:after="0"/>
              <w:rPr>
                <w:sz w:val="19"/>
                <w:szCs w:val="19"/>
                <w:color w:val="auto"/>
              </w:rPr>
            </w:pPr>
          </w:p>
        </w:tc>
        <w:tc>
          <w:tcPr>
            <w:tcW w:w="780" w:type="dxa"/>
            <w:vAlign w:val="bottom"/>
            <w:tcBorders>
              <w:bottom w:val="single" w:sz="8" w:color="DBDBDB"/>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bottom w:val="single" w:sz="8" w:color="DBDBDB"/>
            </w:tcBorders>
          </w:tcPr>
          <w:p>
            <w:pPr>
              <w:spacing w:after="0"/>
              <w:rPr>
                <w:sz w:val="19"/>
                <w:szCs w:val="19"/>
                <w:color w:val="auto"/>
              </w:rPr>
            </w:pPr>
          </w:p>
        </w:tc>
        <w:tc>
          <w:tcPr>
            <w:tcW w:w="140" w:type="dxa"/>
            <w:vAlign w:val="bottom"/>
            <w:tcBorders>
              <w:bottom w:val="single" w:sz="8" w:color="DBDBDB"/>
            </w:tcBorders>
          </w:tcPr>
          <w:p>
            <w:pPr>
              <w:spacing w:after="0"/>
              <w:rPr>
                <w:sz w:val="19"/>
                <w:szCs w:val="19"/>
                <w:color w:val="auto"/>
              </w:rPr>
            </w:pPr>
          </w:p>
        </w:tc>
        <w:tc>
          <w:tcPr>
            <w:tcW w:w="140" w:type="dxa"/>
            <w:vAlign w:val="bottom"/>
            <w:tcBorders>
              <w:bottom w:val="single" w:sz="8" w:color="DBDBDB"/>
            </w:tcBorders>
          </w:tcPr>
          <w:p>
            <w:pPr>
              <w:spacing w:after="0"/>
              <w:rPr>
                <w:sz w:val="19"/>
                <w:szCs w:val="19"/>
                <w:color w:val="auto"/>
              </w:rPr>
            </w:pPr>
          </w:p>
        </w:tc>
        <w:tc>
          <w:tcPr>
            <w:tcW w:w="1020" w:type="dxa"/>
            <w:vAlign w:val="bottom"/>
            <w:tcBorders>
              <w:bottom w:val="single" w:sz="8" w:color="DBDBDB"/>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DBDBDB"/>
            </w:tcBorders>
          </w:tcPr>
          <w:p>
            <w:pPr>
              <w:spacing w:after="0"/>
              <w:rPr>
                <w:sz w:val="19"/>
                <w:szCs w:val="19"/>
                <w:color w:val="auto"/>
              </w:rPr>
            </w:pPr>
          </w:p>
        </w:tc>
        <w:tc>
          <w:tcPr>
            <w:tcW w:w="80" w:type="dxa"/>
            <w:vAlign w:val="bottom"/>
            <w:tcBorders>
              <w:bottom w:val="single" w:sz="8" w:color="DBDBDB"/>
            </w:tcBorders>
          </w:tcPr>
          <w:p>
            <w:pPr>
              <w:spacing w:after="0"/>
              <w:rPr>
                <w:sz w:val="19"/>
                <w:szCs w:val="19"/>
                <w:color w:val="auto"/>
              </w:rPr>
            </w:pPr>
          </w:p>
        </w:tc>
        <w:tc>
          <w:tcPr>
            <w:tcW w:w="140" w:type="dxa"/>
            <w:vAlign w:val="bottom"/>
            <w:tcBorders>
              <w:bottom w:val="single" w:sz="8" w:color="DBDBDB"/>
            </w:tcBorders>
          </w:tcPr>
          <w:p>
            <w:pPr>
              <w:spacing w:after="0"/>
              <w:rPr>
                <w:sz w:val="19"/>
                <w:szCs w:val="19"/>
                <w:color w:val="auto"/>
              </w:rPr>
            </w:pPr>
          </w:p>
        </w:tc>
        <w:tc>
          <w:tcPr>
            <w:tcW w:w="1020" w:type="dxa"/>
            <w:vAlign w:val="bottom"/>
            <w:tcBorders>
              <w:bottom w:val="single" w:sz="8" w:color="DBDBDB"/>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DBDBDB"/>
            </w:tcBorders>
          </w:tcPr>
          <w:p>
            <w:pPr>
              <w:spacing w:after="0"/>
              <w:rPr>
                <w:sz w:val="19"/>
                <w:szCs w:val="19"/>
                <w:color w:val="auto"/>
              </w:rPr>
            </w:pPr>
          </w:p>
        </w:tc>
        <w:tc>
          <w:tcPr>
            <w:tcW w:w="120" w:type="dxa"/>
            <w:vAlign w:val="bottom"/>
            <w:tcBorders>
              <w:bottom w:val="single" w:sz="8" w:color="DBDBDB"/>
            </w:tcBorders>
          </w:tcPr>
          <w:p>
            <w:pPr>
              <w:spacing w:after="0"/>
              <w:rPr>
                <w:sz w:val="19"/>
                <w:szCs w:val="19"/>
                <w:color w:val="auto"/>
              </w:rPr>
            </w:pPr>
          </w:p>
        </w:tc>
        <w:tc>
          <w:tcPr>
            <w:tcW w:w="920" w:type="dxa"/>
            <w:vAlign w:val="bottom"/>
            <w:tcBorders>
              <w:bottom w:val="single" w:sz="8" w:color="DBDBDB"/>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171"/>
        </w:trPr>
        <w:tc>
          <w:tcPr>
            <w:tcW w:w="2100" w:type="dxa"/>
            <w:vAlign w:val="bottom"/>
            <w:shd w:val="clear" w:color="auto" w:fill="DBDBDB"/>
          </w:tcPr>
          <w:p>
            <w:pPr>
              <w:ind w:left="20"/>
              <w:spacing w:after="0" w:line="170" w:lineRule="exact"/>
              <w:rPr>
                <w:sz w:val="20"/>
                <w:szCs w:val="20"/>
                <w:color w:val="auto"/>
              </w:rPr>
            </w:pPr>
            <w:r>
              <w:rPr>
                <w:rFonts w:ascii="Times New Roman" w:cs="Times New Roman" w:eastAsia="Times New Roman" w:hAnsi="Times New Roman"/>
                <w:sz w:val="18"/>
                <w:szCs w:val="18"/>
                <w:color w:val="auto"/>
                <w:highlight w:val="lightGray"/>
              </w:rPr>
              <w:t>Issuance of restricted stock,</w:t>
            </w:r>
          </w:p>
        </w:tc>
        <w:tc>
          <w:tcPr>
            <w:tcW w:w="160" w:type="dxa"/>
            <w:vAlign w:val="bottom"/>
            <w:tcBorders>
              <w:right w:val="single" w:sz="8" w:color="DBDBDB"/>
            </w:tcBorders>
            <w:shd w:val="clear" w:color="auto" w:fill="DBDBDB"/>
          </w:tcPr>
          <w:p>
            <w:pPr>
              <w:spacing w:after="0"/>
              <w:rPr>
                <w:sz w:val="14"/>
                <w:szCs w:val="14"/>
                <w:color w:val="auto"/>
              </w:rPr>
            </w:pPr>
          </w:p>
        </w:tc>
        <w:tc>
          <w:tcPr>
            <w:tcW w:w="720" w:type="dxa"/>
            <w:vAlign w:val="bottom"/>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140" w:type="dxa"/>
            <w:vAlign w:val="bottom"/>
            <w:tcBorders>
              <w:right w:val="single" w:sz="8" w:color="DBDBDB"/>
            </w:tcBorders>
            <w:shd w:val="clear" w:color="auto" w:fill="DBDBDB"/>
          </w:tcPr>
          <w:p>
            <w:pPr>
              <w:spacing w:after="0"/>
              <w:rPr>
                <w:sz w:val="14"/>
                <w:szCs w:val="14"/>
                <w:color w:val="auto"/>
              </w:rPr>
            </w:pPr>
          </w:p>
        </w:tc>
        <w:tc>
          <w:tcPr>
            <w:tcW w:w="560" w:type="dxa"/>
            <w:vAlign w:val="bottom"/>
            <w:shd w:val="clear" w:color="auto" w:fill="DBDBDB"/>
          </w:tcPr>
          <w:p>
            <w:pPr>
              <w:spacing w:after="0"/>
              <w:rPr>
                <w:sz w:val="14"/>
                <w:szCs w:val="14"/>
                <w:color w:val="auto"/>
              </w:rPr>
            </w:pPr>
          </w:p>
        </w:tc>
        <w:tc>
          <w:tcPr>
            <w:tcW w:w="240" w:type="dxa"/>
            <w:vAlign w:val="bottom"/>
            <w:tcBorders>
              <w:right w:val="single" w:sz="8" w:color="DBDBDB"/>
            </w:tcBorders>
            <w:shd w:val="clear" w:color="auto" w:fill="DBDBDB"/>
          </w:tcPr>
          <w:p>
            <w:pPr>
              <w:spacing w:after="0"/>
              <w:rPr>
                <w:sz w:val="14"/>
                <w:szCs w:val="14"/>
                <w:color w:val="auto"/>
              </w:rPr>
            </w:pPr>
          </w:p>
        </w:tc>
        <w:tc>
          <w:tcPr>
            <w:tcW w:w="140" w:type="dxa"/>
            <w:vAlign w:val="bottom"/>
            <w:tcBorders>
              <w:right w:val="single" w:sz="8" w:color="DBDBDB"/>
            </w:tcBorders>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700" w:type="dxa"/>
            <w:vAlign w:val="bottom"/>
            <w:shd w:val="clear" w:color="auto" w:fill="DBDBDB"/>
          </w:tcPr>
          <w:p>
            <w:pPr>
              <w:spacing w:after="0"/>
              <w:rPr>
                <w:sz w:val="14"/>
                <w:szCs w:val="14"/>
                <w:color w:val="auto"/>
              </w:rPr>
            </w:pPr>
          </w:p>
        </w:tc>
        <w:tc>
          <w:tcPr>
            <w:tcW w:w="160" w:type="dxa"/>
            <w:vAlign w:val="bottom"/>
            <w:tcBorders>
              <w:right w:val="single" w:sz="8" w:color="DBDBDB"/>
            </w:tcBorders>
            <w:shd w:val="clear" w:color="auto" w:fill="DBDBDB"/>
          </w:tcPr>
          <w:p>
            <w:pPr>
              <w:spacing w:after="0"/>
              <w:rPr>
                <w:sz w:val="14"/>
                <w:szCs w:val="14"/>
                <w:color w:val="auto"/>
              </w:rPr>
            </w:pPr>
          </w:p>
        </w:tc>
        <w:tc>
          <w:tcPr>
            <w:tcW w:w="560" w:type="dxa"/>
            <w:vAlign w:val="bottom"/>
            <w:shd w:val="clear" w:color="auto" w:fill="DBDBDB"/>
          </w:tcPr>
          <w:p>
            <w:pPr>
              <w:spacing w:after="0"/>
              <w:rPr>
                <w:sz w:val="14"/>
                <w:szCs w:val="14"/>
                <w:color w:val="auto"/>
              </w:rPr>
            </w:pPr>
          </w:p>
        </w:tc>
        <w:tc>
          <w:tcPr>
            <w:tcW w:w="220" w:type="dxa"/>
            <w:vAlign w:val="bottom"/>
            <w:shd w:val="clear" w:color="auto" w:fill="DBDBDB"/>
          </w:tcPr>
          <w:p>
            <w:pPr>
              <w:spacing w:after="0"/>
              <w:rPr>
                <w:sz w:val="14"/>
                <w:szCs w:val="14"/>
                <w:color w:val="auto"/>
              </w:rPr>
            </w:pPr>
          </w:p>
        </w:tc>
        <w:tc>
          <w:tcPr>
            <w:tcW w:w="160" w:type="dxa"/>
            <w:vAlign w:val="bottom"/>
            <w:tcBorders>
              <w:right w:val="single" w:sz="8" w:color="DBDBDB"/>
            </w:tcBorders>
            <w:shd w:val="clear" w:color="auto" w:fill="DBDBDB"/>
          </w:tcPr>
          <w:p>
            <w:pPr>
              <w:spacing w:after="0"/>
              <w:rPr>
                <w:sz w:val="14"/>
                <w:szCs w:val="14"/>
                <w:color w:val="auto"/>
              </w:rPr>
            </w:pPr>
          </w:p>
        </w:tc>
        <w:tc>
          <w:tcPr>
            <w:tcW w:w="120" w:type="dxa"/>
            <w:vAlign w:val="bottom"/>
            <w:shd w:val="clear" w:color="auto" w:fill="DBDBDB"/>
          </w:tcPr>
          <w:p>
            <w:pPr>
              <w:spacing w:after="0"/>
              <w:rPr>
                <w:sz w:val="14"/>
                <w:szCs w:val="14"/>
                <w:color w:val="auto"/>
              </w:rPr>
            </w:pPr>
          </w:p>
        </w:tc>
        <w:tc>
          <w:tcPr>
            <w:tcW w:w="780" w:type="dxa"/>
            <w:vAlign w:val="bottom"/>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140" w:type="dxa"/>
            <w:vAlign w:val="bottom"/>
            <w:tcBorders>
              <w:right w:val="single" w:sz="8" w:color="DBDBDB"/>
            </w:tcBorders>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1000" w:type="dxa"/>
            <w:vAlign w:val="bottom"/>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60" w:type="dxa"/>
            <w:vAlign w:val="bottom"/>
            <w:shd w:val="clear" w:color="auto" w:fill="DBDBDB"/>
          </w:tcPr>
          <w:p>
            <w:pPr>
              <w:spacing w:after="0"/>
              <w:rPr>
                <w:sz w:val="14"/>
                <w:szCs w:val="14"/>
                <w:color w:val="auto"/>
              </w:rPr>
            </w:pPr>
          </w:p>
        </w:tc>
        <w:tc>
          <w:tcPr>
            <w:tcW w:w="80" w:type="dxa"/>
            <w:vAlign w:val="bottom"/>
            <w:tcBorders>
              <w:right w:val="single" w:sz="8" w:color="DBDBDB"/>
            </w:tcBorders>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94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80" w:type="dxa"/>
            <w:vAlign w:val="bottom"/>
            <w:tcBorders>
              <w:right w:val="single" w:sz="8" w:color="DBDBDB"/>
            </w:tcBorders>
            <w:shd w:val="clear" w:color="auto" w:fill="DBDBDB"/>
          </w:tcPr>
          <w:p>
            <w:pPr>
              <w:spacing w:after="0"/>
              <w:rPr>
                <w:sz w:val="14"/>
                <w:szCs w:val="14"/>
                <w:color w:val="auto"/>
              </w:rPr>
            </w:pPr>
          </w:p>
        </w:tc>
        <w:tc>
          <w:tcPr>
            <w:tcW w:w="120" w:type="dxa"/>
            <w:vAlign w:val="bottom"/>
            <w:shd w:val="clear" w:color="auto" w:fill="DBDBDB"/>
          </w:tcPr>
          <w:p>
            <w:pPr>
              <w:spacing w:after="0"/>
              <w:rPr>
                <w:sz w:val="14"/>
                <w:szCs w:val="14"/>
                <w:color w:val="auto"/>
              </w:rPr>
            </w:pPr>
          </w:p>
        </w:tc>
        <w:tc>
          <w:tcPr>
            <w:tcW w:w="920" w:type="dxa"/>
            <w:vAlign w:val="bottom"/>
            <w:shd w:val="clear" w:color="auto" w:fill="DBDBDB"/>
          </w:tcPr>
          <w:p>
            <w:pPr>
              <w:spacing w:after="0"/>
              <w:rPr>
                <w:sz w:val="14"/>
                <w:szCs w:val="14"/>
                <w:color w:val="auto"/>
              </w:rPr>
            </w:pPr>
          </w:p>
        </w:tc>
      </w:tr>
      <w:tr>
        <w:trPr>
          <w:trHeight w:val="202"/>
        </w:trPr>
        <w:tc>
          <w:tcPr>
            <w:tcW w:w="2100" w:type="dxa"/>
            <w:vAlign w:val="bottom"/>
            <w:shd w:val="clear" w:color="auto" w:fill="DBDBDB"/>
          </w:tcPr>
          <w:p>
            <w:pPr>
              <w:ind w:left="20"/>
              <w:spacing w:after="0" w:line="202" w:lineRule="exact"/>
              <w:rPr>
                <w:sz w:val="20"/>
                <w:szCs w:val="20"/>
                <w:color w:val="auto"/>
              </w:rPr>
            </w:pPr>
            <w:r>
              <w:rPr>
                <w:rFonts w:ascii="Times New Roman" w:cs="Times New Roman" w:eastAsia="Times New Roman" w:hAnsi="Times New Roman"/>
                <w:sz w:val="18"/>
                <w:szCs w:val="18"/>
                <w:color w:val="auto"/>
              </w:rPr>
              <w:t>net of shares withheld for</w:t>
            </w:r>
          </w:p>
        </w:tc>
        <w:tc>
          <w:tcPr>
            <w:tcW w:w="160" w:type="dxa"/>
            <w:vAlign w:val="bottom"/>
            <w:tcBorders>
              <w:right w:val="single" w:sz="8" w:color="DBDBDB"/>
            </w:tcBorders>
            <w:shd w:val="clear" w:color="auto" w:fill="DBDBDB"/>
          </w:tcPr>
          <w:p>
            <w:pPr>
              <w:spacing w:after="0"/>
              <w:rPr>
                <w:sz w:val="17"/>
                <w:szCs w:val="17"/>
                <w:color w:val="auto"/>
              </w:rPr>
            </w:pPr>
          </w:p>
        </w:tc>
        <w:tc>
          <w:tcPr>
            <w:tcW w:w="72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140" w:type="dxa"/>
            <w:vAlign w:val="bottom"/>
            <w:tcBorders>
              <w:right w:val="single" w:sz="8" w:color="DBDBDB"/>
            </w:tcBorders>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240" w:type="dxa"/>
            <w:vAlign w:val="bottom"/>
            <w:tcBorders>
              <w:right w:val="single" w:sz="8" w:color="DBDBDB"/>
            </w:tcBorders>
            <w:shd w:val="clear" w:color="auto" w:fill="DBDBDB"/>
          </w:tcPr>
          <w:p>
            <w:pPr>
              <w:spacing w:after="0"/>
              <w:rPr>
                <w:sz w:val="17"/>
                <w:szCs w:val="17"/>
                <w:color w:val="auto"/>
              </w:rPr>
            </w:pPr>
          </w:p>
        </w:tc>
        <w:tc>
          <w:tcPr>
            <w:tcW w:w="140" w:type="dxa"/>
            <w:vAlign w:val="bottom"/>
            <w:tcBorders>
              <w:right w:val="single" w:sz="8" w:color="DBDBDB"/>
            </w:tcBorders>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700" w:type="dxa"/>
            <w:vAlign w:val="bottom"/>
            <w:shd w:val="clear" w:color="auto" w:fill="DBDBDB"/>
          </w:tcPr>
          <w:p>
            <w:pPr>
              <w:spacing w:after="0"/>
              <w:rPr>
                <w:sz w:val="17"/>
                <w:szCs w:val="17"/>
                <w:color w:val="auto"/>
              </w:rPr>
            </w:pPr>
          </w:p>
        </w:tc>
        <w:tc>
          <w:tcPr>
            <w:tcW w:w="160" w:type="dxa"/>
            <w:vAlign w:val="bottom"/>
            <w:tcBorders>
              <w:right w:val="single" w:sz="8" w:color="DBDBDB"/>
            </w:tcBorders>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60" w:type="dxa"/>
            <w:vAlign w:val="bottom"/>
            <w:tcBorders>
              <w:right w:val="single" w:sz="8" w:color="DBDBDB"/>
            </w:tcBorders>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140" w:type="dxa"/>
            <w:vAlign w:val="bottom"/>
            <w:tcBorders>
              <w:right w:val="single" w:sz="8" w:color="DBDBDB"/>
            </w:tcBorders>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80" w:type="dxa"/>
            <w:vAlign w:val="bottom"/>
            <w:tcBorders>
              <w:right w:val="single" w:sz="8" w:color="DBDBDB"/>
            </w:tcBorders>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9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80" w:type="dxa"/>
            <w:vAlign w:val="bottom"/>
            <w:tcBorders>
              <w:right w:val="single" w:sz="8" w:color="DBDBDB"/>
            </w:tcBorders>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920" w:type="dxa"/>
            <w:vAlign w:val="bottom"/>
            <w:shd w:val="clear" w:color="auto" w:fill="DBDBDB"/>
          </w:tcPr>
          <w:p>
            <w:pPr>
              <w:spacing w:after="0"/>
              <w:rPr>
                <w:sz w:val="17"/>
                <w:szCs w:val="17"/>
                <w:color w:val="auto"/>
              </w:rPr>
            </w:pPr>
          </w:p>
        </w:tc>
      </w:tr>
      <w:tr>
        <w:trPr>
          <w:trHeight w:val="226"/>
        </w:trPr>
        <w:tc>
          <w:tcPr>
            <w:tcW w:w="21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employee tax</w:t>
            </w:r>
          </w:p>
        </w:tc>
        <w:tc>
          <w:tcPr>
            <w:tcW w:w="160" w:type="dxa"/>
            <w:vAlign w:val="bottom"/>
            <w:tcBorders>
              <w:right w:val="single" w:sz="8" w:color="DBDBDB"/>
            </w:tcBorders>
            <w:shd w:val="clear" w:color="auto" w:fill="DBDBDB"/>
          </w:tcPr>
          <w:p>
            <w:pPr>
              <w:spacing w:after="0"/>
              <w:rPr>
                <w:sz w:val="19"/>
                <w:szCs w:val="19"/>
                <w:color w:val="auto"/>
              </w:rPr>
            </w:pPr>
          </w:p>
        </w:tc>
        <w:tc>
          <w:tcPr>
            <w:tcW w:w="720" w:type="dxa"/>
            <w:vAlign w:val="bottom"/>
            <w:shd w:val="clear" w:color="auto" w:fill="DBDBDB"/>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shd w:val="clear" w:color="auto" w:fill="DBDBDB"/>
          </w:tcPr>
          <w:p>
            <w:pPr>
              <w:spacing w:after="0"/>
              <w:rPr>
                <w:sz w:val="19"/>
                <w:szCs w:val="19"/>
                <w:color w:val="auto"/>
              </w:rPr>
            </w:pPr>
          </w:p>
        </w:tc>
        <w:tc>
          <w:tcPr>
            <w:tcW w:w="140" w:type="dxa"/>
            <w:vAlign w:val="bottom"/>
            <w:tcBorders>
              <w:right w:val="single" w:sz="8" w:color="DBDBDB"/>
            </w:tcBorders>
            <w:shd w:val="clear" w:color="auto" w:fill="DBDBDB"/>
          </w:tcPr>
          <w:p>
            <w:pPr>
              <w:spacing w:after="0"/>
              <w:rPr>
                <w:sz w:val="19"/>
                <w:szCs w:val="19"/>
                <w:color w:val="auto"/>
              </w:rPr>
            </w:pPr>
          </w:p>
        </w:tc>
        <w:tc>
          <w:tcPr>
            <w:tcW w:w="560" w:type="dxa"/>
            <w:vAlign w:val="bottom"/>
            <w:shd w:val="clear" w:color="auto" w:fill="DBDBDB"/>
          </w:tcPr>
          <w:p>
            <w:pPr>
              <w:spacing w:after="0"/>
              <w:rPr>
                <w:sz w:val="19"/>
                <w:szCs w:val="19"/>
                <w:color w:val="auto"/>
              </w:rPr>
            </w:pPr>
          </w:p>
        </w:tc>
        <w:tc>
          <w:tcPr>
            <w:tcW w:w="240" w:type="dxa"/>
            <w:vAlign w:val="bottom"/>
            <w:tcBorders>
              <w:right w:val="single" w:sz="8" w:color="DBDBDB"/>
            </w:tcBorders>
            <w:shd w:val="clear" w:color="auto" w:fill="DBDBDB"/>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right w:val="single" w:sz="8" w:color="DBDBDB"/>
            </w:tcBorders>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7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160" w:type="dxa"/>
            <w:vAlign w:val="bottom"/>
            <w:tcBorders>
              <w:right w:val="single" w:sz="8" w:color="DBDBDB"/>
            </w:tcBorders>
            <w:shd w:val="clear" w:color="auto" w:fill="DBDBDB"/>
          </w:tcPr>
          <w:p>
            <w:pPr>
              <w:spacing w:after="0"/>
              <w:rPr>
                <w:sz w:val="19"/>
                <w:szCs w:val="19"/>
                <w:color w:val="auto"/>
              </w:rPr>
            </w:pPr>
          </w:p>
        </w:tc>
        <w:tc>
          <w:tcPr>
            <w:tcW w:w="560" w:type="dxa"/>
            <w:vAlign w:val="bottom"/>
            <w:shd w:val="clear" w:color="auto" w:fill="DBDBDB"/>
          </w:tcPr>
          <w:p>
            <w:pPr>
              <w:spacing w:after="0"/>
              <w:rPr>
                <w:sz w:val="19"/>
                <w:szCs w:val="19"/>
                <w:color w:val="auto"/>
              </w:rPr>
            </w:pPr>
          </w:p>
        </w:tc>
        <w:tc>
          <w:tcPr>
            <w:tcW w:w="2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right w:val="single" w:sz="8" w:color="DBDBDB"/>
            </w:tcBorders>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(4,334)</w:t>
            </w:r>
          </w:p>
        </w:tc>
        <w:tc>
          <w:tcPr>
            <w:tcW w:w="20" w:type="dxa"/>
            <w:vAlign w:val="bottom"/>
            <w:shd w:val="clear" w:color="auto" w:fill="DBDBDB"/>
          </w:tcPr>
          <w:p>
            <w:pPr>
              <w:spacing w:after="0"/>
              <w:rPr>
                <w:sz w:val="19"/>
                <w:szCs w:val="19"/>
                <w:color w:val="auto"/>
              </w:rPr>
            </w:pPr>
          </w:p>
        </w:tc>
        <w:tc>
          <w:tcPr>
            <w:tcW w:w="140" w:type="dxa"/>
            <w:vAlign w:val="bottom"/>
            <w:tcBorders>
              <w:right w:val="single" w:sz="8" w:color="DBDBDB"/>
            </w:tcBorders>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80" w:type="dxa"/>
            <w:vAlign w:val="bottom"/>
            <w:tcBorders>
              <w:right w:val="single" w:sz="8" w:color="DBDBDB"/>
            </w:tcBorders>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DBDBDB"/>
          </w:tcPr>
          <w:p>
            <w:pPr>
              <w:spacing w:after="0"/>
              <w:rPr>
                <w:sz w:val="19"/>
                <w:szCs w:val="19"/>
                <w:color w:val="auto"/>
              </w:rPr>
            </w:pPr>
          </w:p>
        </w:tc>
        <w:tc>
          <w:tcPr>
            <w:tcW w:w="80" w:type="dxa"/>
            <w:vAlign w:val="bottom"/>
            <w:tcBorders>
              <w:right w:val="single" w:sz="8" w:color="DBDBDB"/>
            </w:tcBorders>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(4,333)</w:t>
            </w:r>
          </w:p>
        </w:tc>
      </w:tr>
      <w:tr>
        <w:trPr>
          <w:trHeight w:val="214"/>
        </w:trPr>
        <w:tc>
          <w:tcPr>
            <w:tcW w:w="2260" w:type="dxa"/>
            <w:vAlign w:val="bottom"/>
            <w:tcBorders>
              <w:bottom w:val="single" w:sz="8" w:color="DBDBDB"/>
            </w:tcBorders>
            <w:gridSpan w:val="2"/>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740" w:type="dxa"/>
            <w:vAlign w:val="bottom"/>
            <w:tcBorders>
              <w:bottom w:val="single" w:sz="8" w:color="DBDBDB"/>
            </w:tcBorders>
            <w:gridSpan w:val="2"/>
          </w:tcPr>
          <w:p>
            <w:pPr>
              <w:ind w:left="54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bottom w:val="single" w:sz="8" w:color="DBDBDB"/>
            </w:tcBorders>
          </w:tcPr>
          <w:p>
            <w:pPr>
              <w:spacing w:after="0"/>
              <w:rPr>
                <w:sz w:val="18"/>
                <w:szCs w:val="18"/>
                <w:color w:val="auto"/>
              </w:rPr>
            </w:pPr>
          </w:p>
        </w:tc>
        <w:tc>
          <w:tcPr>
            <w:tcW w:w="560" w:type="dxa"/>
            <w:vAlign w:val="bottom"/>
            <w:tcBorders>
              <w:bottom w:val="single" w:sz="8" w:color="DBDBDB"/>
            </w:tcBorders>
          </w:tcPr>
          <w:p>
            <w:pPr>
              <w:spacing w:after="0"/>
              <w:rPr>
                <w:sz w:val="18"/>
                <w:szCs w:val="18"/>
                <w:color w:val="auto"/>
              </w:rPr>
            </w:pPr>
          </w:p>
        </w:tc>
        <w:tc>
          <w:tcPr>
            <w:tcW w:w="240" w:type="dxa"/>
            <w:vAlign w:val="bottom"/>
            <w:tcBorders>
              <w:bottom w:val="single" w:sz="8" w:color="DBDBDB"/>
            </w:tcBorders>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DBDBDB"/>
            </w:tcBorders>
          </w:tcPr>
          <w:p>
            <w:pPr>
              <w:spacing w:after="0"/>
              <w:rPr>
                <w:sz w:val="18"/>
                <w:szCs w:val="18"/>
                <w:color w:val="auto"/>
              </w:rPr>
            </w:pPr>
          </w:p>
        </w:tc>
        <w:tc>
          <w:tcPr>
            <w:tcW w:w="80" w:type="dxa"/>
            <w:vAlign w:val="bottom"/>
            <w:tcBorders>
              <w:bottom w:val="single" w:sz="8" w:color="DBDBDB"/>
            </w:tcBorders>
          </w:tcPr>
          <w:p>
            <w:pPr>
              <w:spacing w:after="0"/>
              <w:rPr>
                <w:sz w:val="18"/>
                <w:szCs w:val="18"/>
                <w:color w:val="auto"/>
              </w:rPr>
            </w:pPr>
          </w:p>
        </w:tc>
        <w:tc>
          <w:tcPr>
            <w:tcW w:w="700" w:type="dxa"/>
            <w:vAlign w:val="bottom"/>
            <w:tcBorders>
              <w:bottom w:val="single" w:sz="8" w:color="DBDBDB"/>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DBDBDB"/>
            </w:tcBorders>
          </w:tcPr>
          <w:p>
            <w:pPr>
              <w:spacing w:after="0"/>
              <w:rPr>
                <w:sz w:val="18"/>
                <w:szCs w:val="18"/>
                <w:color w:val="auto"/>
              </w:rPr>
            </w:pPr>
          </w:p>
        </w:tc>
        <w:tc>
          <w:tcPr>
            <w:tcW w:w="560" w:type="dxa"/>
            <w:vAlign w:val="bottom"/>
            <w:tcBorders>
              <w:bottom w:val="single" w:sz="8" w:color="DBDBDB"/>
            </w:tcBorders>
          </w:tcPr>
          <w:p>
            <w:pPr>
              <w:spacing w:after="0"/>
              <w:rPr>
                <w:sz w:val="18"/>
                <w:szCs w:val="18"/>
                <w:color w:val="auto"/>
              </w:rPr>
            </w:pPr>
          </w:p>
        </w:tc>
        <w:tc>
          <w:tcPr>
            <w:tcW w:w="220" w:type="dxa"/>
            <w:vAlign w:val="bottom"/>
            <w:tcBorders>
              <w:bottom w:val="single" w:sz="8" w:color="DBDBDB"/>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DBDBDB"/>
            </w:tcBorders>
          </w:tcPr>
          <w:p>
            <w:pPr>
              <w:spacing w:after="0"/>
              <w:rPr>
                <w:sz w:val="18"/>
                <w:szCs w:val="18"/>
                <w:color w:val="auto"/>
              </w:rPr>
            </w:pPr>
          </w:p>
        </w:tc>
        <w:tc>
          <w:tcPr>
            <w:tcW w:w="120" w:type="dxa"/>
            <w:vAlign w:val="bottom"/>
            <w:tcBorders>
              <w:bottom w:val="single" w:sz="8" w:color="DBDBDB"/>
            </w:tcBorders>
          </w:tcPr>
          <w:p>
            <w:pPr>
              <w:spacing w:after="0"/>
              <w:rPr>
                <w:sz w:val="18"/>
                <w:szCs w:val="18"/>
                <w:color w:val="auto"/>
              </w:rPr>
            </w:pPr>
          </w:p>
        </w:tc>
        <w:tc>
          <w:tcPr>
            <w:tcW w:w="780" w:type="dxa"/>
            <w:vAlign w:val="bottom"/>
            <w:tcBorders>
              <w:bottom w:val="single" w:sz="8" w:color="DBDBDB"/>
            </w:tcBorders>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20" w:type="dxa"/>
            <w:vAlign w:val="bottom"/>
            <w:tcBorders>
              <w:bottom w:val="single" w:sz="8" w:color="DBDBDB"/>
            </w:tcBorders>
          </w:tcPr>
          <w:p>
            <w:pPr>
              <w:spacing w:after="0"/>
              <w:rPr>
                <w:sz w:val="18"/>
                <w:szCs w:val="18"/>
                <w:color w:val="auto"/>
              </w:rPr>
            </w:pPr>
          </w:p>
        </w:tc>
        <w:tc>
          <w:tcPr>
            <w:tcW w:w="140" w:type="dxa"/>
            <w:vAlign w:val="bottom"/>
            <w:tcBorders>
              <w:bottom w:val="single" w:sz="8" w:color="DBDBDB"/>
            </w:tcBorders>
          </w:tcPr>
          <w:p>
            <w:pPr>
              <w:spacing w:after="0"/>
              <w:rPr>
                <w:sz w:val="18"/>
                <w:szCs w:val="18"/>
                <w:color w:val="auto"/>
              </w:rPr>
            </w:pPr>
          </w:p>
        </w:tc>
        <w:tc>
          <w:tcPr>
            <w:tcW w:w="140" w:type="dxa"/>
            <w:vAlign w:val="bottom"/>
            <w:tcBorders>
              <w:bottom w:val="single" w:sz="8" w:color="DBDBDB"/>
            </w:tcBorders>
          </w:tcPr>
          <w:p>
            <w:pPr>
              <w:spacing w:after="0"/>
              <w:rPr>
                <w:sz w:val="18"/>
                <w:szCs w:val="18"/>
                <w:color w:val="auto"/>
              </w:rPr>
            </w:pPr>
          </w:p>
        </w:tc>
        <w:tc>
          <w:tcPr>
            <w:tcW w:w="1020" w:type="dxa"/>
            <w:vAlign w:val="bottom"/>
            <w:tcBorders>
              <w:bottom w:val="single" w:sz="8" w:color="DBDBDB"/>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DBDBDB"/>
            </w:tcBorders>
          </w:tcPr>
          <w:p>
            <w:pPr>
              <w:spacing w:after="0"/>
              <w:rPr>
                <w:sz w:val="18"/>
                <w:szCs w:val="18"/>
                <w:color w:val="auto"/>
              </w:rPr>
            </w:pPr>
          </w:p>
        </w:tc>
        <w:tc>
          <w:tcPr>
            <w:tcW w:w="80" w:type="dxa"/>
            <w:vAlign w:val="bottom"/>
            <w:tcBorders>
              <w:bottom w:val="single" w:sz="8" w:color="DBDBDB"/>
            </w:tcBorders>
          </w:tcPr>
          <w:p>
            <w:pPr>
              <w:spacing w:after="0"/>
              <w:rPr>
                <w:sz w:val="18"/>
                <w:szCs w:val="18"/>
                <w:color w:val="auto"/>
              </w:rPr>
            </w:pPr>
          </w:p>
        </w:tc>
        <w:tc>
          <w:tcPr>
            <w:tcW w:w="140" w:type="dxa"/>
            <w:vAlign w:val="bottom"/>
            <w:tcBorders>
              <w:bottom w:val="single" w:sz="8" w:color="DBDBDB"/>
            </w:tcBorders>
          </w:tcPr>
          <w:p>
            <w:pPr>
              <w:spacing w:after="0"/>
              <w:rPr>
                <w:sz w:val="18"/>
                <w:szCs w:val="18"/>
                <w:color w:val="auto"/>
              </w:rPr>
            </w:pPr>
          </w:p>
        </w:tc>
        <w:tc>
          <w:tcPr>
            <w:tcW w:w="1020" w:type="dxa"/>
            <w:vAlign w:val="bottom"/>
            <w:tcBorders>
              <w:bottom w:val="single" w:sz="8" w:color="DBDBDB"/>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DBDBDB"/>
            </w:tcBorders>
          </w:tcPr>
          <w:p>
            <w:pPr>
              <w:spacing w:after="0"/>
              <w:rPr>
                <w:sz w:val="18"/>
                <w:szCs w:val="18"/>
                <w:color w:val="auto"/>
              </w:rPr>
            </w:pPr>
          </w:p>
        </w:tc>
        <w:tc>
          <w:tcPr>
            <w:tcW w:w="120" w:type="dxa"/>
            <w:vAlign w:val="bottom"/>
            <w:tcBorders>
              <w:bottom w:val="single" w:sz="8" w:color="DBDBDB"/>
            </w:tcBorders>
          </w:tcPr>
          <w:p>
            <w:pPr>
              <w:spacing w:after="0"/>
              <w:rPr>
                <w:sz w:val="18"/>
                <w:szCs w:val="18"/>
                <w:color w:val="auto"/>
              </w:rPr>
            </w:pPr>
          </w:p>
        </w:tc>
        <w:tc>
          <w:tcPr>
            <w:tcW w:w="920" w:type="dxa"/>
            <w:vAlign w:val="bottom"/>
            <w:tcBorders>
              <w:bottom w:val="single" w:sz="8" w:color="DBDBDB"/>
            </w:tcBorders>
          </w:tcPr>
          <w:p>
            <w:pPr>
              <w:jc w:val="right"/>
              <w:spacing w:after="0"/>
              <w:rPr>
                <w:sz w:val="20"/>
                <w:szCs w:val="20"/>
                <w:color w:val="auto"/>
              </w:rPr>
            </w:pPr>
            <w:r>
              <w:rPr>
                <w:rFonts w:ascii="Times New Roman" w:cs="Times New Roman" w:eastAsia="Times New Roman" w:hAnsi="Times New Roman"/>
                <w:sz w:val="18"/>
                <w:szCs w:val="18"/>
                <w:color w:val="auto"/>
              </w:rPr>
              <w:t>12,000</w:t>
            </w:r>
          </w:p>
        </w:tc>
      </w:tr>
      <w:tr>
        <w:trPr>
          <w:trHeight w:val="168"/>
        </w:trPr>
        <w:tc>
          <w:tcPr>
            <w:tcW w:w="2100" w:type="dxa"/>
            <w:vAlign w:val="bottom"/>
            <w:shd w:val="clear" w:color="auto" w:fill="DBDBDB"/>
          </w:tcPr>
          <w:p>
            <w:pPr>
              <w:ind w:left="20"/>
              <w:spacing w:after="0" w:line="169" w:lineRule="exact"/>
              <w:rPr>
                <w:sz w:val="20"/>
                <w:szCs w:val="20"/>
                <w:color w:val="auto"/>
              </w:rPr>
            </w:pPr>
            <w:r>
              <w:rPr>
                <w:rFonts w:ascii="Times New Roman" w:cs="Times New Roman" w:eastAsia="Times New Roman" w:hAnsi="Times New Roman"/>
                <w:sz w:val="18"/>
                <w:szCs w:val="18"/>
                <w:color w:val="auto"/>
                <w:highlight w:val="lightGray"/>
              </w:rPr>
              <w:t>Foreign currency translation</w:t>
            </w:r>
          </w:p>
        </w:tc>
        <w:tc>
          <w:tcPr>
            <w:tcW w:w="160" w:type="dxa"/>
            <w:vAlign w:val="bottom"/>
            <w:tcBorders>
              <w:right w:val="single" w:sz="8" w:color="DBDBDB"/>
            </w:tcBorders>
            <w:shd w:val="clear" w:color="auto" w:fill="DBDBDB"/>
          </w:tcPr>
          <w:p>
            <w:pPr>
              <w:spacing w:after="0"/>
              <w:rPr>
                <w:sz w:val="14"/>
                <w:szCs w:val="14"/>
                <w:color w:val="auto"/>
              </w:rPr>
            </w:pPr>
          </w:p>
        </w:tc>
        <w:tc>
          <w:tcPr>
            <w:tcW w:w="720" w:type="dxa"/>
            <w:vAlign w:val="bottom"/>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140" w:type="dxa"/>
            <w:vAlign w:val="bottom"/>
            <w:tcBorders>
              <w:right w:val="single" w:sz="8" w:color="DBDBDB"/>
            </w:tcBorders>
            <w:shd w:val="clear" w:color="auto" w:fill="DBDBDB"/>
          </w:tcPr>
          <w:p>
            <w:pPr>
              <w:spacing w:after="0"/>
              <w:rPr>
                <w:sz w:val="14"/>
                <w:szCs w:val="14"/>
                <w:color w:val="auto"/>
              </w:rPr>
            </w:pPr>
          </w:p>
        </w:tc>
        <w:tc>
          <w:tcPr>
            <w:tcW w:w="560" w:type="dxa"/>
            <w:vAlign w:val="bottom"/>
            <w:shd w:val="clear" w:color="auto" w:fill="DBDBDB"/>
          </w:tcPr>
          <w:p>
            <w:pPr>
              <w:spacing w:after="0"/>
              <w:rPr>
                <w:sz w:val="14"/>
                <w:szCs w:val="14"/>
                <w:color w:val="auto"/>
              </w:rPr>
            </w:pPr>
          </w:p>
        </w:tc>
        <w:tc>
          <w:tcPr>
            <w:tcW w:w="240" w:type="dxa"/>
            <w:vAlign w:val="bottom"/>
            <w:tcBorders>
              <w:right w:val="single" w:sz="8" w:color="DBDBDB"/>
            </w:tcBorders>
            <w:shd w:val="clear" w:color="auto" w:fill="DBDBDB"/>
          </w:tcPr>
          <w:p>
            <w:pPr>
              <w:spacing w:after="0"/>
              <w:rPr>
                <w:sz w:val="14"/>
                <w:szCs w:val="14"/>
                <w:color w:val="auto"/>
              </w:rPr>
            </w:pPr>
          </w:p>
        </w:tc>
        <w:tc>
          <w:tcPr>
            <w:tcW w:w="140" w:type="dxa"/>
            <w:vAlign w:val="bottom"/>
            <w:tcBorders>
              <w:right w:val="single" w:sz="8" w:color="DBDBDB"/>
            </w:tcBorders>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700" w:type="dxa"/>
            <w:vAlign w:val="bottom"/>
            <w:shd w:val="clear" w:color="auto" w:fill="DBDBDB"/>
          </w:tcPr>
          <w:p>
            <w:pPr>
              <w:spacing w:after="0"/>
              <w:rPr>
                <w:sz w:val="14"/>
                <w:szCs w:val="14"/>
                <w:color w:val="auto"/>
              </w:rPr>
            </w:pPr>
          </w:p>
        </w:tc>
        <w:tc>
          <w:tcPr>
            <w:tcW w:w="160" w:type="dxa"/>
            <w:vAlign w:val="bottom"/>
            <w:tcBorders>
              <w:right w:val="single" w:sz="8" w:color="DBDBDB"/>
            </w:tcBorders>
            <w:shd w:val="clear" w:color="auto" w:fill="DBDBDB"/>
          </w:tcPr>
          <w:p>
            <w:pPr>
              <w:spacing w:after="0"/>
              <w:rPr>
                <w:sz w:val="14"/>
                <w:szCs w:val="14"/>
                <w:color w:val="auto"/>
              </w:rPr>
            </w:pPr>
          </w:p>
        </w:tc>
        <w:tc>
          <w:tcPr>
            <w:tcW w:w="560" w:type="dxa"/>
            <w:vAlign w:val="bottom"/>
            <w:shd w:val="clear" w:color="auto" w:fill="DBDBDB"/>
          </w:tcPr>
          <w:p>
            <w:pPr>
              <w:spacing w:after="0"/>
              <w:rPr>
                <w:sz w:val="14"/>
                <w:szCs w:val="14"/>
                <w:color w:val="auto"/>
              </w:rPr>
            </w:pPr>
          </w:p>
        </w:tc>
        <w:tc>
          <w:tcPr>
            <w:tcW w:w="220" w:type="dxa"/>
            <w:vAlign w:val="bottom"/>
            <w:shd w:val="clear" w:color="auto" w:fill="DBDBDB"/>
          </w:tcPr>
          <w:p>
            <w:pPr>
              <w:spacing w:after="0"/>
              <w:rPr>
                <w:sz w:val="14"/>
                <w:szCs w:val="14"/>
                <w:color w:val="auto"/>
              </w:rPr>
            </w:pPr>
          </w:p>
        </w:tc>
        <w:tc>
          <w:tcPr>
            <w:tcW w:w="160" w:type="dxa"/>
            <w:vAlign w:val="bottom"/>
            <w:tcBorders>
              <w:right w:val="single" w:sz="8" w:color="DBDBDB"/>
            </w:tcBorders>
            <w:shd w:val="clear" w:color="auto" w:fill="DBDBDB"/>
          </w:tcPr>
          <w:p>
            <w:pPr>
              <w:spacing w:after="0"/>
              <w:rPr>
                <w:sz w:val="14"/>
                <w:szCs w:val="14"/>
                <w:color w:val="auto"/>
              </w:rPr>
            </w:pPr>
          </w:p>
        </w:tc>
        <w:tc>
          <w:tcPr>
            <w:tcW w:w="120" w:type="dxa"/>
            <w:vAlign w:val="bottom"/>
            <w:shd w:val="clear" w:color="auto" w:fill="DBDBDB"/>
          </w:tcPr>
          <w:p>
            <w:pPr>
              <w:spacing w:after="0"/>
              <w:rPr>
                <w:sz w:val="14"/>
                <w:szCs w:val="14"/>
                <w:color w:val="auto"/>
              </w:rPr>
            </w:pPr>
          </w:p>
        </w:tc>
        <w:tc>
          <w:tcPr>
            <w:tcW w:w="780" w:type="dxa"/>
            <w:vAlign w:val="bottom"/>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140" w:type="dxa"/>
            <w:vAlign w:val="bottom"/>
            <w:tcBorders>
              <w:right w:val="single" w:sz="8" w:color="DBDBDB"/>
            </w:tcBorders>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1000" w:type="dxa"/>
            <w:vAlign w:val="bottom"/>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60" w:type="dxa"/>
            <w:vAlign w:val="bottom"/>
            <w:shd w:val="clear" w:color="auto" w:fill="DBDBDB"/>
          </w:tcPr>
          <w:p>
            <w:pPr>
              <w:spacing w:after="0"/>
              <w:rPr>
                <w:sz w:val="14"/>
                <w:szCs w:val="14"/>
                <w:color w:val="auto"/>
              </w:rPr>
            </w:pPr>
          </w:p>
        </w:tc>
        <w:tc>
          <w:tcPr>
            <w:tcW w:w="80" w:type="dxa"/>
            <w:vAlign w:val="bottom"/>
            <w:tcBorders>
              <w:right w:val="single" w:sz="8" w:color="DBDBDB"/>
            </w:tcBorders>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94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80" w:type="dxa"/>
            <w:vAlign w:val="bottom"/>
            <w:tcBorders>
              <w:right w:val="single" w:sz="8" w:color="DBDBDB"/>
            </w:tcBorders>
            <w:shd w:val="clear" w:color="auto" w:fill="DBDBDB"/>
          </w:tcPr>
          <w:p>
            <w:pPr>
              <w:spacing w:after="0"/>
              <w:rPr>
                <w:sz w:val="14"/>
                <w:szCs w:val="14"/>
                <w:color w:val="auto"/>
              </w:rPr>
            </w:pPr>
          </w:p>
        </w:tc>
        <w:tc>
          <w:tcPr>
            <w:tcW w:w="120" w:type="dxa"/>
            <w:vAlign w:val="bottom"/>
            <w:shd w:val="clear" w:color="auto" w:fill="DBDBDB"/>
          </w:tcPr>
          <w:p>
            <w:pPr>
              <w:spacing w:after="0"/>
              <w:rPr>
                <w:sz w:val="14"/>
                <w:szCs w:val="14"/>
                <w:color w:val="auto"/>
              </w:rPr>
            </w:pPr>
          </w:p>
        </w:tc>
        <w:tc>
          <w:tcPr>
            <w:tcW w:w="920" w:type="dxa"/>
            <w:vAlign w:val="bottom"/>
            <w:shd w:val="clear" w:color="auto" w:fill="DBDBDB"/>
          </w:tcPr>
          <w:p>
            <w:pPr>
              <w:spacing w:after="0"/>
              <w:rPr>
                <w:sz w:val="14"/>
                <w:szCs w:val="14"/>
                <w:color w:val="auto"/>
              </w:rPr>
            </w:pPr>
          </w:p>
        </w:tc>
      </w:tr>
      <w:tr>
        <w:trPr>
          <w:trHeight w:val="226"/>
        </w:trPr>
        <w:tc>
          <w:tcPr>
            <w:tcW w:w="21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adjustment</w:t>
            </w:r>
          </w:p>
        </w:tc>
        <w:tc>
          <w:tcPr>
            <w:tcW w:w="160" w:type="dxa"/>
            <w:vAlign w:val="bottom"/>
            <w:tcBorders>
              <w:right w:val="single" w:sz="8" w:color="DBDBDB"/>
            </w:tcBorders>
            <w:shd w:val="clear" w:color="auto" w:fill="DBDBDB"/>
          </w:tcPr>
          <w:p>
            <w:pPr>
              <w:spacing w:after="0"/>
              <w:rPr>
                <w:sz w:val="19"/>
                <w:szCs w:val="19"/>
                <w:color w:val="auto"/>
              </w:rPr>
            </w:pPr>
          </w:p>
        </w:tc>
        <w:tc>
          <w:tcPr>
            <w:tcW w:w="720" w:type="dxa"/>
            <w:vAlign w:val="bottom"/>
            <w:shd w:val="clear" w:color="auto" w:fill="DBDBDB"/>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shd w:val="clear" w:color="auto" w:fill="DBDBDB"/>
          </w:tcPr>
          <w:p>
            <w:pPr>
              <w:spacing w:after="0"/>
              <w:rPr>
                <w:sz w:val="19"/>
                <w:szCs w:val="19"/>
                <w:color w:val="auto"/>
              </w:rPr>
            </w:pPr>
          </w:p>
        </w:tc>
        <w:tc>
          <w:tcPr>
            <w:tcW w:w="140" w:type="dxa"/>
            <w:vAlign w:val="bottom"/>
            <w:tcBorders>
              <w:right w:val="single" w:sz="8" w:color="DBDBDB"/>
            </w:tcBorders>
            <w:shd w:val="clear" w:color="auto" w:fill="DBDBDB"/>
          </w:tcPr>
          <w:p>
            <w:pPr>
              <w:spacing w:after="0"/>
              <w:rPr>
                <w:sz w:val="19"/>
                <w:szCs w:val="19"/>
                <w:color w:val="auto"/>
              </w:rPr>
            </w:pPr>
          </w:p>
        </w:tc>
        <w:tc>
          <w:tcPr>
            <w:tcW w:w="560" w:type="dxa"/>
            <w:vAlign w:val="bottom"/>
            <w:shd w:val="clear" w:color="auto" w:fill="DBDBDB"/>
          </w:tcPr>
          <w:p>
            <w:pPr>
              <w:spacing w:after="0"/>
              <w:rPr>
                <w:sz w:val="19"/>
                <w:szCs w:val="19"/>
                <w:color w:val="auto"/>
              </w:rPr>
            </w:pPr>
          </w:p>
        </w:tc>
        <w:tc>
          <w:tcPr>
            <w:tcW w:w="240" w:type="dxa"/>
            <w:vAlign w:val="bottom"/>
            <w:tcBorders>
              <w:right w:val="single" w:sz="8" w:color="DBDBDB"/>
            </w:tcBorders>
            <w:shd w:val="clear" w:color="auto" w:fill="DBDBDB"/>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right w:val="single" w:sz="8" w:color="DBDBDB"/>
            </w:tcBorders>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7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DBDBDB"/>
            </w:tcBorders>
            <w:shd w:val="clear" w:color="auto" w:fill="DBDBDB"/>
          </w:tcPr>
          <w:p>
            <w:pPr>
              <w:spacing w:after="0"/>
              <w:rPr>
                <w:sz w:val="19"/>
                <w:szCs w:val="19"/>
                <w:color w:val="auto"/>
              </w:rPr>
            </w:pPr>
          </w:p>
        </w:tc>
        <w:tc>
          <w:tcPr>
            <w:tcW w:w="560" w:type="dxa"/>
            <w:vAlign w:val="bottom"/>
            <w:shd w:val="clear" w:color="auto" w:fill="DBDBDB"/>
          </w:tcPr>
          <w:p>
            <w:pPr>
              <w:spacing w:after="0"/>
              <w:rPr>
                <w:sz w:val="19"/>
                <w:szCs w:val="19"/>
                <w:color w:val="auto"/>
              </w:rPr>
            </w:pPr>
          </w:p>
        </w:tc>
        <w:tc>
          <w:tcPr>
            <w:tcW w:w="2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DBDBDB"/>
            </w:tcBorders>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DBDBDB"/>
          </w:tcPr>
          <w:p>
            <w:pPr>
              <w:spacing w:after="0"/>
              <w:rPr>
                <w:sz w:val="19"/>
                <w:szCs w:val="19"/>
                <w:color w:val="auto"/>
              </w:rPr>
            </w:pPr>
          </w:p>
        </w:tc>
        <w:tc>
          <w:tcPr>
            <w:tcW w:w="140" w:type="dxa"/>
            <w:vAlign w:val="bottom"/>
            <w:tcBorders>
              <w:right w:val="single" w:sz="8" w:color="DBDBDB"/>
            </w:tcBorders>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(3,523)</w:t>
            </w:r>
          </w:p>
        </w:tc>
        <w:tc>
          <w:tcPr>
            <w:tcW w:w="2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80" w:type="dxa"/>
            <w:vAlign w:val="bottom"/>
            <w:tcBorders>
              <w:right w:val="single" w:sz="8" w:color="DBDBDB"/>
            </w:tcBorders>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DBDBDB"/>
          </w:tcPr>
          <w:p>
            <w:pPr>
              <w:spacing w:after="0"/>
              <w:rPr>
                <w:sz w:val="19"/>
                <w:szCs w:val="19"/>
                <w:color w:val="auto"/>
              </w:rPr>
            </w:pPr>
          </w:p>
        </w:tc>
        <w:tc>
          <w:tcPr>
            <w:tcW w:w="80" w:type="dxa"/>
            <w:vAlign w:val="bottom"/>
            <w:tcBorders>
              <w:right w:val="single" w:sz="8" w:color="DBDBDB"/>
            </w:tcBorders>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(3,525)</w:t>
            </w:r>
          </w:p>
        </w:tc>
      </w:tr>
      <w:tr>
        <w:trPr>
          <w:trHeight w:val="216"/>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7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(186,733)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(186,733)</w:t>
            </w:r>
          </w:p>
        </w:tc>
      </w:tr>
      <w:tr>
        <w:trPr>
          <w:trHeight w:val="263"/>
        </w:trPr>
        <w:tc>
          <w:tcPr>
            <w:tcW w:w="2100" w:type="dxa"/>
            <w:vAlign w:val="bottom"/>
            <w:tcBorders>
              <w:top w:val="single" w:sz="8" w:color="DBDBDB"/>
              <w:bottom w:val="single" w:sz="8" w:color="DBDBDB"/>
            </w:tcBorders>
            <w:shd w:val="clear" w:color="auto" w:fill="DBDBDB"/>
          </w:tcPr>
          <w:p>
            <w:pPr>
              <w:ind w:left="20"/>
              <w:spacing w:after="0" w:line="195" w:lineRule="exact"/>
              <w:rPr>
                <w:sz w:val="20"/>
                <w:szCs w:val="20"/>
                <w:color w:val="auto"/>
              </w:rPr>
            </w:pPr>
            <w:r>
              <w:rPr>
                <w:rFonts w:ascii="Times New Roman" w:cs="Times New Roman" w:eastAsia="Times New Roman" w:hAnsi="Times New Roman"/>
                <w:sz w:val="18"/>
                <w:szCs w:val="18"/>
                <w:b w:val="1"/>
                <w:bCs w:val="1"/>
                <w:color w:val="auto"/>
              </w:rPr>
              <w:t>December 31, 2024</w:t>
            </w:r>
          </w:p>
        </w:tc>
        <w:tc>
          <w:tcPr>
            <w:tcW w:w="160" w:type="dxa"/>
            <w:vAlign w:val="bottom"/>
            <w:tcBorders>
              <w:top w:val="single" w:sz="8" w:color="DBDBDB"/>
              <w:bottom w:val="single" w:sz="8" w:color="DBDBDB"/>
              <w:right w:val="single" w:sz="8" w:color="DBDBDB"/>
            </w:tcBorders>
            <w:shd w:val="clear" w:color="auto" w:fill="DBDBDB"/>
          </w:tcPr>
          <w:p>
            <w:pPr>
              <w:spacing w:after="0"/>
              <w:rPr>
                <w:sz w:val="22"/>
                <w:szCs w:val="22"/>
                <w:color w:val="auto"/>
              </w:rPr>
            </w:pPr>
          </w:p>
        </w:tc>
        <w:tc>
          <w:tcPr>
            <w:tcW w:w="720" w:type="dxa"/>
            <w:vAlign w:val="bottom"/>
            <w:tcBorders>
              <w:top w:val="single" w:sz="8" w:color="auto"/>
              <w:bottom w:val="single" w:sz="8" w:color="DBDBDB"/>
            </w:tcBorders>
            <w:shd w:val="clear" w:color="auto" w:fill="DBDBDB"/>
          </w:tcPr>
          <w:p>
            <w:pPr>
              <w:ind w:left="540"/>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top w:val="single" w:sz="8" w:color="DBDBDB"/>
              <w:bottom w:val="single" w:sz="8" w:color="DBDBDB"/>
            </w:tcBorders>
            <w:shd w:val="clear" w:color="auto" w:fill="DBDBDB"/>
          </w:tcPr>
          <w:p>
            <w:pPr>
              <w:spacing w:after="0"/>
              <w:rPr>
                <w:sz w:val="22"/>
                <w:szCs w:val="22"/>
                <w:color w:val="auto"/>
              </w:rPr>
            </w:pPr>
          </w:p>
        </w:tc>
        <w:tc>
          <w:tcPr>
            <w:tcW w:w="140" w:type="dxa"/>
            <w:vAlign w:val="bottom"/>
            <w:tcBorders>
              <w:top w:val="single" w:sz="8" w:color="DBDBDB"/>
              <w:bottom w:val="single" w:sz="8" w:color="DBDBDB"/>
              <w:right w:val="single" w:sz="8" w:color="DBDBDB"/>
            </w:tcBorders>
            <w:shd w:val="clear" w:color="auto" w:fill="DBDBDB"/>
          </w:tcPr>
          <w:p>
            <w:pPr>
              <w:spacing w:after="0"/>
              <w:rPr>
                <w:sz w:val="22"/>
                <w:szCs w:val="22"/>
                <w:color w:val="auto"/>
              </w:rPr>
            </w:pPr>
          </w:p>
        </w:tc>
        <w:tc>
          <w:tcPr>
            <w:tcW w:w="560" w:type="dxa"/>
            <w:vAlign w:val="bottom"/>
            <w:tcBorders>
              <w:top w:val="single" w:sz="8" w:color="auto"/>
              <w:bottom w:val="single" w:sz="8" w:color="DBDBDB"/>
            </w:tcBorders>
            <w:shd w:val="clear" w:color="auto" w:fill="DBDBDB"/>
          </w:tcPr>
          <w:p>
            <w:pPr>
              <w:jc w:val="right"/>
              <w:ind w:right="396"/>
              <w:spacing w:after="0" w:line="194" w:lineRule="exact"/>
              <w:rPr>
                <w:sz w:val="20"/>
                <w:szCs w:val="20"/>
                <w:color w:val="auto"/>
              </w:rPr>
            </w:pPr>
            <w:r>
              <w:rPr>
                <w:rFonts w:ascii="Times New Roman" w:cs="Times New Roman" w:eastAsia="Times New Roman" w:hAnsi="Times New Roman"/>
                <w:sz w:val="17"/>
                <w:szCs w:val="17"/>
                <w:color w:val="auto"/>
                <w:highlight w:val="lightGray"/>
                <w:w w:val="70"/>
              </w:rPr>
              <w:t>$</w:t>
            </w:r>
          </w:p>
        </w:tc>
        <w:tc>
          <w:tcPr>
            <w:tcW w:w="240" w:type="dxa"/>
            <w:vAlign w:val="bottom"/>
            <w:tcBorders>
              <w:top w:val="single" w:sz="8" w:color="auto"/>
              <w:bottom w:val="single" w:sz="8" w:color="DBDBDB"/>
              <w:right w:val="single" w:sz="8" w:color="DBDBDB"/>
            </w:tcBorders>
            <w:shd w:val="clear" w:color="auto" w:fill="DBDBDB"/>
          </w:tcPr>
          <w:p>
            <w:pPr>
              <w:ind w:left="40"/>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DBDBDB"/>
              <w:bottom w:val="single" w:sz="8" w:color="DBDBDB"/>
              <w:right w:val="single" w:sz="8" w:color="DBDBDB"/>
            </w:tcBorders>
            <w:shd w:val="clear" w:color="auto" w:fill="DBDBDB"/>
          </w:tcPr>
          <w:p>
            <w:pPr>
              <w:spacing w:after="0"/>
              <w:rPr>
                <w:sz w:val="22"/>
                <w:szCs w:val="22"/>
                <w:color w:val="auto"/>
              </w:rPr>
            </w:pPr>
          </w:p>
        </w:tc>
        <w:tc>
          <w:tcPr>
            <w:tcW w:w="80" w:type="dxa"/>
            <w:vAlign w:val="bottom"/>
            <w:tcBorders>
              <w:top w:val="single" w:sz="8" w:color="auto"/>
              <w:bottom w:val="single" w:sz="8" w:color="DBDBDB"/>
            </w:tcBorders>
            <w:shd w:val="clear" w:color="auto" w:fill="DBDBDB"/>
          </w:tcPr>
          <w:p>
            <w:pPr>
              <w:spacing w:after="0"/>
              <w:rPr>
                <w:sz w:val="22"/>
                <w:szCs w:val="22"/>
                <w:color w:val="auto"/>
              </w:rPr>
            </w:pPr>
          </w:p>
        </w:tc>
        <w:tc>
          <w:tcPr>
            <w:tcW w:w="700" w:type="dxa"/>
            <w:vAlign w:val="bottom"/>
            <w:tcBorders>
              <w:top w:val="single" w:sz="8" w:color="auto"/>
              <w:bottom w:val="single" w:sz="8" w:color="DBDBDB"/>
            </w:tcBorders>
            <w:shd w:val="clear" w:color="auto" w:fill="DBDBDB"/>
          </w:tcPr>
          <w:p>
            <w:pPr>
              <w:jc w:val="right"/>
              <w:spacing w:after="0" w:line="195" w:lineRule="exact"/>
              <w:rPr>
                <w:sz w:val="20"/>
                <w:szCs w:val="20"/>
                <w:color w:val="auto"/>
              </w:rPr>
            </w:pPr>
            <w:r>
              <w:rPr>
                <w:rFonts w:ascii="Times New Roman" w:cs="Times New Roman" w:eastAsia="Times New Roman" w:hAnsi="Times New Roman"/>
                <w:sz w:val="18"/>
                <w:szCs w:val="18"/>
                <w:color w:val="auto"/>
              </w:rPr>
              <w:t>49,393</w:t>
            </w:r>
          </w:p>
        </w:tc>
        <w:tc>
          <w:tcPr>
            <w:tcW w:w="160" w:type="dxa"/>
            <w:vAlign w:val="bottom"/>
            <w:tcBorders>
              <w:top w:val="single" w:sz="8" w:color="DBDBDB"/>
              <w:bottom w:val="single" w:sz="8" w:color="DBDBDB"/>
              <w:right w:val="single" w:sz="8" w:color="DBDBDB"/>
            </w:tcBorders>
            <w:shd w:val="clear" w:color="auto" w:fill="DBDBDB"/>
          </w:tcPr>
          <w:p>
            <w:pPr>
              <w:spacing w:after="0"/>
              <w:rPr>
                <w:sz w:val="22"/>
                <w:szCs w:val="22"/>
                <w:color w:val="auto"/>
              </w:rPr>
            </w:pPr>
          </w:p>
        </w:tc>
        <w:tc>
          <w:tcPr>
            <w:tcW w:w="560" w:type="dxa"/>
            <w:vAlign w:val="bottom"/>
            <w:tcBorders>
              <w:top w:val="single" w:sz="8" w:color="auto"/>
              <w:bottom w:val="single" w:sz="8" w:color="DBDBDB"/>
            </w:tcBorders>
            <w:shd w:val="clear" w:color="auto" w:fill="DBDBDB"/>
          </w:tcPr>
          <w:p>
            <w:pPr>
              <w:jc w:val="right"/>
              <w:ind w:right="396"/>
              <w:spacing w:after="0" w:line="194" w:lineRule="exact"/>
              <w:rPr>
                <w:sz w:val="20"/>
                <w:szCs w:val="20"/>
                <w:color w:val="auto"/>
              </w:rPr>
            </w:pPr>
            <w:r>
              <w:rPr>
                <w:rFonts w:ascii="Times New Roman" w:cs="Times New Roman" w:eastAsia="Times New Roman" w:hAnsi="Times New Roman"/>
                <w:sz w:val="17"/>
                <w:szCs w:val="17"/>
                <w:color w:val="auto"/>
                <w:highlight w:val="lightGray"/>
                <w:w w:val="70"/>
              </w:rPr>
              <w:t>$</w:t>
            </w:r>
          </w:p>
        </w:tc>
        <w:tc>
          <w:tcPr>
            <w:tcW w:w="220" w:type="dxa"/>
            <w:vAlign w:val="bottom"/>
            <w:tcBorders>
              <w:top w:val="single" w:sz="8" w:color="auto"/>
              <w:bottom w:val="single" w:sz="8" w:color="DBDBDB"/>
            </w:tcBorders>
            <w:shd w:val="clear" w:color="auto" w:fill="DBDBDB"/>
          </w:tcPr>
          <w:p>
            <w:pPr>
              <w:jc w:val="right"/>
              <w:spacing w:after="0" w:line="195" w:lineRule="exact"/>
              <w:rPr>
                <w:sz w:val="20"/>
                <w:szCs w:val="20"/>
                <w:color w:val="auto"/>
              </w:rPr>
            </w:pPr>
            <w:r>
              <w:rPr>
                <w:rFonts w:ascii="Times New Roman" w:cs="Times New Roman" w:eastAsia="Times New Roman" w:hAnsi="Times New Roman"/>
                <w:sz w:val="18"/>
                <w:szCs w:val="18"/>
                <w:color w:val="auto"/>
              </w:rPr>
              <w:t>49</w:t>
            </w:r>
          </w:p>
        </w:tc>
        <w:tc>
          <w:tcPr>
            <w:tcW w:w="160" w:type="dxa"/>
            <w:vAlign w:val="bottom"/>
            <w:tcBorders>
              <w:top w:val="single" w:sz="8" w:color="DBDBDB"/>
              <w:bottom w:val="single" w:sz="8" w:color="DBDBDB"/>
              <w:right w:val="single" w:sz="8" w:color="DBDBDB"/>
            </w:tcBorders>
            <w:shd w:val="clear" w:color="auto" w:fill="DBDBDB"/>
          </w:tcPr>
          <w:p>
            <w:pPr>
              <w:spacing w:after="0"/>
              <w:rPr>
                <w:sz w:val="22"/>
                <w:szCs w:val="22"/>
                <w:color w:val="auto"/>
              </w:rPr>
            </w:pPr>
          </w:p>
        </w:tc>
        <w:tc>
          <w:tcPr>
            <w:tcW w:w="120" w:type="dxa"/>
            <w:vAlign w:val="bottom"/>
            <w:tcBorders>
              <w:top w:val="single" w:sz="8" w:color="auto"/>
              <w:bottom w:val="single" w:sz="8" w:color="DBDBDB"/>
            </w:tcBorders>
            <w:shd w:val="clear" w:color="auto" w:fill="DBDBDB"/>
          </w:tcPr>
          <w:p>
            <w:pPr>
              <w:jc w:val="right"/>
              <w:spacing w:after="0" w:line="195" w:lineRule="exact"/>
              <w:rPr>
                <w:sz w:val="20"/>
                <w:szCs w:val="20"/>
                <w:color w:val="auto"/>
              </w:rPr>
            </w:pPr>
            <w:r>
              <w:rPr>
                <w:rFonts w:ascii="Times New Roman" w:cs="Times New Roman" w:eastAsia="Times New Roman" w:hAnsi="Times New Roman"/>
                <w:sz w:val="18"/>
                <w:szCs w:val="18"/>
                <w:color w:val="auto"/>
                <w:highlight w:val="lightGray"/>
                <w:w w:val="88"/>
              </w:rPr>
              <w:t>$</w:t>
            </w:r>
          </w:p>
        </w:tc>
        <w:tc>
          <w:tcPr>
            <w:tcW w:w="780" w:type="dxa"/>
            <w:vAlign w:val="bottom"/>
            <w:tcBorders>
              <w:top w:val="single" w:sz="8" w:color="auto"/>
              <w:bottom w:val="single" w:sz="8" w:color="DBDBDB"/>
            </w:tcBorders>
            <w:shd w:val="clear" w:color="auto" w:fill="DBDBDB"/>
          </w:tcPr>
          <w:p>
            <w:pPr>
              <w:jc w:val="right"/>
              <w:spacing w:after="0" w:line="195" w:lineRule="exact"/>
              <w:rPr>
                <w:sz w:val="20"/>
                <w:szCs w:val="20"/>
                <w:color w:val="auto"/>
              </w:rPr>
            </w:pPr>
            <w:r>
              <w:rPr>
                <w:rFonts w:ascii="Times New Roman" w:cs="Times New Roman" w:eastAsia="Times New Roman" w:hAnsi="Times New Roman"/>
                <w:sz w:val="18"/>
                <w:szCs w:val="18"/>
                <w:color w:val="auto"/>
                <w:highlight w:val="lightGray"/>
              </w:rPr>
              <w:t>683,462</w:t>
            </w:r>
          </w:p>
        </w:tc>
        <w:tc>
          <w:tcPr>
            <w:tcW w:w="20" w:type="dxa"/>
            <w:vAlign w:val="bottom"/>
            <w:tcBorders>
              <w:top w:val="single" w:sz="8" w:color="DBDBDB"/>
              <w:bottom w:val="single" w:sz="8" w:color="DBDBDB"/>
            </w:tcBorders>
            <w:shd w:val="clear" w:color="auto" w:fill="DBDBDB"/>
          </w:tcPr>
          <w:p>
            <w:pPr>
              <w:spacing w:after="0"/>
              <w:rPr>
                <w:sz w:val="22"/>
                <w:szCs w:val="22"/>
                <w:color w:val="auto"/>
              </w:rPr>
            </w:pPr>
          </w:p>
        </w:tc>
        <w:tc>
          <w:tcPr>
            <w:tcW w:w="140" w:type="dxa"/>
            <w:vAlign w:val="bottom"/>
            <w:tcBorders>
              <w:top w:val="single" w:sz="8" w:color="DBDBDB"/>
              <w:bottom w:val="single" w:sz="8" w:color="DBDBDB"/>
              <w:right w:val="single" w:sz="8" w:color="DBDBDB"/>
            </w:tcBorders>
            <w:shd w:val="clear" w:color="auto" w:fill="DBDBDB"/>
          </w:tcPr>
          <w:p>
            <w:pPr>
              <w:spacing w:after="0"/>
              <w:rPr>
                <w:sz w:val="22"/>
                <w:szCs w:val="22"/>
                <w:color w:val="auto"/>
              </w:rPr>
            </w:pPr>
          </w:p>
        </w:tc>
        <w:tc>
          <w:tcPr>
            <w:tcW w:w="140" w:type="dxa"/>
            <w:vAlign w:val="bottom"/>
            <w:tcBorders>
              <w:top w:val="single" w:sz="8" w:color="auto"/>
              <w:bottom w:val="single" w:sz="8" w:color="DBDBDB"/>
            </w:tcBorders>
            <w:shd w:val="clear" w:color="auto" w:fill="DBDBDB"/>
          </w:tcPr>
          <w:p>
            <w:pPr>
              <w:spacing w:after="0" w:line="195" w:lineRule="exact"/>
              <w:rPr>
                <w:sz w:val="20"/>
                <w:szCs w:val="20"/>
                <w:color w:val="auto"/>
              </w:rPr>
            </w:pPr>
            <w:r>
              <w:rPr>
                <w:rFonts w:ascii="Times New Roman" w:cs="Times New Roman" w:eastAsia="Times New Roman" w:hAnsi="Times New Roman"/>
                <w:sz w:val="18"/>
                <w:szCs w:val="18"/>
                <w:color w:val="auto"/>
                <w:highlight w:val="lightGray"/>
              </w:rPr>
              <w:t>$</w:t>
            </w:r>
          </w:p>
        </w:tc>
        <w:tc>
          <w:tcPr>
            <w:tcW w:w="1000" w:type="dxa"/>
            <w:vAlign w:val="bottom"/>
            <w:tcBorders>
              <w:top w:val="single" w:sz="8" w:color="auto"/>
              <w:bottom w:val="single" w:sz="8" w:color="DBDBDB"/>
            </w:tcBorders>
            <w:shd w:val="clear" w:color="auto" w:fill="DBDBDB"/>
          </w:tcPr>
          <w:p>
            <w:pPr>
              <w:jc w:val="right"/>
              <w:spacing w:after="0" w:line="195" w:lineRule="exact"/>
              <w:rPr>
                <w:sz w:val="20"/>
                <w:szCs w:val="20"/>
                <w:color w:val="auto"/>
              </w:rPr>
            </w:pPr>
            <w:r>
              <w:rPr>
                <w:rFonts w:ascii="Times New Roman" w:cs="Times New Roman" w:eastAsia="Times New Roman" w:hAnsi="Times New Roman"/>
                <w:sz w:val="18"/>
                <w:szCs w:val="18"/>
                <w:color w:val="auto"/>
              </w:rPr>
              <w:t>(2,548)</w:t>
            </w:r>
          </w:p>
        </w:tc>
        <w:tc>
          <w:tcPr>
            <w:tcW w:w="20" w:type="dxa"/>
            <w:vAlign w:val="bottom"/>
            <w:tcBorders>
              <w:top w:val="single" w:sz="8" w:color="DBDBDB"/>
              <w:bottom w:val="single" w:sz="8" w:color="DBDBDB"/>
            </w:tcBorders>
            <w:shd w:val="clear" w:color="auto" w:fill="DBDBDB"/>
          </w:tcPr>
          <w:p>
            <w:pPr>
              <w:spacing w:after="0"/>
              <w:rPr>
                <w:sz w:val="22"/>
                <w:szCs w:val="22"/>
                <w:color w:val="auto"/>
              </w:rPr>
            </w:pPr>
          </w:p>
        </w:tc>
        <w:tc>
          <w:tcPr>
            <w:tcW w:w="60" w:type="dxa"/>
            <w:vAlign w:val="bottom"/>
            <w:tcBorders>
              <w:top w:val="single" w:sz="8" w:color="DBDBDB"/>
              <w:bottom w:val="single" w:sz="8" w:color="DBDBDB"/>
            </w:tcBorders>
            <w:shd w:val="clear" w:color="auto" w:fill="DBDBDB"/>
          </w:tcPr>
          <w:p>
            <w:pPr>
              <w:spacing w:after="0"/>
              <w:rPr>
                <w:sz w:val="22"/>
                <w:szCs w:val="22"/>
                <w:color w:val="auto"/>
              </w:rPr>
            </w:pPr>
          </w:p>
        </w:tc>
        <w:tc>
          <w:tcPr>
            <w:tcW w:w="80" w:type="dxa"/>
            <w:vAlign w:val="bottom"/>
            <w:tcBorders>
              <w:top w:val="single" w:sz="8" w:color="DBDBDB"/>
              <w:bottom w:val="single" w:sz="8" w:color="DBDBDB"/>
              <w:right w:val="single" w:sz="8" w:color="DBDBDB"/>
            </w:tcBorders>
            <w:shd w:val="clear" w:color="auto" w:fill="DBDBDB"/>
          </w:tcPr>
          <w:p>
            <w:pPr>
              <w:spacing w:after="0"/>
              <w:rPr>
                <w:sz w:val="22"/>
                <w:szCs w:val="22"/>
                <w:color w:val="auto"/>
              </w:rPr>
            </w:pPr>
          </w:p>
        </w:tc>
        <w:tc>
          <w:tcPr>
            <w:tcW w:w="140" w:type="dxa"/>
            <w:vAlign w:val="bottom"/>
            <w:tcBorders>
              <w:top w:val="single" w:sz="8" w:color="auto"/>
              <w:bottom w:val="single" w:sz="8" w:color="DBDBDB"/>
            </w:tcBorders>
            <w:shd w:val="clear" w:color="auto" w:fill="DBDBDB"/>
          </w:tcPr>
          <w:p>
            <w:pPr>
              <w:spacing w:after="0" w:line="195" w:lineRule="exact"/>
              <w:rPr>
                <w:sz w:val="20"/>
                <w:szCs w:val="20"/>
                <w:color w:val="auto"/>
              </w:rPr>
            </w:pPr>
            <w:r>
              <w:rPr>
                <w:rFonts w:ascii="Times New Roman" w:cs="Times New Roman" w:eastAsia="Times New Roman" w:hAnsi="Times New Roman"/>
                <w:sz w:val="18"/>
                <w:szCs w:val="18"/>
                <w:color w:val="auto"/>
                <w:highlight w:val="lightGray"/>
              </w:rPr>
              <w:t>$</w:t>
            </w:r>
          </w:p>
        </w:tc>
        <w:tc>
          <w:tcPr>
            <w:tcW w:w="940" w:type="dxa"/>
            <w:vAlign w:val="bottom"/>
            <w:tcBorders>
              <w:top w:val="single" w:sz="8" w:color="auto"/>
              <w:bottom w:val="single" w:sz="8" w:color="DBDBDB"/>
            </w:tcBorders>
            <w:shd w:val="clear" w:color="auto" w:fill="DBDBDB"/>
          </w:tcPr>
          <w:p>
            <w:pPr>
              <w:jc w:val="right"/>
              <w:spacing w:after="0" w:line="195" w:lineRule="exact"/>
              <w:rPr>
                <w:sz w:val="20"/>
                <w:szCs w:val="20"/>
                <w:color w:val="auto"/>
              </w:rPr>
            </w:pPr>
            <w:r>
              <w:rPr>
                <w:rFonts w:ascii="Times New Roman" w:cs="Times New Roman" w:eastAsia="Times New Roman" w:hAnsi="Times New Roman"/>
                <w:sz w:val="18"/>
                <w:szCs w:val="18"/>
                <w:color w:val="auto"/>
                <w:highlight w:val="lightGray"/>
              </w:rPr>
              <w:t>(451,851)</w:t>
            </w:r>
          </w:p>
        </w:tc>
        <w:tc>
          <w:tcPr>
            <w:tcW w:w="80" w:type="dxa"/>
            <w:vAlign w:val="bottom"/>
            <w:tcBorders>
              <w:top w:val="single" w:sz="8" w:color="DBDBDB"/>
              <w:bottom w:val="single" w:sz="8" w:color="DBDBDB"/>
            </w:tcBorders>
            <w:shd w:val="clear" w:color="auto" w:fill="DBDBDB"/>
          </w:tcPr>
          <w:p>
            <w:pPr>
              <w:spacing w:after="0"/>
              <w:rPr>
                <w:sz w:val="22"/>
                <w:szCs w:val="22"/>
                <w:color w:val="auto"/>
              </w:rPr>
            </w:pPr>
          </w:p>
        </w:tc>
        <w:tc>
          <w:tcPr>
            <w:tcW w:w="80" w:type="dxa"/>
            <w:vAlign w:val="bottom"/>
            <w:tcBorders>
              <w:top w:val="single" w:sz="8" w:color="DBDBDB"/>
              <w:bottom w:val="single" w:sz="8" w:color="DBDBDB"/>
              <w:right w:val="single" w:sz="8" w:color="DBDBDB"/>
            </w:tcBorders>
            <w:shd w:val="clear" w:color="auto" w:fill="DBDBDB"/>
          </w:tcPr>
          <w:p>
            <w:pPr>
              <w:spacing w:after="0"/>
              <w:rPr>
                <w:sz w:val="22"/>
                <w:szCs w:val="22"/>
                <w:color w:val="auto"/>
              </w:rPr>
            </w:pPr>
          </w:p>
        </w:tc>
        <w:tc>
          <w:tcPr>
            <w:tcW w:w="120" w:type="dxa"/>
            <w:vAlign w:val="bottom"/>
            <w:tcBorders>
              <w:top w:val="single" w:sz="8" w:color="auto"/>
              <w:bottom w:val="single" w:sz="8" w:color="DBDBDB"/>
            </w:tcBorders>
            <w:shd w:val="clear" w:color="auto" w:fill="DBDBDB"/>
          </w:tcPr>
          <w:p>
            <w:pPr>
              <w:jc w:val="right"/>
              <w:spacing w:after="0" w:line="194" w:lineRule="exact"/>
              <w:rPr>
                <w:sz w:val="20"/>
                <w:szCs w:val="20"/>
                <w:color w:val="auto"/>
              </w:rPr>
            </w:pPr>
            <w:r>
              <w:rPr>
                <w:rFonts w:ascii="Times New Roman" w:cs="Times New Roman" w:eastAsia="Times New Roman" w:hAnsi="Times New Roman"/>
                <w:sz w:val="17"/>
                <w:szCs w:val="17"/>
                <w:color w:val="auto"/>
                <w:highlight w:val="lightGray"/>
                <w:w w:val="70"/>
              </w:rPr>
              <w:t>$</w:t>
            </w:r>
          </w:p>
        </w:tc>
        <w:tc>
          <w:tcPr>
            <w:tcW w:w="920" w:type="dxa"/>
            <w:vAlign w:val="bottom"/>
            <w:tcBorders>
              <w:top w:val="single" w:sz="8" w:color="auto"/>
              <w:bottom w:val="single" w:sz="8" w:color="DBDBDB"/>
            </w:tcBorders>
            <w:shd w:val="clear" w:color="auto" w:fill="DBDBDB"/>
          </w:tcPr>
          <w:p>
            <w:pPr>
              <w:jc w:val="right"/>
              <w:spacing w:after="0" w:line="195" w:lineRule="exact"/>
              <w:rPr>
                <w:sz w:val="20"/>
                <w:szCs w:val="20"/>
                <w:color w:val="auto"/>
              </w:rPr>
            </w:pPr>
            <w:r>
              <w:rPr>
                <w:rFonts w:ascii="Times New Roman" w:cs="Times New Roman" w:eastAsia="Times New Roman" w:hAnsi="Times New Roman"/>
                <w:sz w:val="18"/>
                <w:szCs w:val="18"/>
                <w:color w:val="auto"/>
              </w:rPr>
              <w:t>229,112</w:t>
            </w:r>
          </w:p>
        </w:tc>
      </w:tr>
      <w:tr>
        <w:trPr>
          <w:trHeight w:val="168"/>
        </w:trPr>
        <w:tc>
          <w:tcPr>
            <w:tcW w:w="2100" w:type="dxa"/>
            <w:vAlign w:val="bottom"/>
            <w:tcBorders>
              <w:top w:val="single" w:sz="8" w:color="DBDBDB"/>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Public offering of common</w:t>
            </w:r>
          </w:p>
        </w:tc>
        <w:tc>
          <w:tcPr>
            <w:tcW w:w="160" w:type="dxa"/>
            <w:vAlign w:val="bottom"/>
            <w:tcBorders>
              <w:top w:val="single" w:sz="8" w:color="DBDBDB"/>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0" w:type="dxa"/>
            <w:vAlign w:val="bottom"/>
            <w:tcBorders>
              <w:top w:val="single" w:sz="8" w:color="DBDBDB"/>
            </w:tcBorders>
          </w:tcPr>
          <w:p>
            <w:pPr>
              <w:spacing w:after="0"/>
              <w:rPr>
                <w:sz w:val="14"/>
                <w:szCs w:val="14"/>
                <w:color w:val="auto"/>
              </w:rPr>
            </w:pPr>
          </w:p>
        </w:tc>
        <w:tc>
          <w:tcPr>
            <w:tcW w:w="140" w:type="dxa"/>
            <w:vAlign w:val="bottom"/>
            <w:tcBorders>
              <w:top w:val="single" w:sz="8" w:color="DBDBDB"/>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40" w:type="dxa"/>
            <w:vAlign w:val="bottom"/>
            <w:tcBorders>
              <w:top w:val="single" w:sz="8" w:color="DBDBDB"/>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60" w:type="dxa"/>
            <w:vAlign w:val="bottom"/>
            <w:tcBorders>
              <w:top w:val="single" w:sz="8" w:color="DBDBDB"/>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60" w:type="dxa"/>
            <w:vAlign w:val="bottom"/>
            <w:tcBorders>
              <w:top w:val="single" w:sz="8" w:color="DBDBDB"/>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0" w:type="dxa"/>
            <w:vAlign w:val="bottom"/>
            <w:tcBorders>
              <w:top w:val="single" w:sz="8" w:color="DBDBDB"/>
            </w:tcBorders>
          </w:tcPr>
          <w:p>
            <w:pPr>
              <w:spacing w:after="0"/>
              <w:rPr>
                <w:sz w:val="14"/>
                <w:szCs w:val="14"/>
                <w:color w:val="auto"/>
              </w:rPr>
            </w:pPr>
          </w:p>
        </w:tc>
        <w:tc>
          <w:tcPr>
            <w:tcW w:w="140" w:type="dxa"/>
            <w:vAlign w:val="bottom"/>
            <w:tcBorders>
              <w:top w:val="single" w:sz="8" w:color="DBDBDB"/>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0" w:type="dxa"/>
            <w:vAlign w:val="bottom"/>
            <w:tcBorders>
              <w:top w:val="single" w:sz="8" w:color="DBDBDB"/>
            </w:tcBorders>
          </w:tcPr>
          <w:p>
            <w:pPr>
              <w:spacing w:after="0"/>
              <w:rPr>
                <w:sz w:val="14"/>
                <w:szCs w:val="14"/>
                <w:color w:val="auto"/>
              </w:rPr>
            </w:pPr>
          </w:p>
        </w:tc>
        <w:tc>
          <w:tcPr>
            <w:tcW w:w="60" w:type="dxa"/>
            <w:vAlign w:val="bottom"/>
            <w:tcBorders>
              <w:top w:val="single" w:sz="8" w:color="DBDBDB"/>
            </w:tcBorders>
          </w:tcPr>
          <w:p>
            <w:pPr>
              <w:spacing w:after="0"/>
              <w:rPr>
                <w:sz w:val="14"/>
                <w:szCs w:val="14"/>
                <w:color w:val="auto"/>
              </w:rPr>
            </w:pPr>
          </w:p>
        </w:tc>
        <w:tc>
          <w:tcPr>
            <w:tcW w:w="80" w:type="dxa"/>
            <w:vAlign w:val="bottom"/>
            <w:tcBorders>
              <w:top w:val="single" w:sz="8" w:color="DBDBDB"/>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80" w:type="dxa"/>
            <w:vAlign w:val="bottom"/>
            <w:tcBorders>
              <w:top w:val="single" w:sz="8" w:color="DBDBDB"/>
            </w:tcBorders>
          </w:tcPr>
          <w:p>
            <w:pPr>
              <w:spacing w:after="0"/>
              <w:rPr>
                <w:sz w:val="14"/>
                <w:szCs w:val="14"/>
                <w:color w:val="auto"/>
              </w:rPr>
            </w:pPr>
          </w:p>
        </w:tc>
        <w:tc>
          <w:tcPr>
            <w:tcW w:w="80" w:type="dxa"/>
            <w:vAlign w:val="bottom"/>
            <w:tcBorders>
              <w:top w:val="single" w:sz="8" w:color="DBDBDB"/>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r>
      <w:tr>
        <w:trPr>
          <w:trHeight w:val="228"/>
        </w:trPr>
        <w:tc>
          <w:tcPr>
            <w:tcW w:w="2260" w:type="dxa"/>
            <w:vAlign w:val="bottom"/>
            <w:tcBorders>
              <w:bottom w:val="single" w:sz="8" w:color="DBDBDB"/>
            </w:tcBorders>
            <w:gridSpan w:val="2"/>
          </w:tcPr>
          <w:p>
            <w:pPr>
              <w:ind w:left="20"/>
              <w:spacing w:after="0"/>
              <w:rPr>
                <w:sz w:val="20"/>
                <w:szCs w:val="20"/>
                <w:color w:val="auto"/>
              </w:rPr>
            </w:pPr>
            <w:r>
              <w:rPr>
                <w:rFonts w:ascii="Times New Roman" w:cs="Times New Roman" w:eastAsia="Times New Roman" w:hAnsi="Times New Roman"/>
                <w:sz w:val="18"/>
                <w:szCs w:val="18"/>
                <w:color w:val="auto"/>
              </w:rPr>
              <w:t>stock, net</w:t>
            </w:r>
          </w:p>
        </w:tc>
        <w:tc>
          <w:tcPr>
            <w:tcW w:w="740" w:type="dxa"/>
            <w:vAlign w:val="bottom"/>
            <w:tcBorders>
              <w:bottom w:val="single" w:sz="8" w:color="DBDBDB"/>
            </w:tcBorders>
            <w:gridSpan w:val="2"/>
          </w:tcPr>
          <w:p>
            <w:pPr>
              <w:ind w:left="54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bottom w:val="single" w:sz="8" w:color="DBDBDB"/>
            </w:tcBorders>
          </w:tcPr>
          <w:p>
            <w:pPr>
              <w:spacing w:after="0"/>
              <w:rPr>
                <w:sz w:val="19"/>
                <w:szCs w:val="19"/>
                <w:color w:val="auto"/>
              </w:rPr>
            </w:pPr>
          </w:p>
        </w:tc>
        <w:tc>
          <w:tcPr>
            <w:tcW w:w="560" w:type="dxa"/>
            <w:vAlign w:val="bottom"/>
            <w:tcBorders>
              <w:bottom w:val="single" w:sz="8" w:color="DBDBDB"/>
            </w:tcBorders>
          </w:tcPr>
          <w:p>
            <w:pPr>
              <w:spacing w:after="0"/>
              <w:rPr>
                <w:sz w:val="19"/>
                <w:szCs w:val="19"/>
                <w:color w:val="auto"/>
              </w:rPr>
            </w:pPr>
          </w:p>
        </w:tc>
        <w:tc>
          <w:tcPr>
            <w:tcW w:w="240" w:type="dxa"/>
            <w:vAlign w:val="bottom"/>
            <w:tcBorders>
              <w:bottom w:val="single" w:sz="8" w:color="DBDBDB"/>
            </w:tcBorders>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DBDBDB"/>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23,750</w:t>
            </w:r>
          </w:p>
        </w:tc>
        <w:tc>
          <w:tcPr>
            <w:tcW w:w="160" w:type="dxa"/>
            <w:vAlign w:val="bottom"/>
            <w:tcBorders>
              <w:bottom w:val="single" w:sz="8" w:color="DBDBDB"/>
            </w:tcBorders>
          </w:tcPr>
          <w:p>
            <w:pPr>
              <w:spacing w:after="0"/>
              <w:rPr>
                <w:sz w:val="19"/>
                <w:szCs w:val="19"/>
                <w:color w:val="auto"/>
              </w:rPr>
            </w:pPr>
          </w:p>
        </w:tc>
        <w:tc>
          <w:tcPr>
            <w:tcW w:w="560" w:type="dxa"/>
            <w:vAlign w:val="bottom"/>
            <w:tcBorders>
              <w:bottom w:val="single" w:sz="8" w:color="DBDBDB"/>
            </w:tcBorders>
          </w:tcPr>
          <w:p>
            <w:pPr>
              <w:spacing w:after="0"/>
              <w:rPr>
                <w:sz w:val="19"/>
                <w:szCs w:val="19"/>
                <w:color w:val="auto"/>
              </w:rPr>
            </w:pPr>
          </w:p>
        </w:tc>
        <w:tc>
          <w:tcPr>
            <w:tcW w:w="220" w:type="dxa"/>
            <w:vAlign w:val="bottom"/>
            <w:tcBorders>
              <w:bottom w:val="single" w:sz="8" w:color="DBDBDB"/>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Borders>
              <w:bottom w:val="single" w:sz="8" w:color="DBDBDB"/>
            </w:tcBorders>
          </w:tcPr>
          <w:p>
            <w:pPr>
              <w:spacing w:after="0"/>
              <w:rPr>
                <w:sz w:val="19"/>
                <w:szCs w:val="19"/>
                <w:color w:val="auto"/>
              </w:rPr>
            </w:pPr>
          </w:p>
        </w:tc>
        <w:tc>
          <w:tcPr>
            <w:tcW w:w="120" w:type="dxa"/>
            <w:vAlign w:val="bottom"/>
            <w:tcBorders>
              <w:bottom w:val="single" w:sz="8" w:color="DBDBDB"/>
            </w:tcBorders>
          </w:tcPr>
          <w:p>
            <w:pPr>
              <w:spacing w:after="0"/>
              <w:rPr>
                <w:sz w:val="19"/>
                <w:szCs w:val="19"/>
                <w:color w:val="auto"/>
              </w:rPr>
            </w:pPr>
          </w:p>
        </w:tc>
        <w:tc>
          <w:tcPr>
            <w:tcW w:w="780" w:type="dxa"/>
            <w:vAlign w:val="bottom"/>
            <w:tcBorders>
              <w:bottom w:val="single" w:sz="8" w:color="DBDBDB"/>
            </w:tcBorders>
          </w:tcPr>
          <w:p>
            <w:pPr>
              <w:jc w:val="right"/>
              <w:spacing w:after="0"/>
              <w:rPr>
                <w:sz w:val="20"/>
                <w:szCs w:val="20"/>
                <w:color w:val="auto"/>
              </w:rPr>
            </w:pPr>
            <w:r>
              <w:rPr>
                <w:rFonts w:ascii="Times New Roman" w:cs="Times New Roman" w:eastAsia="Times New Roman" w:hAnsi="Times New Roman"/>
                <w:sz w:val="18"/>
                <w:szCs w:val="18"/>
                <w:color w:val="auto"/>
              </w:rPr>
              <w:t>518,891</w:t>
            </w:r>
          </w:p>
        </w:tc>
        <w:tc>
          <w:tcPr>
            <w:tcW w:w="20" w:type="dxa"/>
            <w:vAlign w:val="bottom"/>
            <w:tcBorders>
              <w:bottom w:val="single" w:sz="8" w:color="DBDBDB"/>
            </w:tcBorders>
          </w:tcPr>
          <w:p>
            <w:pPr>
              <w:spacing w:after="0"/>
              <w:rPr>
                <w:sz w:val="19"/>
                <w:szCs w:val="19"/>
                <w:color w:val="auto"/>
              </w:rPr>
            </w:pPr>
          </w:p>
        </w:tc>
        <w:tc>
          <w:tcPr>
            <w:tcW w:w="140" w:type="dxa"/>
            <w:vAlign w:val="bottom"/>
            <w:tcBorders>
              <w:bottom w:val="single" w:sz="8" w:color="DBDBDB"/>
            </w:tcBorders>
          </w:tcPr>
          <w:p>
            <w:pPr>
              <w:spacing w:after="0"/>
              <w:rPr>
                <w:sz w:val="19"/>
                <w:szCs w:val="19"/>
                <w:color w:val="auto"/>
              </w:rPr>
            </w:pPr>
          </w:p>
        </w:tc>
        <w:tc>
          <w:tcPr>
            <w:tcW w:w="140" w:type="dxa"/>
            <w:vAlign w:val="bottom"/>
            <w:tcBorders>
              <w:bottom w:val="single" w:sz="8" w:color="DBDBDB"/>
            </w:tcBorders>
          </w:tcPr>
          <w:p>
            <w:pPr>
              <w:spacing w:after="0"/>
              <w:rPr>
                <w:sz w:val="19"/>
                <w:szCs w:val="19"/>
                <w:color w:val="auto"/>
              </w:rPr>
            </w:pPr>
          </w:p>
        </w:tc>
        <w:tc>
          <w:tcPr>
            <w:tcW w:w="1020" w:type="dxa"/>
            <w:vAlign w:val="bottom"/>
            <w:tcBorders>
              <w:bottom w:val="single" w:sz="8" w:color="DBDBDB"/>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DBDBDB"/>
            </w:tcBorders>
          </w:tcPr>
          <w:p>
            <w:pPr>
              <w:spacing w:after="0"/>
              <w:rPr>
                <w:sz w:val="19"/>
                <w:szCs w:val="19"/>
                <w:color w:val="auto"/>
              </w:rPr>
            </w:pPr>
          </w:p>
        </w:tc>
        <w:tc>
          <w:tcPr>
            <w:tcW w:w="80" w:type="dxa"/>
            <w:vAlign w:val="bottom"/>
            <w:tcBorders>
              <w:bottom w:val="single" w:sz="8" w:color="DBDBDB"/>
            </w:tcBorders>
          </w:tcPr>
          <w:p>
            <w:pPr>
              <w:spacing w:after="0"/>
              <w:rPr>
                <w:sz w:val="19"/>
                <w:szCs w:val="19"/>
                <w:color w:val="auto"/>
              </w:rPr>
            </w:pPr>
          </w:p>
        </w:tc>
        <w:tc>
          <w:tcPr>
            <w:tcW w:w="140" w:type="dxa"/>
            <w:vAlign w:val="bottom"/>
            <w:tcBorders>
              <w:bottom w:val="single" w:sz="8" w:color="DBDBDB"/>
            </w:tcBorders>
          </w:tcPr>
          <w:p>
            <w:pPr>
              <w:spacing w:after="0"/>
              <w:rPr>
                <w:sz w:val="19"/>
                <w:szCs w:val="19"/>
                <w:color w:val="auto"/>
              </w:rPr>
            </w:pPr>
          </w:p>
        </w:tc>
        <w:tc>
          <w:tcPr>
            <w:tcW w:w="1020" w:type="dxa"/>
            <w:vAlign w:val="bottom"/>
            <w:tcBorders>
              <w:bottom w:val="single" w:sz="8" w:color="DBDBDB"/>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DBDBDB"/>
            </w:tcBorders>
          </w:tcPr>
          <w:p>
            <w:pPr>
              <w:spacing w:after="0"/>
              <w:rPr>
                <w:sz w:val="19"/>
                <w:szCs w:val="19"/>
                <w:color w:val="auto"/>
              </w:rPr>
            </w:pPr>
          </w:p>
        </w:tc>
        <w:tc>
          <w:tcPr>
            <w:tcW w:w="120" w:type="dxa"/>
            <w:vAlign w:val="bottom"/>
            <w:tcBorders>
              <w:bottom w:val="single" w:sz="8" w:color="DBDBDB"/>
            </w:tcBorders>
          </w:tcPr>
          <w:p>
            <w:pPr>
              <w:spacing w:after="0"/>
              <w:rPr>
                <w:sz w:val="19"/>
                <w:szCs w:val="19"/>
                <w:color w:val="auto"/>
              </w:rPr>
            </w:pPr>
          </w:p>
        </w:tc>
        <w:tc>
          <w:tcPr>
            <w:tcW w:w="920" w:type="dxa"/>
            <w:vAlign w:val="bottom"/>
            <w:tcBorders>
              <w:bottom w:val="single" w:sz="8" w:color="DBDBDB"/>
            </w:tcBorders>
          </w:tcPr>
          <w:p>
            <w:pPr>
              <w:jc w:val="right"/>
              <w:spacing w:after="0"/>
              <w:rPr>
                <w:sz w:val="20"/>
                <w:szCs w:val="20"/>
                <w:color w:val="auto"/>
              </w:rPr>
            </w:pPr>
            <w:r>
              <w:rPr>
                <w:rFonts w:ascii="Times New Roman" w:cs="Times New Roman" w:eastAsia="Times New Roman" w:hAnsi="Times New Roman"/>
                <w:sz w:val="18"/>
                <w:szCs w:val="18"/>
                <w:color w:val="auto"/>
              </w:rPr>
              <w:t>518,915</w:t>
            </w:r>
          </w:p>
        </w:tc>
      </w:tr>
      <w:tr>
        <w:trPr>
          <w:trHeight w:val="168"/>
        </w:trPr>
        <w:tc>
          <w:tcPr>
            <w:tcW w:w="2100" w:type="dxa"/>
            <w:vAlign w:val="bottom"/>
            <w:shd w:val="clear" w:color="auto" w:fill="DBDBDB"/>
          </w:tcPr>
          <w:p>
            <w:pPr>
              <w:ind w:left="20"/>
              <w:spacing w:after="0" w:line="169" w:lineRule="exact"/>
              <w:rPr>
                <w:sz w:val="20"/>
                <w:szCs w:val="20"/>
                <w:color w:val="auto"/>
              </w:rPr>
            </w:pPr>
            <w:r>
              <w:rPr>
                <w:rFonts w:ascii="Times New Roman" w:cs="Times New Roman" w:eastAsia="Times New Roman" w:hAnsi="Times New Roman"/>
                <w:sz w:val="18"/>
                <w:szCs w:val="18"/>
                <w:color w:val="auto"/>
                <w:highlight w:val="lightGray"/>
              </w:rPr>
              <w:t>Issuance of restricted stock,</w:t>
            </w:r>
          </w:p>
        </w:tc>
        <w:tc>
          <w:tcPr>
            <w:tcW w:w="160" w:type="dxa"/>
            <w:vAlign w:val="bottom"/>
            <w:tcBorders>
              <w:right w:val="single" w:sz="8" w:color="DBDBDB"/>
            </w:tcBorders>
            <w:shd w:val="clear" w:color="auto" w:fill="DBDBDB"/>
          </w:tcPr>
          <w:p>
            <w:pPr>
              <w:spacing w:after="0"/>
              <w:rPr>
                <w:sz w:val="14"/>
                <w:szCs w:val="14"/>
                <w:color w:val="auto"/>
              </w:rPr>
            </w:pPr>
          </w:p>
        </w:tc>
        <w:tc>
          <w:tcPr>
            <w:tcW w:w="720" w:type="dxa"/>
            <w:vAlign w:val="bottom"/>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140" w:type="dxa"/>
            <w:vAlign w:val="bottom"/>
            <w:tcBorders>
              <w:right w:val="single" w:sz="8" w:color="DBDBDB"/>
            </w:tcBorders>
            <w:shd w:val="clear" w:color="auto" w:fill="DBDBDB"/>
          </w:tcPr>
          <w:p>
            <w:pPr>
              <w:spacing w:after="0"/>
              <w:rPr>
                <w:sz w:val="14"/>
                <w:szCs w:val="14"/>
                <w:color w:val="auto"/>
              </w:rPr>
            </w:pPr>
          </w:p>
        </w:tc>
        <w:tc>
          <w:tcPr>
            <w:tcW w:w="560" w:type="dxa"/>
            <w:vAlign w:val="bottom"/>
            <w:shd w:val="clear" w:color="auto" w:fill="DBDBDB"/>
          </w:tcPr>
          <w:p>
            <w:pPr>
              <w:spacing w:after="0"/>
              <w:rPr>
                <w:sz w:val="14"/>
                <w:szCs w:val="14"/>
                <w:color w:val="auto"/>
              </w:rPr>
            </w:pPr>
          </w:p>
        </w:tc>
        <w:tc>
          <w:tcPr>
            <w:tcW w:w="240" w:type="dxa"/>
            <w:vAlign w:val="bottom"/>
            <w:tcBorders>
              <w:right w:val="single" w:sz="8" w:color="DBDBDB"/>
            </w:tcBorders>
            <w:shd w:val="clear" w:color="auto" w:fill="DBDBDB"/>
          </w:tcPr>
          <w:p>
            <w:pPr>
              <w:spacing w:after="0"/>
              <w:rPr>
                <w:sz w:val="14"/>
                <w:szCs w:val="14"/>
                <w:color w:val="auto"/>
              </w:rPr>
            </w:pPr>
          </w:p>
        </w:tc>
        <w:tc>
          <w:tcPr>
            <w:tcW w:w="140" w:type="dxa"/>
            <w:vAlign w:val="bottom"/>
            <w:tcBorders>
              <w:right w:val="single" w:sz="8" w:color="DBDBDB"/>
            </w:tcBorders>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700" w:type="dxa"/>
            <w:vAlign w:val="bottom"/>
            <w:shd w:val="clear" w:color="auto" w:fill="DBDBDB"/>
          </w:tcPr>
          <w:p>
            <w:pPr>
              <w:spacing w:after="0"/>
              <w:rPr>
                <w:sz w:val="14"/>
                <w:szCs w:val="14"/>
                <w:color w:val="auto"/>
              </w:rPr>
            </w:pPr>
          </w:p>
        </w:tc>
        <w:tc>
          <w:tcPr>
            <w:tcW w:w="160" w:type="dxa"/>
            <w:vAlign w:val="bottom"/>
            <w:tcBorders>
              <w:right w:val="single" w:sz="8" w:color="DBDBDB"/>
            </w:tcBorders>
            <w:shd w:val="clear" w:color="auto" w:fill="DBDBDB"/>
          </w:tcPr>
          <w:p>
            <w:pPr>
              <w:spacing w:after="0"/>
              <w:rPr>
                <w:sz w:val="14"/>
                <w:szCs w:val="14"/>
                <w:color w:val="auto"/>
              </w:rPr>
            </w:pPr>
          </w:p>
        </w:tc>
        <w:tc>
          <w:tcPr>
            <w:tcW w:w="560" w:type="dxa"/>
            <w:vAlign w:val="bottom"/>
            <w:shd w:val="clear" w:color="auto" w:fill="DBDBDB"/>
          </w:tcPr>
          <w:p>
            <w:pPr>
              <w:spacing w:after="0"/>
              <w:rPr>
                <w:sz w:val="14"/>
                <w:szCs w:val="14"/>
                <w:color w:val="auto"/>
              </w:rPr>
            </w:pPr>
          </w:p>
        </w:tc>
        <w:tc>
          <w:tcPr>
            <w:tcW w:w="220" w:type="dxa"/>
            <w:vAlign w:val="bottom"/>
            <w:shd w:val="clear" w:color="auto" w:fill="DBDBDB"/>
          </w:tcPr>
          <w:p>
            <w:pPr>
              <w:spacing w:after="0"/>
              <w:rPr>
                <w:sz w:val="14"/>
                <w:szCs w:val="14"/>
                <w:color w:val="auto"/>
              </w:rPr>
            </w:pPr>
          </w:p>
        </w:tc>
        <w:tc>
          <w:tcPr>
            <w:tcW w:w="160" w:type="dxa"/>
            <w:vAlign w:val="bottom"/>
            <w:tcBorders>
              <w:right w:val="single" w:sz="8" w:color="DBDBDB"/>
            </w:tcBorders>
            <w:shd w:val="clear" w:color="auto" w:fill="DBDBDB"/>
          </w:tcPr>
          <w:p>
            <w:pPr>
              <w:spacing w:after="0"/>
              <w:rPr>
                <w:sz w:val="14"/>
                <w:szCs w:val="14"/>
                <w:color w:val="auto"/>
              </w:rPr>
            </w:pPr>
          </w:p>
        </w:tc>
        <w:tc>
          <w:tcPr>
            <w:tcW w:w="120" w:type="dxa"/>
            <w:vAlign w:val="bottom"/>
            <w:shd w:val="clear" w:color="auto" w:fill="DBDBDB"/>
          </w:tcPr>
          <w:p>
            <w:pPr>
              <w:spacing w:after="0"/>
              <w:rPr>
                <w:sz w:val="14"/>
                <w:szCs w:val="14"/>
                <w:color w:val="auto"/>
              </w:rPr>
            </w:pPr>
          </w:p>
        </w:tc>
        <w:tc>
          <w:tcPr>
            <w:tcW w:w="780" w:type="dxa"/>
            <w:vAlign w:val="bottom"/>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140" w:type="dxa"/>
            <w:vAlign w:val="bottom"/>
            <w:tcBorders>
              <w:right w:val="single" w:sz="8" w:color="DBDBDB"/>
            </w:tcBorders>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1000" w:type="dxa"/>
            <w:vAlign w:val="bottom"/>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60" w:type="dxa"/>
            <w:vAlign w:val="bottom"/>
            <w:shd w:val="clear" w:color="auto" w:fill="DBDBDB"/>
          </w:tcPr>
          <w:p>
            <w:pPr>
              <w:spacing w:after="0"/>
              <w:rPr>
                <w:sz w:val="14"/>
                <w:szCs w:val="14"/>
                <w:color w:val="auto"/>
              </w:rPr>
            </w:pPr>
          </w:p>
        </w:tc>
        <w:tc>
          <w:tcPr>
            <w:tcW w:w="80" w:type="dxa"/>
            <w:vAlign w:val="bottom"/>
            <w:tcBorders>
              <w:right w:val="single" w:sz="8" w:color="DBDBDB"/>
            </w:tcBorders>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94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80" w:type="dxa"/>
            <w:vAlign w:val="bottom"/>
            <w:tcBorders>
              <w:right w:val="single" w:sz="8" w:color="DBDBDB"/>
            </w:tcBorders>
            <w:shd w:val="clear" w:color="auto" w:fill="DBDBDB"/>
          </w:tcPr>
          <w:p>
            <w:pPr>
              <w:spacing w:after="0"/>
              <w:rPr>
                <w:sz w:val="14"/>
                <w:szCs w:val="14"/>
                <w:color w:val="auto"/>
              </w:rPr>
            </w:pPr>
          </w:p>
        </w:tc>
        <w:tc>
          <w:tcPr>
            <w:tcW w:w="120" w:type="dxa"/>
            <w:vAlign w:val="bottom"/>
            <w:shd w:val="clear" w:color="auto" w:fill="DBDBDB"/>
          </w:tcPr>
          <w:p>
            <w:pPr>
              <w:spacing w:after="0"/>
              <w:rPr>
                <w:sz w:val="14"/>
                <w:szCs w:val="14"/>
                <w:color w:val="auto"/>
              </w:rPr>
            </w:pPr>
          </w:p>
        </w:tc>
        <w:tc>
          <w:tcPr>
            <w:tcW w:w="920" w:type="dxa"/>
            <w:vAlign w:val="bottom"/>
            <w:shd w:val="clear" w:color="auto" w:fill="DBDBDB"/>
          </w:tcPr>
          <w:p>
            <w:pPr>
              <w:spacing w:after="0"/>
              <w:rPr>
                <w:sz w:val="14"/>
                <w:szCs w:val="14"/>
                <w:color w:val="auto"/>
              </w:rPr>
            </w:pPr>
          </w:p>
        </w:tc>
      </w:tr>
      <w:tr>
        <w:trPr>
          <w:trHeight w:val="202"/>
        </w:trPr>
        <w:tc>
          <w:tcPr>
            <w:tcW w:w="2100" w:type="dxa"/>
            <w:vAlign w:val="bottom"/>
            <w:shd w:val="clear" w:color="auto" w:fill="DBDBDB"/>
          </w:tcPr>
          <w:p>
            <w:pPr>
              <w:ind w:left="20"/>
              <w:spacing w:after="0" w:line="202" w:lineRule="exact"/>
              <w:rPr>
                <w:sz w:val="20"/>
                <w:szCs w:val="20"/>
                <w:color w:val="auto"/>
              </w:rPr>
            </w:pPr>
            <w:r>
              <w:rPr>
                <w:rFonts w:ascii="Times New Roman" w:cs="Times New Roman" w:eastAsia="Times New Roman" w:hAnsi="Times New Roman"/>
                <w:sz w:val="18"/>
                <w:szCs w:val="18"/>
                <w:color w:val="auto"/>
              </w:rPr>
              <w:t>net of shares withheld for</w:t>
            </w:r>
          </w:p>
        </w:tc>
        <w:tc>
          <w:tcPr>
            <w:tcW w:w="160" w:type="dxa"/>
            <w:vAlign w:val="bottom"/>
            <w:tcBorders>
              <w:right w:val="single" w:sz="8" w:color="DBDBDB"/>
            </w:tcBorders>
            <w:shd w:val="clear" w:color="auto" w:fill="DBDBDB"/>
          </w:tcPr>
          <w:p>
            <w:pPr>
              <w:spacing w:after="0"/>
              <w:rPr>
                <w:sz w:val="17"/>
                <w:szCs w:val="17"/>
                <w:color w:val="auto"/>
              </w:rPr>
            </w:pPr>
          </w:p>
        </w:tc>
        <w:tc>
          <w:tcPr>
            <w:tcW w:w="72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140" w:type="dxa"/>
            <w:vAlign w:val="bottom"/>
            <w:tcBorders>
              <w:right w:val="single" w:sz="8" w:color="DBDBDB"/>
            </w:tcBorders>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240" w:type="dxa"/>
            <w:vAlign w:val="bottom"/>
            <w:tcBorders>
              <w:right w:val="single" w:sz="8" w:color="DBDBDB"/>
            </w:tcBorders>
            <w:shd w:val="clear" w:color="auto" w:fill="DBDBDB"/>
          </w:tcPr>
          <w:p>
            <w:pPr>
              <w:spacing w:after="0"/>
              <w:rPr>
                <w:sz w:val="17"/>
                <w:szCs w:val="17"/>
                <w:color w:val="auto"/>
              </w:rPr>
            </w:pPr>
          </w:p>
        </w:tc>
        <w:tc>
          <w:tcPr>
            <w:tcW w:w="140" w:type="dxa"/>
            <w:vAlign w:val="bottom"/>
            <w:tcBorders>
              <w:right w:val="single" w:sz="8" w:color="DBDBDB"/>
            </w:tcBorders>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700" w:type="dxa"/>
            <w:vAlign w:val="bottom"/>
            <w:shd w:val="clear" w:color="auto" w:fill="DBDBDB"/>
          </w:tcPr>
          <w:p>
            <w:pPr>
              <w:spacing w:after="0"/>
              <w:rPr>
                <w:sz w:val="17"/>
                <w:szCs w:val="17"/>
                <w:color w:val="auto"/>
              </w:rPr>
            </w:pPr>
          </w:p>
        </w:tc>
        <w:tc>
          <w:tcPr>
            <w:tcW w:w="160" w:type="dxa"/>
            <w:vAlign w:val="bottom"/>
            <w:tcBorders>
              <w:right w:val="single" w:sz="8" w:color="DBDBDB"/>
            </w:tcBorders>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60" w:type="dxa"/>
            <w:vAlign w:val="bottom"/>
            <w:tcBorders>
              <w:right w:val="single" w:sz="8" w:color="DBDBDB"/>
            </w:tcBorders>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140" w:type="dxa"/>
            <w:vAlign w:val="bottom"/>
            <w:tcBorders>
              <w:right w:val="single" w:sz="8" w:color="DBDBDB"/>
            </w:tcBorders>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80" w:type="dxa"/>
            <w:vAlign w:val="bottom"/>
            <w:tcBorders>
              <w:right w:val="single" w:sz="8" w:color="DBDBDB"/>
            </w:tcBorders>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9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80" w:type="dxa"/>
            <w:vAlign w:val="bottom"/>
            <w:tcBorders>
              <w:right w:val="single" w:sz="8" w:color="DBDBDB"/>
            </w:tcBorders>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920" w:type="dxa"/>
            <w:vAlign w:val="bottom"/>
            <w:shd w:val="clear" w:color="auto" w:fill="DBDBDB"/>
          </w:tcPr>
          <w:p>
            <w:pPr>
              <w:spacing w:after="0"/>
              <w:rPr>
                <w:sz w:val="17"/>
                <w:szCs w:val="17"/>
                <w:color w:val="auto"/>
              </w:rPr>
            </w:pPr>
          </w:p>
        </w:tc>
      </w:tr>
      <w:tr>
        <w:trPr>
          <w:trHeight w:val="228"/>
        </w:trPr>
        <w:tc>
          <w:tcPr>
            <w:tcW w:w="21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employee tax</w:t>
            </w:r>
          </w:p>
        </w:tc>
        <w:tc>
          <w:tcPr>
            <w:tcW w:w="160" w:type="dxa"/>
            <w:vAlign w:val="bottom"/>
            <w:tcBorders>
              <w:right w:val="single" w:sz="8" w:color="DBDBDB"/>
            </w:tcBorders>
            <w:shd w:val="clear" w:color="auto" w:fill="DBDBDB"/>
          </w:tcPr>
          <w:p>
            <w:pPr>
              <w:spacing w:after="0"/>
              <w:rPr>
                <w:sz w:val="19"/>
                <w:szCs w:val="19"/>
                <w:color w:val="auto"/>
              </w:rPr>
            </w:pPr>
          </w:p>
        </w:tc>
        <w:tc>
          <w:tcPr>
            <w:tcW w:w="720" w:type="dxa"/>
            <w:vAlign w:val="bottom"/>
            <w:shd w:val="clear" w:color="auto" w:fill="DBDBDB"/>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shd w:val="clear" w:color="auto" w:fill="DBDBDB"/>
          </w:tcPr>
          <w:p>
            <w:pPr>
              <w:spacing w:after="0"/>
              <w:rPr>
                <w:sz w:val="19"/>
                <w:szCs w:val="19"/>
                <w:color w:val="auto"/>
              </w:rPr>
            </w:pPr>
          </w:p>
        </w:tc>
        <w:tc>
          <w:tcPr>
            <w:tcW w:w="140" w:type="dxa"/>
            <w:vAlign w:val="bottom"/>
            <w:tcBorders>
              <w:right w:val="single" w:sz="8" w:color="DBDBDB"/>
            </w:tcBorders>
            <w:shd w:val="clear" w:color="auto" w:fill="DBDBDB"/>
          </w:tcPr>
          <w:p>
            <w:pPr>
              <w:spacing w:after="0"/>
              <w:rPr>
                <w:sz w:val="19"/>
                <w:szCs w:val="19"/>
                <w:color w:val="auto"/>
              </w:rPr>
            </w:pPr>
          </w:p>
        </w:tc>
        <w:tc>
          <w:tcPr>
            <w:tcW w:w="560" w:type="dxa"/>
            <w:vAlign w:val="bottom"/>
            <w:shd w:val="clear" w:color="auto" w:fill="DBDBDB"/>
          </w:tcPr>
          <w:p>
            <w:pPr>
              <w:spacing w:after="0"/>
              <w:rPr>
                <w:sz w:val="19"/>
                <w:szCs w:val="19"/>
                <w:color w:val="auto"/>
              </w:rPr>
            </w:pPr>
          </w:p>
        </w:tc>
        <w:tc>
          <w:tcPr>
            <w:tcW w:w="240" w:type="dxa"/>
            <w:vAlign w:val="bottom"/>
            <w:tcBorders>
              <w:right w:val="single" w:sz="8" w:color="DBDBDB"/>
            </w:tcBorders>
            <w:shd w:val="clear" w:color="auto" w:fill="DBDBDB"/>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right w:val="single" w:sz="8" w:color="DBDBDB"/>
            </w:tcBorders>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7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160" w:type="dxa"/>
            <w:vAlign w:val="bottom"/>
            <w:tcBorders>
              <w:right w:val="single" w:sz="8" w:color="DBDBDB"/>
            </w:tcBorders>
            <w:shd w:val="clear" w:color="auto" w:fill="DBDBDB"/>
          </w:tcPr>
          <w:p>
            <w:pPr>
              <w:spacing w:after="0"/>
              <w:rPr>
                <w:sz w:val="19"/>
                <w:szCs w:val="19"/>
                <w:color w:val="auto"/>
              </w:rPr>
            </w:pPr>
          </w:p>
        </w:tc>
        <w:tc>
          <w:tcPr>
            <w:tcW w:w="560" w:type="dxa"/>
            <w:vAlign w:val="bottom"/>
            <w:shd w:val="clear" w:color="auto" w:fill="DBDBDB"/>
          </w:tcPr>
          <w:p>
            <w:pPr>
              <w:spacing w:after="0"/>
              <w:rPr>
                <w:sz w:val="19"/>
                <w:szCs w:val="19"/>
                <w:color w:val="auto"/>
              </w:rPr>
            </w:pPr>
          </w:p>
        </w:tc>
        <w:tc>
          <w:tcPr>
            <w:tcW w:w="2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right w:val="single" w:sz="8" w:color="DBDBDB"/>
            </w:tcBorders>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(10,455)</w:t>
            </w:r>
          </w:p>
        </w:tc>
        <w:tc>
          <w:tcPr>
            <w:tcW w:w="20" w:type="dxa"/>
            <w:vAlign w:val="bottom"/>
            <w:shd w:val="clear" w:color="auto" w:fill="DBDBDB"/>
          </w:tcPr>
          <w:p>
            <w:pPr>
              <w:spacing w:after="0"/>
              <w:rPr>
                <w:sz w:val="19"/>
                <w:szCs w:val="19"/>
                <w:color w:val="auto"/>
              </w:rPr>
            </w:pPr>
          </w:p>
        </w:tc>
        <w:tc>
          <w:tcPr>
            <w:tcW w:w="140" w:type="dxa"/>
            <w:vAlign w:val="bottom"/>
            <w:tcBorders>
              <w:right w:val="single" w:sz="8" w:color="DBDBDB"/>
            </w:tcBorders>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80" w:type="dxa"/>
            <w:vAlign w:val="bottom"/>
            <w:tcBorders>
              <w:right w:val="single" w:sz="8" w:color="DBDBDB"/>
            </w:tcBorders>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DBDBDB"/>
          </w:tcPr>
          <w:p>
            <w:pPr>
              <w:spacing w:after="0"/>
              <w:rPr>
                <w:sz w:val="19"/>
                <w:szCs w:val="19"/>
                <w:color w:val="auto"/>
              </w:rPr>
            </w:pPr>
          </w:p>
        </w:tc>
        <w:tc>
          <w:tcPr>
            <w:tcW w:w="80" w:type="dxa"/>
            <w:vAlign w:val="bottom"/>
            <w:tcBorders>
              <w:right w:val="single" w:sz="8" w:color="DBDBDB"/>
            </w:tcBorders>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(10,453)</w:t>
            </w:r>
          </w:p>
        </w:tc>
      </w:tr>
      <w:tr>
        <w:trPr>
          <w:trHeight w:val="212"/>
        </w:trPr>
        <w:tc>
          <w:tcPr>
            <w:tcW w:w="2260" w:type="dxa"/>
            <w:vAlign w:val="bottom"/>
            <w:tcBorders>
              <w:bottom w:val="single" w:sz="8" w:color="DBDBDB"/>
            </w:tcBorders>
            <w:gridSpan w:val="2"/>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740" w:type="dxa"/>
            <w:vAlign w:val="bottom"/>
            <w:tcBorders>
              <w:bottom w:val="single" w:sz="8" w:color="DBDBDB"/>
            </w:tcBorders>
            <w:gridSpan w:val="2"/>
          </w:tcPr>
          <w:p>
            <w:pPr>
              <w:ind w:left="54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bottom w:val="single" w:sz="8" w:color="DBDBDB"/>
            </w:tcBorders>
          </w:tcPr>
          <w:p>
            <w:pPr>
              <w:spacing w:after="0"/>
              <w:rPr>
                <w:sz w:val="18"/>
                <w:szCs w:val="18"/>
                <w:color w:val="auto"/>
              </w:rPr>
            </w:pPr>
          </w:p>
        </w:tc>
        <w:tc>
          <w:tcPr>
            <w:tcW w:w="560" w:type="dxa"/>
            <w:vAlign w:val="bottom"/>
            <w:tcBorders>
              <w:bottom w:val="single" w:sz="8" w:color="DBDBDB"/>
            </w:tcBorders>
          </w:tcPr>
          <w:p>
            <w:pPr>
              <w:spacing w:after="0"/>
              <w:rPr>
                <w:sz w:val="18"/>
                <w:szCs w:val="18"/>
                <w:color w:val="auto"/>
              </w:rPr>
            </w:pPr>
          </w:p>
        </w:tc>
        <w:tc>
          <w:tcPr>
            <w:tcW w:w="240" w:type="dxa"/>
            <w:vAlign w:val="bottom"/>
            <w:tcBorders>
              <w:bottom w:val="single" w:sz="8" w:color="DBDBDB"/>
            </w:tcBorders>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DBDBDB"/>
            </w:tcBorders>
          </w:tcPr>
          <w:p>
            <w:pPr>
              <w:spacing w:after="0"/>
              <w:rPr>
                <w:sz w:val="18"/>
                <w:szCs w:val="18"/>
                <w:color w:val="auto"/>
              </w:rPr>
            </w:pPr>
          </w:p>
        </w:tc>
        <w:tc>
          <w:tcPr>
            <w:tcW w:w="80" w:type="dxa"/>
            <w:vAlign w:val="bottom"/>
            <w:tcBorders>
              <w:bottom w:val="single" w:sz="8" w:color="DBDBDB"/>
            </w:tcBorders>
          </w:tcPr>
          <w:p>
            <w:pPr>
              <w:spacing w:after="0"/>
              <w:rPr>
                <w:sz w:val="18"/>
                <w:szCs w:val="18"/>
                <w:color w:val="auto"/>
              </w:rPr>
            </w:pPr>
          </w:p>
        </w:tc>
        <w:tc>
          <w:tcPr>
            <w:tcW w:w="700" w:type="dxa"/>
            <w:vAlign w:val="bottom"/>
            <w:tcBorders>
              <w:bottom w:val="single" w:sz="8" w:color="DBDBDB"/>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DBDBDB"/>
            </w:tcBorders>
          </w:tcPr>
          <w:p>
            <w:pPr>
              <w:spacing w:after="0"/>
              <w:rPr>
                <w:sz w:val="18"/>
                <w:szCs w:val="18"/>
                <w:color w:val="auto"/>
              </w:rPr>
            </w:pPr>
          </w:p>
        </w:tc>
        <w:tc>
          <w:tcPr>
            <w:tcW w:w="560" w:type="dxa"/>
            <w:vAlign w:val="bottom"/>
            <w:tcBorders>
              <w:bottom w:val="single" w:sz="8" w:color="DBDBDB"/>
            </w:tcBorders>
          </w:tcPr>
          <w:p>
            <w:pPr>
              <w:spacing w:after="0"/>
              <w:rPr>
                <w:sz w:val="18"/>
                <w:szCs w:val="18"/>
                <w:color w:val="auto"/>
              </w:rPr>
            </w:pPr>
          </w:p>
        </w:tc>
        <w:tc>
          <w:tcPr>
            <w:tcW w:w="220" w:type="dxa"/>
            <w:vAlign w:val="bottom"/>
            <w:tcBorders>
              <w:bottom w:val="single" w:sz="8" w:color="DBDBDB"/>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DBDBDB"/>
            </w:tcBorders>
          </w:tcPr>
          <w:p>
            <w:pPr>
              <w:spacing w:after="0"/>
              <w:rPr>
                <w:sz w:val="18"/>
                <w:szCs w:val="18"/>
                <w:color w:val="auto"/>
              </w:rPr>
            </w:pPr>
          </w:p>
        </w:tc>
        <w:tc>
          <w:tcPr>
            <w:tcW w:w="120" w:type="dxa"/>
            <w:vAlign w:val="bottom"/>
            <w:tcBorders>
              <w:bottom w:val="single" w:sz="8" w:color="DBDBDB"/>
            </w:tcBorders>
          </w:tcPr>
          <w:p>
            <w:pPr>
              <w:spacing w:after="0"/>
              <w:rPr>
                <w:sz w:val="18"/>
                <w:szCs w:val="18"/>
                <w:color w:val="auto"/>
              </w:rPr>
            </w:pPr>
          </w:p>
        </w:tc>
        <w:tc>
          <w:tcPr>
            <w:tcW w:w="780" w:type="dxa"/>
            <w:vAlign w:val="bottom"/>
            <w:tcBorders>
              <w:bottom w:val="single" w:sz="8" w:color="DBDBDB"/>
            </w:tcBorders>
          </w:tcPr>
          <w:p>
            <w:pPr>
              <w:jc w:val="right"/>
              <w:spacing w:after="0"/>
              <w:rPr>
                <w:sz w:val="20"/>
                <w:szCs w:val="20"/>
                <w:color w:val="auto"/>
              </w:rPr>
            </w:pPr>
            <w:r>
              <w:rPr>
                <w:rFonts w:ascii="Times New Roman" w:cs="Times New Roman" w:eastAsia="Times New Roman" w:hAnsi="Times New Roman"/>
                <w:sz w:val="18"/>
                <w:szCs w:val="18"/>
                <w:color w:val="auto"/>
              </w:rPr>
              <w:t>11,710</w:t>
            </w:r>
          </w:p>
        </w:tc>
        <w:tc>
          <w:tcPr>
            <w:tcW w:w="20" w:type="dxa"/>
            <w:vAlign w:val="bottom"/>
            <w:tcBorders>
              <w:bottom w:val="single" w:sz="8" w:color="DBDBDB"/>
            </w:tcBorders>
          </w:tcPr>
          <w:p>
            <w:pPr>
              <w:spacing w:after="0"/>
              <w:rPr>
                <w:sz w:val="18"/>
                <w:szCs w:val="18"/>
                <w:color w:val="auto"/>
              </w:rPr>
            </w:pPr>
          </w:p>
        </w:tc>
        <w:tc>
          <w:tcPr>
            <w:tcW w:w="140" w:type="dxa"/>
            <w:vAlign w:val="bottom"/>
            <w:tcBorders>
              <w:bottom w:val="single" w:sz="8" w:color="DBDBDB"/>
            </w:tcBorders>
          </w:tcPr>
          <w:p>
            <w:pPr>
              <w:spacing w:after="0"/>
              <w:rPr>
                <w:sz w:val="18"/>
                <w:szCs w:val="18"/>
                <w:color w:val="auto"/>
              </w:rPr>
            </w:pPr>
          </w:p>
        </w:tc>
        <w:tc>
          <w:tcPr>
            <w:tcW w:w="140" w:type="dxa"/>
            <w:vAlign w:val="bottom"/>
            <w:tcBorders>
              <w:bottom w:val="single" w:sz="8" w:color="DBDBDB"/>
            </w:tcBorders>
          </w:tcPr>
          <w:p>
            <w:pPr>
              <w:spacing w:after="0"/>
              <w:rPr>
                <w:sz w:val="18"/>
                <w:szCs w:val="18"/>
                <w:color w:val="auto"/>
              </w:rPr>
            </w:pPr>
          </w:p>
        </w:tc>
        <w:tc>
          <w:tcPr>
            <w:tcW w:w="1020" w:type="dxa"/>
            <w:vAlign w:val="bottom"/>
            <w:tcBorders>
              <w:bottom w:val="single" w:sz="8" w:color="DBDBDB"/>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DBDBDB"/>
            </w:tcBorders>
          </w:tcPr>
          <w:p>
            <w:pPr>
              <w:spacing w:after="0"/>
              <w:rPr>
                <w:sz w:val="18"/>
                <w:szCs w:val="18"/>
                <w:color w:val="auto"/>
              </w:rPr>
            </w:pPr>
          </w:p>
        </w:tc>
        <w:tc>
          <w:tcPr>
            <w:tcW w:w="80" w:type="dxa"/>
            <w:vAlign w:val="bottom"/>
            <w:tcBorders>
              <w:bottom w:val="single" w:sz="8" w:color="DBDBDB"/>
            </w:tcBorders>
          </w:tcPr>
          <w:p>
            <w:pPr>
              <w:spacing w:after="0"/>
              <w:rPr>
                <w:sz w:val="18"/>
                <w:szCs w:val="18"/>
                <w:color w:val="auto"/>
              </w:rPr>
            </w:pPr>
          </w:p>
        </w:tc>
        <w:tc>
          <w:tcPr>
            <w:tcW w:w="140" w:type="dxa"/>
            <w:vAlign w:val="bottom"/>
            <w:tcBorders>
              <w:bottom w:val="single" w:sz="8" w:color="DBDBDB"/>
            </w:tcBorders>
          </w:tcPr>
          <w:p>
            <w:pPr>
              <w:spacing w:after="0"/>
              <w:rPr>
                <w:sz w:val="18"/>
                <w:szCs w:val="18"/>
                <w:color w:val="auto"/>
              </w:rPr>
            </w:pPr>
          </w:p>
        </w:tc>
        <w:tc>
          <w:tcPr>
            <w:tcW w:w="1020" w:type="dxa"/>
            <w:vAlign w:val="bottom"/>
            <w:tcBorders>
              <w:bottom w:val="single" w:sz="8" w:color="DBDBDB"/>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DBDBDB"/>
            </w:tcBorders>
          </w:tcPr>
          <w:p>
            <w:pPr>
              <w:spacing w:after="0"/>
              <w:rPr>
                <w:sz w:val="18"/>
                <w:szCs w:val="18"/>
                <w:color w:val="auto"/>
              </w:rPr>
            </w:pPr>
          </w:p>
        </w:tc>
        <w:tc>
          <w:tcPr>
            <w:tcW w:w="120" w:type="dxa"/>
            <w:vAlign w:val="bottom"/>
            <w:tcBorders>
              <w:bottom w:val="single" w:sz="8" w:color="DBDBDB"/>
            </w:tcBorders>
          </w:tcPr>
          <w:p>
            <w:pPr>
              <w:spacing w:after="0"/>
              <w:rPr>
                <w:sz w:val="18"/>
                <w:szCs w:val="18"/>
                <w:color w:val="auto"/>
              </w:rPr>
            </w:pPr>
          </w:p>
        </w:tc>
        <w:tc>
          <w:tcPr>
            <w:tcW w:w="920" w:type="dxa"/>
            <w:vAlign w:val="bottom"/>
            <w:tcBorders>
              <w:bottom w:val="single" w:sz="8" w:color="DBDBDB"/>
            </w:tcBorders>
          </w:tcPr>
          <w:p>
            <w:pPr>
              <w:jc w:val="right"/>
              <w:spacing w:after="0"/>
              <w:rPr>
                <w:sz w:val="20"/>
                <w:szCs w:val="20"/>
                <w:color w:val="auto"/>
              </w:rPr>
            </w:pPr>
            <w:r>
              <w:rPr>
                <w:rFonts w:ascii="Times New Roman" w:cs="Times New Roman" w:eastAsia="Times New Roman" w:hAnsi="Times New Roman"/>
                <w:sz w:val="18"/>
                <w:szCs w:val="18"/>
                <w:color w:val="auto"/>
              </w:rPr>
              <w:t>11,710</w:t>
            </w:r>
          </w:p>
        </w:tc>
      </w:tr>
      <w:tr>
        <w:trPr>
          <w:trHeight w:val="168"/>
        </w:trPr>
        <w:tc>
          <w:tcPr>
            <w:tcW w:w="2100" w:type="dxa"/>
            <w:vAlign w:val="bottom"/>
            <w:shd w:val="clear" w:color="auto" w:fill="DBDBDB"/>
          </w:tcPr>
          <w:p>
            <w:pPr>
              <w:ind w:left="20"/>
              <w:spacing w:after="0" w:line="169" w:lineRule="exact"/>
              <w:rPr>
                <w:sz w:val="20"/>
                <w:szCs w:val="20"/>
                <w:color w:val="auto"/>
              </w:rPr>
            </w:pPr>
            <w:r>
              <w:rPr>
                <w:rFonts w:ascii="Times New Roman" w:cs="Times New Roman" w:eastAsia="Times New Roman" w:hAnsi="Times New Roman"/>
                <w:sz w:val="18"/>
                <w:szCs w:val="18"/>
                <w:color w:val="auto"/>
                <w:highlight w:val="lightGray"/>
              </w:rPr>
              <w:t>Foreign currency translation</w:t>
            </w:r>
          </w:p>
        </w:tc>
        <w:tc>
          <w:tcPr>
            <w:tcW w:w="160" w:type="dxa"/>
            <w:vAlign w:val="bottom"/>
            <w:tcBorders>
              <w:right w:val="single" w:sz="8" w:color="DBDBDB"/>
            </w:tcBorders>
            <w:shd w:val="clear" w:color="auto" w:fill="DBDBDB"/>
          </w:tcPr>
          <w:p>
            <w:pPr>
              <w:spacing w:after="0"/>
              <w:rPr>
                <w:sz w:val="14"/>
                <w:szCs w:val="14"/>
                <w:color w:val="auto"/>
              </w:rPr>
            </w:pPr>
          </w:p>
        </w:tc>
        <w:tc>
          <w:tcPr>
            <w:tcW w:w="720" w:type="dxa"/>
            <w:vAlign w:val="bottom"/>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140" w:type="dxa"/>
            <w:vAlign w:val="bottom"/>
            <w:tcBorders>
              <w:right w:val="single" w:sz="8" w:color="DBDBDB"/>
            </w:tcBorders>
            <w:shd w:val="clear" w:color="auto" w:fill="DBDBDB"/>
          </w:tcPr>
          <w:p>
            <w:pPr>
              <w:spacing w:after="0"/>
              <w:rPr>
                <w:sz w:val="14"/>
                <w:szCs w:val="14"/>
                <w:color w:val="auto"/>
              </w:rPr>
            </w:pPr>
          </w:p>
        </w:tc>
        <w:tc>
          <w:tcPr>
            <w:tcW w:w="560" w:type="dxa"/>
            <w:vAlign w:val="bottom"/>
            <w:shd w:val="clear" w:color="auto" w:fill="DBDBDB"/>
          </w:tcPr>
          <w:p>
            <w:pPr>
              <w:spacing w:after="0"/>
              <w:rPr>
                <w:sz w:val="14"/>
                <w:szCs w:val="14"/>
                <w:color w:val="auto"/>
              </w:rPr>
            </w:pPr>
          </w:p>
        </w:tc>
        <w:tc>
          <w:tcPr>
            <w:tcW w:w="240" w:type="dxa"/>
            <w:vAlign w:val="bottom"/>
            <w:tcBorders>
              <w:right w:val="single" w:sz="8" w:color="DBDBDB"/>
            </w:tcBorders>
            <w:shd w:val="clear" w:color="auto" w:fill="DBDBDB"/>
          </w:tcPr>
          <w:p>
            <w:pPr>
              <w:spacing w:after="0"/>
              <w:rPr>
                <w:sz w:val="14"/>
                <w:szCs w:val="14"/>
                <w:color w:val="auto"/>
              </w:rPr>
            </w:pPr>
          </w:p>
        </w:tc>
        <w:tc>
          <w:tcPr>
            <w:tcW w:w="140" w:type="dxa"/>
            <w:vAlign w:val="bottom"/>
            <w:tcBorders>
              <w:right w:val="single" w:sz="8" w:color="DBDBDB"/>
            </w:tcBorders>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700" w:type="dxa"/>
            <w:vAlign w:val="bottom"/>
            <w:shd w:val="clear" w:color="auto" w:fill="DBDBDB"/>
          </w:tcPr>
          <w:p>
            <w:pPr>
              <w:spacing w:after="0"/>
              <w:rPr>
                <w:sz w:val="14"/>
                <w:szCs w:val="14"/>
                <w:color w:val="auto"/>
              </w:rPr>
            </w:pPr>
          </w:p>
        </w:tc>
        <w:tc>
          <w:tcPr>
            <w:tcW w:w="160" w:type="dxa"/>
            <w:vAlign w:val="bottom"/>
            <w:tcBorders>
              <w:right w:val="single" w:sz="8" w:color="DBDBDB"/>
            </w:tcBorders>
            <w:shd w:val="clear" w:color="auto" w:fill="DBDBDB"/>
          </w:tcPr>
          <w:p>
            <w:pPr>
              <w:spacing w:after="0"/>
              <w:rPr>
                <w:sz w:val="14"/>
                <w:szCs w:val="14"/>
                <w:color w:val="auto"/>
              </w:rPr>
            </w:pPr>
          </w:p>
        </w:tc>
        <w:tc>
          <w:tcPr>
            <w:tcW w:w="560" w:type="dxa"/>
            <w:vAlign w:val="bottom"/>
            <w:shd w:val="clear" w:color="auto" w:fill="DBDBDB"/>
          </w:tcPr>
          <w:p>
            <w:pPr>
              <w:spacing w:after="0"/>
              <w:rPr>
                <w:sz w:val="14"/>
                <w:szCs w:val="14"/>
                <w:color w:val="auto"/>
              </w:rPr>
            </w:pPr>
          </w:p>
        </w:tc>
        <w:tc>
          <w:tcPr>
            <w:tcW w:w="220" w:type="dxa"/>
            <w:vAlign w:val="bottom"/>
            <w:shd w:val="clear" w:color="auto" w:fill="DBDBDB"/>
          </w:tcPr>
          <w:p>
            <w:pPr>
              <w:spacing w:after="0"/>
              <w:rPr>
                <w:sz w:val="14"/>
                <w:szCs w:val="14"/>
                <w:color w:val="auto"/>
              </w:rPr>
            </w:pPr>
          </w:p>
        </w:tc>
        <w:tc>
          <w:tcPr>
            <w:tcW w:w="160" w:type="dxa"/>
            <w:vAlign w:val="bottom"/>
            <w:tcBorders>
              <w:right w:val="single" w:sz="8" w:color="DBDBDB"/>
            </w:tcBorders>
            <w:shd w:val="clear" w:color="auto" w:fill="DBDBDB"/>
          </w:tcPr>
          <w:p>
            <w:pPr>
              <w:spacing w:after="0"/>
              <w:rPr>
                <w:sz w:val="14"/>
                <w:szCs w:val="14"/>
                <w:color w:val="auto"/>
              </w:rPr>
            </w:pPr>
          </w:p>
        </w:tc>
        <w:tc>
          <w:tcPr>
            <w:tcW w:w="120" w:type="dxa"/>
            <w:vAlign w:val="bottom"/>
            <w:shd w:val="clear" w:color="auto" w:fill="DBDBDB"/>
          </w:tcPr>
          <w:p>
            <w:pPr>
              <w:spacing w:after="0"/>
              <w:rPr>
                <w:sz w:val="14"/>
                <w:szCs w:val="14"/>
                <w:color w:val="auto"/>
              </w:rPr>
            </w:pPr>
          </w:p>
        </w:tc>
        <w:tc>
          <w:tcPr>
            <w:tcW w:w="780" w:type="dxa"/>
            <w:vAlign w:val="bottom"/>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140" w:type="dxa"/>
            <w:vAlign w:val="bottom"/>
            <w:tcBorders>
              <w:right w:val="single" w:sz="8" w:color="DBDBDB"/>
            </w:tcBorders>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1000" w:type="dxa"/>
            <w:vAlign w:val="bottom"/>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60" w:type="dxa"/>
            <w:vAlign w:val="bottom"/>
            <w:shd w:val="clear" w:color="auto" w:fill="DBDBDB"/>
          </w:tcPr>
          <w:p>
            <w:pPr>
              <w:spacing w:after="0"/>
              <w:rPr>
                <w:sz w:val="14"/>
                <w:szCs w:val="14"/>
                <w:color w:val="auto"/>
              </w:rPr>
            </w:pPr>
          </w:p>
        </w:tc>
        <w:tc>
          <w:tcPr>
            <w:tcW w:w="80" w:type="dxa"/>
            <w:vAlign w:val="bottom"/>
            <w:tcBorders>
              <w:right w:val="single" w:sz="8" w:color="DBDBDB"/>
            </w:tcBorders>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94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80" w:type="dxa"/>
            <w:vAlign w:val="bottom"/>
            <w:tcBorders>
              <w:right w:val="single" w:sz="8" w:color="DBDBDB"/>
            </w:tcBorders>
            <w:shd w:val="clear" w:color="auto" w:fill="DBDBDB"/>
          </w:tcPr>
          <w:p>
            <w:pPr>
              <w:spacing w:after="0"/>
              <w:rPr>
                <w:sz w:val="14"/>
                <w:szCs w:val="14"/>
                <w:color w:val="auto"/>
              </w:rPr>
            </w:pPr>
          </w:p>
        </w:tc>
        <w:tc>
          <w:tcPr>
            <w:tcW w:w="120" w:type="dxa"/>
            <w:vAlign w:val="bottom"/>
            <w:shd w:val="clear" w:color="auto" w:fill="DBDBDB"/>
          </w:tcPr>
          <w:p>
            <w:pPr>
              <w:spacing w:after="0"/>
              <w:rPr>
                <w:sz w:val="14"/>
                <w:szCs w:val="14"/>
                <w:color w:val="auto"/>
              </w:rPr>
            </w:pPr>
          </w:p>
        </w:tc>
        <w:tc>
          <w:tcPr>
            <w:tcW w:w="920" w:type="dxa"/>
            <w:vAlign w:val="bottom"/>
            <w:shd w:val="clear" w:color="auto" w:fill="DBDBDB"/>
          </w:tcPr>
          <w:p>
            <w:pPr>
              <w:spacing w:after="0"/>
              <w:rPr>
                <w:sz w:val="14"/>
                <w:szCs w:val="14"/>
                <w:color w:val="auto"/>
              </w:rPr>
            </w:pPr>
          </w:p>
        </w:tc>
      </w:tr>
      <w:tr>
        <w:trPr>
          <w:trHeight w:val="228"/>
        </w:trPr>
        <w:tc>
          <w:tcPr>
            <w:tcW w:w="21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adjustment</w:t>
            </w:r>
          </w:p>
        </w:tc>
        <w:tc>
          <w:tcPr>
            <w:tcW w:w="160" w:type="dxa"/>
            <w:vAlign w:val="bottom"/>
            <w:tcBorders>
              <w:right w:val="single" w:sz="8" w:color="DBDBDB"/>
            </w:tcBorders>
            <w:shd w:val="clear" w:color="auto" w:fill="DBDBDB"/>
          </w:tcPr>
          <w:p>
            <w:pPr>
              <w:spacing w:after="0"/>
              <w:rPr>
                <w:sz w:val="19"/>
                <w:szCs w:val="19"/>
                <w:color w:val="auto"/>
              </w:rPr>
            </w:pPr>
          </w:p>
        </w:tc>
        <w:tc>
          <w:tcPr>
            <w:tcW w:w="720" w:type="dxa"/>
            <w:vAlign w:val="bottom"/>
            <w:shd w:val="clear" w:color="auto" w:fill="DBDBDB"/>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shd w:val="clear" w:color="auto" w:fill="DBDBDB"/>
          </w:tcPr>
          <w:p>
            <w:pPr>
              <w:spacing w:after="0"/>
              <w:rPr>
                <w:sz w:val="19"/>
                <w:szCs w:val="19"/>
                <w:color w:val="auto"/>
              </w:rPr>
            </w:pPr>
          </w:p>
        </w:tc>
        <w:tc>
          <w:tcPr>
            <w:tcW w:w="140" w:type="dxa"/>
            <w:vAlign w:val="bottom"/>
            <w:tcBorders>
              <w:right w:val="single" w:sz="8" w:color="DBDBDB"/>
            </w:tcBorders>
            <w:shd w:val="clear" w:color="auto" w:fill="DBDBDB"/>
          </w:tcPr>
          <w:p>
            <w:pPr>
              <w:spacing w:after="0"/>
              <w:rPr>
                <w:sz w:val="19"/>
                <w:szCs w:val="19"/>
                <w:color w:val="auto"/>
              </w:rPr>
            </w:pPr>
          </w:p>
        </w:tc>
        <w:tc>
          <w:tcPr>
            <w:tcW w:w="560" w:type="dxa"/>
            <w:vAlign w:val="bottom"/>
            <w:shd w:val="clear" w:color="auto" w:fill="DBDBDB"/>
          </w:tcPr>
          <w:p>
            <w:pPr>
              <w:spacing w:after="0"/>
              <w:rPr>
                <w:sz w:val="19"/>
                <w:szCs w:val="19"/>
                <w:color w:val="auto"/>
              </w:rPr>
            </w:pPr>
          </w:p>
        </w:tc>
        <w:tc>
          <w:tcPr>
            <w:tcW w:w="240" w:type="dxa"/>
            <w:vAlign w:val="bottom"/>
            <w:tcBorders>
              <w:right w:val="single" w:sz="8" w:color="DBDBDB"/>
            </w:tcBorders>
            <w:shd w:val="clear" w:color="auto" w:fill="DBDBDB"/>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right w:val="single" w:sz="8" w:color="DBDBDB"/>
            </w:tcBorders>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7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DBDBDB"/>
            </w:tcBorders>
            <w:shd w:val="clear" w:color="auto" w:fill="DBDBDB"/>
          </w:tcPr>
          <w:p>
            <w:pPr>
              <w:spacing w:after="0"/>
              <w:rPr>
                <w:sz w:val="19"/>
                <w:szCs w:val="19"/>
                <w:color w:val="auto"/>
              </w:rPr>
            </w:pPr>
          </w:p>
        </w:tc>
        <w:tc>
          <w:tcPr>
            <w:tcW w:w="560" w:type="dxa"/>
            <w:vAlign w:val="bottom"/>
            <w:shd w:val="clear" w:color="auto" w:fill="DBDBDB"/>
          </w:tcPr>
          <w:p>
            <w:pPr>
              <w:spacing w:after="0"/>
              <w:rPr>
                <w:sz w:val="19"/>
                <w:szCs w:val="19"/>
                <w:color w:val="auto"/>
              </w:rPr>
            </w:pPr>
          </w:p>
        </w:tc>
        <w:tc>
          <w:tcPr>
            <w:tcW w:w="2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DBDBDB"/>
            </w:tcBorders>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DBDBDB"/>
          </w:tcPr>
          <w:p>
            <w:pPr>
              <w:spacing w:after="0"/>
              <w:rPr>
                <w:sz w:val="19"/>
                <w:szCs w:val="19"/>
                <w:color w:val="auto"/>
              </w:rPr>
            </w:pPr>
          </w:p>
        </w:tc>
        <w:tc>
          <w:tcPr>
            <w:tcW w:w="140" w:type="dxa"/>
            <w:vAlign w:val="bottom"/>
            <w:tcBorders>
              <w:right w:val="single" w:sz="8" w:color="DBDBDB"/>
            </w:tcBorders>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2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80" w:type="dxa"/>
            <w:vAlign w:val="bottom"/>
            <w:tcBorders>
              <w:right w:val="single" w:sz="8" w:color="DBDBDB"/>
            </w:tcBorders>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DBDBDB"/>
          </w:tcPr>
          <w:p>
            <w:pPr>
              <w:spacing w:after="0"/>
              <w:rPr>
                <w:sz w:val="19"/>
                <w:szCs w:val="19"/>
                <w:color w:val="auto"/>
              </w:rPr>
            </w:pPr>
          </w:p>
        </w:tc>
        <w:tc>
          <w:tcPr>
            <w:tcW w:w="80" w:type="dxa"/>
            <w:vAlign w:val="bottom"/>
            <w:tcBorders>
              <w:right w:val="single" w:sz="8" w:color="DBDBDB"/>
            </w:tcBorders>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1,932</w:t>
            </w:r>
          </w:p>
        </w:tc>
      </w:tr>
      <w:tr>
        <w:trPr>
          <w:trHeight w:val="212"/>
        </w:trPr>
        <w:tc>
          <w:tcPr>
            <w:tcW w:w="2260" w:type="dxa"/>
            <w:vAlign w:val="bottom"/>
            <w:tcBorders>
              <w:bottom w:val="single" w:sz="8" w:color="DBDBDB"/>
            </w:tcBorders>
            <w:gridSpan w:val="2"/>
          </w:tcPr>
          <w:p>
            <w:pPr>
              <w:ind w:left="20"/>
              <w:spacing w:after="0"/>
              <w:rPr>
                <w:sz w:val="20"/>
                <w:szCs w:val="20"/>
                <w:color w:val="auto"/>
              </w:rPr>
            </w:pPr>
            <w:r>
              <w:rPr>
                <w:rFonts w:ascii="Times New Roman" w:cs="Times New Roman" w:eastAsia="Times New Roman" w:hAnsi="Times New Roman"/>
                <w:sz w:val="18"/>
                <w:szCs w:val="18"/>
                <w:color w:val="auto"/>
              </w:rPr>
              <w:t>Equity exchanged to shares</w:t>
            </w:r>
          </w:p>
        </w:tc>
        <w:tc>
          <w:tcPr>
            <w:tcW w:w="740" w:type="dxa"/>
            <w:vAlign w:val="bottom"/>
            <w:tcBorders>
              <w:bottom w:val="single" w:sz="8" w:color="DBDBDB"/>
            </w:tcBorders>
            <w:gridSpan w:val="2"/>
          </w:tcPr>
          <w:p>
            <w:pPr>
              <w:ind w:left="54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bottom w:val="single" w:sz="8" w:color="DBDBDB"/>
            </w:tcBorders>
          </w:tcPr>
          <w:p>
            <w:pPr>
              <w:spacing w:after="0"/>
              <w:rPr>
                <w:sz w:val="18"/>
                <w:szCs w:val="18"/>
                <w:color w:val="auto"/>
              </w:rPr>
            </w:pPr>
          </w:p>
        </w:tc>
        <w:tc>
          <w:tcPr>
            <w:tcW w:w="560" w:type="dxa"/>
            <w:vAlign w:val="bottom"/>
            <w:tcBorders>
              <w:bottom w:val="single" w:sz="8" w:color="DBDBDB"/>
            </w:tcBorders>
          </w:tcPr>
          <w:p>
            <w:pPr>
              <w:spacing w:after="0"/>
              <w:rPr>
                <w:sz w:val="18"/>
                <w:szCs w:val="18"/>
                <w:color w:val="auto"/>
              </w:rPr>
            </w:pPr>
          </w:p>
        </w:tc>
        <w:tc>
          <w:tcPr>
            <w:tcW w:w="240" w:type="dxa"/>
            <w:vAlign w:val="bottom"/>
            <w:tcBorders>
              <w:bottom w:val="single" w:sz="8" w:color="DBDBDB"/>
            </w:tcBorders>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DBDBDB"/>
            </w:tcBorders>
          </w:tcPr>
          <w:p>
            <w:pPr>
              <w:spacing w:after="0"/>
              <w:rPr>
                <w:sz w:val="18"/>
                <w:szCs w:val="18"/>
                <w:color w:val="auto"/>
              </w:rPr>
            </w:pPr>
          </w:p>
        </w:tc>
        <w:tc>
          <w:tcPr>
            <w:tcW w:w="780" w:type="dxa"/>
            <w:vAlign w:val="bottom"/>
            <w:tcBorders>
              <w:bottom w:val="single" w:sz="8" w:color="DBDBDB"/>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60" w:type="dxa"/>
            <w:vAlign w:val="bottom"/>
            <w:tcBorders>
              <w:bottom w:val="single" w:sz="8" w:color="DBDBDB"/>
            </w:tcBorders>
          </w:tcPr>
          <w:p>
            <w:pPr>
              <w:spacing w:after="0"/>
              <w:rPr>
                <w:sz w:val="18"/>
                <w:szCs w:val="18"/>
                <w:color w:val="auto"/>
              </w:rPr>
            </w:pPr>
          </w:p>
        </w:tc>
        <w:tc>
          <w:tcPr>
            <w:tcW w:w="560" w:type="dxa"/>
            <w:vAlign w:val="bottom"/>
            <w:tcBorders>
              <w:bottom w:val="single" w:sz="8" w:color="DBDBDB"/>
            </w:tcBorders>
          </w:tcPr>
          <w:p>
            <w:pPr>
              <w:spacing w:after="0"/>
              <w:rPr>
                <w:sz w:val="18"/>
                <w:szCs w:val="18"/>
                <w:color w:val="auto"/>
              </w:rPr>
            </w:pPr>
          </w:p>
        </w:tc>
        <w:tc>
          <w:tcPr>
            <w:tcW w:w="220" w:type="dxa"/>
            <w:vAlign w:val="bottom"/>
            <w:tcBorders>
              <w:bottom w:val="single" w:sz="8" w:color="DBDBDB"/>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DBDBDB"/>
            </w:tcBorders>
          </w:tcPr>
          <w:p>
            <w:pPr>
              <w:spacing w:after="0"/>
              <w:rPr>
                <w:sz w:val="18"/>
                <w:szCs w:val="18"/>
                <w:color w:val="auto"/>
              </w:rPr>
            </w:pPr>
          </w:p>
        </w:tc>
        <w:tc>
          <w:tcPr>
            <w:tcW w:w="120" w:type="dxa"/>
            <w:vAlign w:val="bottom"/>
            <w:tcBorders>
              <w:bottom w:val="single" w:sz="8" w:color="DBDBDB"/>
            </w:tcBorders>
          </w:tcPr>
          <w:p>
            <w:pPr>
              <w:spacing w:after="0"/>
              <w:rPr>
                <w:sz w:val="18"/>
                <w:szCs w:val="18"/>
                <w:color w:val="auto"/>
              </w:rPr>
            </w:pPr>
          </w:p>
        </w:tc>
        <w:tc>
          <w:tcPr>
            <w:tcW w:w="780" w:type="dxa"/>
            <w:vAlign w:val="bottom"/>
            <w:tcBorders>
              <w:bottom w:val="single" w:sz="8" w:color="DBDBDB"/>
            </w:tcBorders>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20" w:type="dxa"/>
            <w:vAlign w:val="bottom"/>
            <w:tcBorders>
              <w:bottom w:val="single" w:sz="8" w:color="DBDBDB"/>
            </w:tcBorders>
          </w:tcPr>
          <w:p>
            <w:pPr>
              <w:spacing w:after="0"/>
              <w:rPr>
                <w:sz w:val="18"/>
                <w:szCs w:val="18"/>
                <w:color w:val="auto"/>
              </w:rPr>
            </w:pPr>
          </w:p>
        </w:tc>
        <w:tc>
          <w:tcPr>
            <w:tcW w:w="140" w:type="dxa"/>
            <w:vAlign w:val="bottom"/>
            <w:tcBorders>
              <w:bottom w:val="single" w:sz="8" w:color="DBDBDB"/>
            </w:tcBorders>
          </w:tcPr>
          <w:p>
            <w:pPr>
              <w:spacing w:after="0"/>
              <w:rPr>
                <w:sz w:val="18"/>
                <w:szCs w:val="18"/>
                <w:color w:val="auto"/>
              </w:rPr>
            </w:pPr>
          </w:p>
        </w:tc>
        <w:tc>
          <w:tcPr>
            <w:tcW w:w="140" w:type="dxa"/>
            <w:vAlign w:val="bottom"/>
            <w:tcBorders>
              <w:bottom w:val="single" w:sz="8" w:color="DBDBDB"/>
            </w:tcBorders>
          </w:tcPr>
          <w:p>
            <w:pPr>
              <w:spacing w:after="0"/>
              <w:rPr>
                <w:sz w:val="18"/>
                <w:szCs w:val="18"/>
                <w:color w:val="auto"/>
              </w:rPr>
            </w:pPr>
          </w:p>
        </w:tc>
        <w:tc>
          <w:tcPr>
            <w:tcW w:w="1020" w:type="dxa"/>
            <w:vAlign w:val="bottom"/>
            <w:tcBorders>
              <w:bottom w:val="single" w:sz="8" w:color="DBDBDB"/>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DBDBDB"/>
            </w:tcBorders>
          </w:tcPr>
          <w:p>
            <w:pPr>
              <w:spacing w:after="0"/>
              <w:rPr>
                <w:sz w:val="18"/>
                <w:szCs w:val="18"/>
                <w:color w:val="auto"/>
              </w:rPr>
            </w:pPr>
          </w:p>
        </w:tc>
        <w:tc>
          <w:tcPr>
            <w:tcW w:w="80" w:type="dxa"/>
            <w:vAlign w:val="bottom"/>
            <w:tcBorders>
              <w:bottom w:val="single" w:sz="8" w:color="DBDBDB"/>
            </w:tcBorders>
          </w:tcPr>
          <w:p>
            <w:pPr>
              <w:spacing w:after="0"/>
              <w:rPr>
                <w:sz w:val="18"/>
                <w:szCs w:val="18"/>
                <w:color w:val="auto"/>
              </w:rPr>
            </w:pPr>
          </w:p>
        </w:tc>
        <w:tc>
          <w:tcPr>
            <w:tcW w:w="140" w:type="dxa"/>
            <w:vAlign w:val="bottom"/>
            <w:tcBorders>
              <w:bottom w:val="single" w:sz="8" w:color="DBDBDB"/>
            </w:tcBorders>
          </w:tcPr>
          <w:p>
            <w:pPr>
              <w:spacing w:after="0"/>
              <w:rPr>
                <w:sz w:val="18"/>
                <w:szCs w:val="18"/>
                <w:color w:val="auto"/>
              </w:rPr>
            </w:pPr>
          </w:p>
        </w:tc>
        <w:tc>
          <w:tcPr>
            <w:tcW w:w="1020" w:type="dxa"/>
            <w:vAlign w:val="bottom"/>
            <w:tcBorders>
              <w:bottom w:val="single" w:sz="8" w:color="DBDBDB"/>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DBDBDB"/>
            </w:tcBorders>
          </w:tcPr>
          <w:p>
            <w:pPr>
              <w:spacing w:after="0"/>
              <w:rPr>
                <w:sz w:val="18"/>
                <w:szCs w:val="18"/>
                <w:color w:val="auto"/>
              </w:rPr>
            </w:pPr>
          </w:p>
        </w:tc>
        <w:tc>
          <w:tcPr>
            <w:tcW w:w="120" w:type="dxa"/>
            <w:vAlign w:val="bottom"/>
            <w:tcBorders>
              <w:bottom w:val="single" w:sz="8" w:color="DBDBDB"/>
            </w:tcBorders>
          </w:tcPr>
          <w:p>
            <w:pPr>
              <w:spacing w:after="0"/>
              <w:rPr>
                <w:sz w:val="18"/>
                <w:szCs w:val="18"/>
                <w:color w:val="auto"/>
              </w:rPr>
            </w:pPr>
          </w:p>
        </w:tc>
        <w:tc>
          <w:tcPr>
            <w:tcW w:w="920" w:type="dxa"/>
            <w:vAlign w:val="bottom"/>
            <w:tcBorders>
              <w:bottom w:val="single" w:sz="8" w:color="DBDBDB"/>
            </w:tcBorders>
          </w:tcPr>
          <w:p>
            <w:pPr>
              <w:jc w:val="right"/>
              <w:spacing w:after="0"/>
              <w:rPr>
                <w:sz w:val="20"/>
                <w:szCs w:val="20"/>
                <w:color w:val="auto"/>
              </w:rPr>
            </w:pPr>
            <w:r>
              <w:rPr>
                <w:rFonts w:ascii="Times New Roman" w:cs="Times New Roman" w:eastAsia="Times New Roman" w:hAnsi="Times New Roman"/>
                <w:sz w:val="18"/>
                <w:szCs w:val="18"/>
                <w:color w:val="auto"/>
              </w:rPr>
              <w:t>3,500</w:t>
            </w:r>
          </w:p>
        </w:tc>
      </w:tr>
      <w:tr>
        <w:trPr>
          <w:trHeight w:val="192"/>
        </w:trPr>
        <w:tc>
          <w:tcPr>
            <w:tcW w:w="2100" w:type="dxa"/>
            <w:vAlign w:val="bottom"/>
            <w:shd w:val="clear" w:color="auto" w:fill="DBDBDB"/>
          </w:tcPr>
          <w:p>
            <w:pPr>
              <w:ind w:left="20"/>
              <w:spacing w:after="0" w:line="187" w:lineRule="exact"/>
              <w:rPr>
                <w:sz w:val="20"/>
                <w:szCs w:val="20"/>
                <w:color w:val="auto"/>
              </w:rPr>
            </w:pPr>
            <w:r>
              <w:rPr>
                <w:rFonts w:ascii="Times New Roman" w:cs="Times New Roman" w:eastAsia="Times New Roman" w:hAnsi="Times New Roman"/>
                <w:sz w:val="18"/>
                <w:szCs w:val="18"/>
                <w:color w:val="auto"/>
              </w:rPr>
              <w:t>Warrants contra revenue</w:t>
            </w:r>
          </w:p>
        </w:tc>
        <w:tc>
          <w:tcPr>
            <w:tcW w:w="160" w:type="dxa"/>
            <w:vAlign w:val="bottom"/>
            <w:tcBorders>
              <w:right w:val="single" w:sz="8" w:color="DBDBDB"/>
            </w:tcBorders>
            <w:shd w:val="clear" w:color="auto" w:fill="DBDBDB"/>
          </w:tcPr>
          <w:p>
            <w:pPr>
              <w:spacing w:after="0"/>
              <w:rPr>
                <w:sz w:val="16"/>
                <w:szCs w:val="16"/>
                <w:color w:val="auto"/>
              </w:rPr>
            </w:pPr>
          </w:p>
        </w:tc>
        <w:tc>
          <w:tcPr>
            <w:tcW w:w="720" w:type="dxa"/>
            <w:vAlign w:val="bottom"/>
            <w:shd w:val="clear" w:color="auto" w:fill="DBDBDB"/>
          </w:tcPr>
          <w:p>
            <w:pPr>
              <w:ind w:left="540"/>
              <w:spacing w:after="0" w:line="187" w:lineRule="exact"/>
              <w:rPr>
                <w:sz w:val="20"/>
                <w:szCs w:val="20"/>
                <w:color w:val="auto"/>
              </w:rPr>
            </w:pPr>
            <w:r>
              <w:rPr>
                <w:rFonts w:ascii="Times New Roman" w:cs="Times New Roman" w:eastAsia="Times New Roman" w:hAnsi="Times New Roman"/>
                <w:sz w:val="18"/>
                <w:szCs w:val="18"/>
                <w:color w:val="auto"/>
                <w:w w:val="88"/>
              </w:rPr>
              <w:t>—</w:t>
            </w:r>
          </w:p>
        </w:tc>
        <w:tc>
          <w:tcPr>
            <w:tcW w:w="20" w:type="dxa"/>
            <w:vAlign w:val="bottom"/>
            <w:shd w:val="clear" w:color="auto" w:fill="DBDBDB"/>
          </w:tcPr>
          <w:p>
            <w:pPr>
              <w:spacing w:after="0"/>
              <w:rPr>
                <w:sz w:val="16"/>
                <w:szCs w:val="16"/>
                <w:color w:val="auto"/>
              </w:rPr>
            </w:pPr>
          </w:p>
        </w:tc>
        <w:tc>
          <w:tcPr>
            <w:tcW w:w="140" w:type="dxa"/>
            <w:vAlign w:val="bottom"/>
            <w:tcBorders>
              <w:right w:val="single" w:sz="8" w:color="DBDBDB"/>
            </w:tcBorders>
            <w:shd w:val="clear" w:color="auto" w:fill="DBDBDB"/>
          </w:tcPr>
          <w:p>
            <w:pPr>
              <w:spacing w:after="0"/>
              <w:rPr>
                <w:sz w:val="16"/>
                <w:szCs w:val="16"/>
                <w:color w:val="auto"/>
              </w:rPr>
            </w:pPr>
          </w:p>
        </w:tc>
        <w:tc>
          <w:tcPr>
            <w:tcW w:w="560" w:type="dxa"/>
            <w:vAlign w:val="bottom"/>
            <w:shd w:val="clear" w:color="auto" w:fill="DBDBDB"/>
          </w:tcPr>
          <w:p>
            <w:pPr>
              <w:spacing w:after="0"/>
              <w:rPr>
                <w:sz w:val="16"/>
                <w:szCs w:val="16"/>
                <w:color w:val="auto"/>
              </w:rPr>
            </w:pPr>
          </w:p>
        </w:tc>
        <w:tc>
          <w:tcPr>
            <w:tcW w:w="240" w:type="dxa"/>
            <w:vAlign w:val="bottom"/>
            <w:tcBorders>
              <w:right w:val="single" w:sz="8" w:color="DBDBDB"/>
            </w:tcBorders>
            <w:shd w:val="clear" w:color="auto" w:fill="DBDBDB"/>
          </w:tcPr>
          <w:p>
            <w:pPr>
              <w:ind w:left="40"/>
              <w:spacing w:after="0" w:line="187" w:lineRule="exact"/>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right w:val="single" w:sz="8" w:color="DBDBDB"/>
            </w:tcBorders>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700" w:type="dxa"/>
            <w:vAlign w:val="bottom"/>
            <w:shd w:val="clear" w:color="auto" w:fill="DBDBDB"/>
          </w:tcPr>
          <w:p>
            <w:pPr>
              <w:jc w:val="right"/>
              <w:spacing w:after="0" w:line="187"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DBDBDB"/>
            </w:tcBorders>
            <w:shd w:val="clear" w:color="auto" w:fill="DBDBDB"/>
          </w:tcPr>
          <w:p>
            <w:pPr>
              <w:spacing w:after="0"/>
              <w:rPr>
                <w:sz w:val="16"/>
                <w:szCs w:val="16"/>
                <w:color w:val="auto"/>
              </w:rPr>
            </w:pPr>
          </w:p>
        </w:tc>
        <w:tc>
          <w:tcPr>
            <w:tcW w:w="560" w:type="dxa"/>
            <w:vAlign w:val="bottom"/>
            <w:shd w:val="clear" w:color="auto" w:fill="DBDBDB"/>
          </w:tcPr>
          <w:p>
            <w:pPr>
              <w:spacing w:after="0"/>
              <w:rPr>
                <w:sz w:val="16"/>
                <w:szCs w:val="16"/>
                <w:color w:val="auto"/>
              </w:rPr>
            </w:pPr>
          </w:p>
        </w:tc>
        <w:tc>
          <w:tcPr>
            <w:tcW w:w="220" w:type="dxa"/>
            <w:vAlign w:val="bottom"/>
            <w:shd w:val="clear" w:color="auto" w:fill="DBDBDB"/>
          </w:tcPr>
          <w:p>
            <w:pPr>
              <w:jc w:val="right"/>
              <w:spacing w:after="0" w:line="187"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DBDBDB"/>
            </w:tcBorders>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780" w:type="dxa"/>
            <w:vAlign w:val="bottom"/>
            <w:shd w:val="clear" w:color="auto" w:fill="DBDBDB"/>
          </w:tcPr>
          <w:p>
            <w:pPr>
              <w:jc w:val="right"/>
              <w:spacing w:after="0" w:line="187" w:lineRule="exact"/>
              <w:rPr>
                <w:sz w:val="20"/>
                <w:szCs w:val="20"/>
                <w:color w:val="auto"/>
              </w:rPr>
            </w:pPr>
            <w:r>
              <w:rPr>
                <w:rFonts w:ascii="Times New Roman" w:cs="Times New Roman" w:eastAsia="Times New Roman" w:hAnsi="Times New Roman"/>
                <w:sz w:val="18"/>
                <w:szCs w:val="18"/>
                <w:color w:val="auto"/>
              </w:rPr>
              <w:t>17,430</w:t>
            </w:r>
          </w:p>
        </w:tc>
        <w:tc>
          <w:tcPr>
            <w:tcW w:w="20" w:type="dxa"/>
            <w:vAlign w:val="bottom"/>
            <w:shd w:val="clear" w:color="auto" w:fill="DBDBDB"/>
          </w:tcPr>
          <w:p>
            <w:pPr>
              <w:spacing w:after="0"/>
              <w:rPr>
                <w:sz w:val="16"/>
                <w:szCs w:val="16"/>
                <w:color w:val="auto"/>
              </w:rPr>
            </w:pPr>
          </w:p>
        </w:tc>
        <w:tc>
          <w:tcPr>
            <w:tcW w:w="140" w:type="dxa"/>
            <w:vAlign w:val="bottom"/>
            <w:tcBorders>
              <w:right w:val="single" w:sz="8" w:color="DBDBDB"/>
            </w:tcBorders>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1000" w:type="dxa"/>
            <w:vAlign w:val="bottom"/>
            <w:shd w:val="clear" w:color="auto" w:fill="DBDBDB"/>
          </w:tcPr>
          <w:p>
            <w:pPr>
              <w:jc w:val="right"/>
              <w:spacing w:after="0" w:line="187"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80" w:type="dxa"/>
            <w:vAlign w:val="bottom"/>
            <w:tcBorders>
              <w:right w:val="single" w:sz="8" w:color="DBDBDB"/>
            </w:tcBorders>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940" w:type="dxa"/>
            <w:vAlign w:val="bottom"/>
            <w:shd w:val="clear" w:color="auto" w:fill="DBDBDB"/>
          </w:tcPr>
          <w:p>
            <w:pPr>
              <w:jc w:val="right"/>
              <w:spacing w:after="0" w:line="187"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DBDBDB"/>
          </w:tcPr>
          <w:p>
            <w:pPr>
              <w:spacing w:after="0"/>
              <w:rPr>
                <w:sz w:val="16"/>
                <w:szCs w:val="16"/>
                <w:color w:val="auto"/>
              </w:rPr>
            </w:pPr>
          </w:p>
        </w:tc>
        <w:tc>
          <w:tcPr>
            <w:tcW w:w="80" w:type="dxa"/>
            <w:vAlign w:val="bottom"/>
            <w:tcBorders>
              <w:right w:val="single" w:sz="8" w:color="DBDBDB"/>
            </w:tcBorders>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920" w:type="dxa"/>
            <w:vAlign w:val="bottom"/>
            <w:shd w:val="clear" w:color="auto" w:fill="DBDBDB"/>
          </w:tcPr>
          <w:p>
            <w:pPr>
              <w:jc w:val="right"/>
              <w:spacing w:after="0" w:line="187" w:lineRule="exact"/>
              <w:rPr>
                <w:sz w:val="20"/>
                <w:szCs w:val="20"/>
                <w:color w:val="auto"/>
              </w:rPr>
            </w:pPr>
            <w:r>
              <w:rPr>
                <w:rFonts w:ascii="Times New Roman" w:cs="Times New Roman" w:eastAsia="Times New Roman" w:hAnsi="Times New Roman"/>
                <w:sz w:val="18"/>
                <w:szCs w:val="18"/>
                <w:color w:val="auto"/>
              </w:rPr>
              <w:t>17,430</w:t>
            </w:r>
          </w:p>
        </w:tc>
      </w:tr>
      <w:tr>
        <w:trPr>
          <w:trHeight w:val="196"/>
        </w:trPr>
        <w:tc>
          <w:tcPr>
            <w:tcW w:w="2260" w:type="dxa"/>
            <w:vAlign w:val="bottom"/>
            <w:tcBorders>
              <w:top w:val="single" w:sz="8" w:color="DBDBDB"/>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w:t>
            </w:r>
          </w:p>
        </w:tc>
        <w:tc>
          <w:tcPr>
            <w:tcW w:w="740" w:type="dxa"/>
            <w:vAlign w:val="bottom"/>
            <w:tcBorders>
              <w:top w:val="single" w:sz="8" w:color="DBDBDB"/>
            </w:tcBorders>
            <w:gridSpan w:val="2"/>
          </w:tcPr>
          <w:p>
            <w:pPr>
              <w:ind w:left="54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top w:val="single" w:sz="8" w:color="DBDBDB"/>
            </w:tcBorders>
          </w:tcPr>
          <w:p>
            <w:pPr>
              <w:spacing w:after="0"/>
              <w:rPr>
                <w:sz w:val="17"/>
                <w:szCs w:val="17"/>
                <w:color w:val="auto"/>
              </w:rPr>
            </w:pPr>
          </w:p>
        </w:tc>
        <w:tc>
          <w:tcPr>
            <w:tcW w:w="560" w:type="dxa"/>
            <w:vAlign w:val="bottom"/>
            <w:tcBorders>
              <w:top w:val="single" w:sz="8" w:color="DBDBDB"/>
            </w:tcBorders>
          </w:tcPr>
          <w:p>
            <w:pPr>
              <w:spacing w:after="0"/>
              <w:rPr>
                <w:sz w:val="17"/>
                <w:szCs w:val="17"/>
                <w:color w:val="auto"/>
              </w:rPr>
            </w:pPr>
          </w:p>
        </w:tc>
        <w:tc>
          <w:tcPr>
            <w:tcW w:w="240" w:type="dxa"/>
            <w:vAlign w:val="bottom"/>
            <w:tcBorders>
              <w:top w:val="single" w:sz="8" w:color="DBDBDB"/>
            </w:tcBorders>
          </w:tcPr>
          <w:p>
            <w:pPr>
              <w:ind w:left="4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DBDBDB"/>
            </w:tcBorders>
          </w:tcPr>
          <w:p>
            <w:pPr>
              <w:spacing w:after="0"/>
              <w:rPr>
                <w:sz w:val="17"/>
                <w:szCs w:val="17"/>
                <w:color w:val="auto"/>
              </w:rPr>
            </w:pPr>
          </w:p>
        </w:tc>
        <w:tc>
          <w:tcPr>
            <w:tcW w:w="80" w:type="dxa"/>
            <w:vAlign w:val="bottom"/>
            <w:tcBorders>
              <w:top w:val="single" w:sz="8" w:color="DBDBDB"/>
            </w:tcBorders>
          </w:tcPr>
          <w:p>
            <w:pPr>
              <w:spacing w:after="0"/>
              <w:rPr>
                <w:sz w:val="17"/>
                <w:szCs w:val="17"/>
                <w:color w:val="auto"/>
              </w:rPr>
            </w:pPr>
          </w:p>
        </w:tc>
        <w:tc>
          <w:tcPr>
            <w:tcW w:w="700" w:type="dxa"/>
            <w:vAlign w:val="bottom"/>
            <w:tcBorders>
              <w:top w:val="single" w:sz="8" w:color="DBDBDB"/>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DBDBDB"/>
            </w:tcBorders>
          </w:tcPr>
          <w:p>
            <w:pPr>
              <w:spacing w:after="0"/>
              <w:rPr>
                <w:sz w:val="17"/>
                <w:szCs w:val="17"/>
                <w:color w:val="auto"/>
              </w:rPr>
            </w:pPr>
          </w:p>
        </w:tc>
        <w:tc>
          <w:tcPr>
            <w:tcW w:w="560" w:type="dxa"/>
            <w:vAlign w:val="bottom"/>
            <w:tcBorders>
              <w:top w:val="single" w:sz="8" w:color="DBDBDB"/>
            </w:tcBorders>
          </w:tcPr>
          <w:p>
            <w:pPr>
              <w:spacing w:after="0"/>
              <w:rPr>
                <w:sz w:val="17"/>
                <w:szCs w:val="17"/>
                <w:color w:val="auto"/>
              </w:rPr>
            </w:pPr>
          </w:p>
        </w:tc>
        <w:tc>
          <w:tcPr>
            <w:tcW w:w="220" w:type="dxa"/>
            <w:vAlign w:val="bottom"/>
            <w:tcBorders>
              <w:top w:val="single" w:sz="8" w:color="DBDBDB"/>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DBDBDB"/>
            </w:tcBorders>
          </w:tcPr>
          <w:p>
            <w:pPr>
              <w:spacing w:after="0"/>
              <w:rPr>
                <w:sz w:val="17"/>
                <w:szCs w:val="17"/>
                <w:color w:val="auto"/>
              </w:rPr>
            </w:pPr>
          </w:p>
        </w:tc>
        <w:tc>
          <w:tcPr>
            <w:tcW w:w="120" w:type="dxa"/>
            <w:vAlign w:val="bottom"/>
            <w:tcBorders>
              <w:top w:val="single" w:sz="8" w:color="DBDBDB"/>
            </w:tcBorders>
          </w:tcPr>
          <w:p>
            <w:pPr>
              <w:spacing w:after="0"/>
              <w:rPr>
                <w:sz w:val="17"/>
                <w:szCs w:val="17"/>
                <w:color w:val="auto"/>
              </w:rPr>
            </w:pPr>
          </w:p>
        </w:tc>
        <w:tc>
          <w:tcPr>
            <w:tcW w:w="800" w:type="dxa"/>
            <w:vAlign w:val="bottom"/>
            <w:tcBorders>
              <w:top w:val="single" w:sz="8" w:color="DBDBDB"/>
            </w:tcBorders>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DBDBDB"/>
            </w:tcBorders>
          </w:tcPr>
          <w:p>
            <w:pPr>
              <w:spacing w:after="0"/>
              <w:rPr>
                <w:sz w:val="17"/>
                <w:szCs w:val="17"/>
                <w:color w:val="auto"/>
              </w:rPr>
            </w:pPr>
          </w:p>
        </w:tc>
        <w:tc>
          <w:tcPr>
            <w:tcW w:w="140" w:type="dxa"/>
            <w:vAlign w:val="bottom"/>
            <w:tcBorders>
              <w:top w:val="single" w:sz="8" w:color="DBDBDB"/>
            </w:tcBorders>
          </w:tcPr>
          <w:p>
            <w:pPr>
              <w:spacing w:after="0"/>
              <w:rPr>
                <w:sz w:val="17"/>
                <w:szCs w:val="17"/>
                <w:color w:val="auto"/>
              </w:rPr>
            </w:pPr>
          </w:p>
        </w:tc>
        <w:tc>
          <w:tcPr>
            <w:tcW w:w="1020" w:type="dxa"/>
            <w:vAlign w:val="bottom"/>
            <w:tcBorders>
              <w:top w:val="single" w:sz="8" w:color="DBDBDB"/>
            </w:tcBorders>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DBDBDB"/>
            </w:tcBorders>
          </w:tcPr>
          <w:p>
            <w:pPr>
              <w:spacing w:after="0"/>
              <w:rPr>
                <w:sz w:val="17"/>
                <w:szCs w:val="17"/>
                <w:color w:val="auto"/>
              </w:rPr>
            </w:pPr>
          </w:p>
        </w:tc>
        <w:tc>
          <w:tcPr>
            <w:tcW w:w="80" w:type="dxa"/>
            <w:vAlign w:val="bottom"/>
            <w:tcBorders>
              <w:top w:val="single" w:sz="8" w:color="DBDBDB"/>
            </w:tcBorders>
          </w:tcPr>
          <w:p>
            <w:pPr>
              <w:spacing w:after="0"/>
              <w:rPr>
                <w:sz w:val="17"/>
                <w:szCs w:val="17"/>
                <w:color w:val="auto"/>
              </w:rPr>
            </w:pPr>
          </w:p>
        </w:tc>
        <w:tc>
          <w:tcPr>
            <w:tcW w:w="140" w:type="dxa"/>
            <w:vAlign w:val="bottom"/>
            <w:tcBorders>
              <w:top w:val="single" w:sz="8" w:color="DBDBDB"/>
            </w:tcBorders>
          </w:tcPr>
          <w:p>
            <w:pPr>
              <w:spacing w:after="0"/>
              <w:rPr>
                <w:sz w:val="17"/>
                <w:szCs w:val="17"/>
                <w:color w:val="auto"/>
              </w:rPr>
            </w:pPr>
          </w:p>
        </w:tc>
        <w:tc>
          <w:tcPr>
            <w:tcW w:w="940" w:type="dxa"/>
            <w:vAlign w:val="bottom"/>
            <w:tcBorders>
              <w:top w:val="single" w:sz="8" w:color="DBDBDB"/>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(38,228)</w:t>
            </w:r>
          </w:p>
        </w:tc>
        <w:tc>
          <w:tcPr>
            <w:tcW w:w="80" w:type="dxa"/>
            <w:vAlign w:val="bottom"/>
            <w:tcBorders>
              <w:top w:val="single" w:sz="8" w:color="DBDBDB"/>
            </w:tcBorders>
          </w:tcPr>
          <w:p>
            <w:pPr>
              <w:spacing w:after="0"/>
              <w:rPr>
                <w:sz w:val="17"/>
                <w:szCs w:val="17"/>
                <w:color w:val="auto"/>
              </w:rPr>
            </w:pPr>
          </w:p>
        </w:tc>
        <w:tc>
          <w:tcPr>
            <w:tcW w:w="80" w:type="dxa"/>
            <w:vAlign w:val="bottom"/>
            <w:tcBorders>
              <w:top w:val="single" w:sz="8" w:color="DBDBDB"/>
            </w:tcBorders>
          </w:tcPr>
          <w:p>
            <w:pPr>
              <w:spacing w:after="0"/>
              <w:rPr>
                <w:sz w:val="17"/>
                <w:szCs w:val="17"/>
                <w:color w:val="auto"/>
              </w:rPr>
            </w:pPr>
          </w:p>
        </w:tc>
        <w:tc>
          <w:tcPr>
            <w:tcW w:w="120" w:type="dxa"/>
            <w:vAlign w:val="bottom"/>
            <w:tcBorders>
              <w:top w:val="single" w:sz="8" w:color="DBDBDB"/>
            </w:tcBorders>
          </w:tcPr>
          <w:p>
            <w:pPr>
              <w:spacing w:after="0"/>
              <w:rPr>
                <w:sz w:val="17"/>
                <w:szCs w:val="17"/>
                <w:color w:val="auto"/>
              </w:rPr>
            </w:pPr>
          </w:p>
        </w:tc>
        <w:tc>
          <w:tcPr>
            <w:tcW w:w="920" w:type="dxa"/>
            <w:vAlign w:val="bottom"/>
            <w:tcBorders>
              <w:top w:val="single" w:sz="8" w:color="DBDBDB"/>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(38,228)</w:t>
            </w:r>
          </w:p>
        </w:tc>
      </w:tr>
      <w:tr>
        <w:trPr>
          <w:trHeight w:val="246"/>
        </w:trPr>
        <w:tc>
          <w:tcPr>
            <w:tcW w:w="2100" w:type="dxa"/>
            <w:vAlign w:val="bottom"/>
            <w:tcBorders>
              <w:top w:val="single" w:sz="8" w:color="DBDBDB"/>
              <w:bottom w:val="single" w:sz="8" w:color="DBDBDB"/>
            </w:tcBorders>
            <w:shd w:val="clear" w:color="auto" w:fill="DBDBDB"/>
          </w:tcPr>
          <w:p>
            <w:pPr>
              <w:ind w:left="20"/>
              <w:spacing w:after="0" w:line="199" w:lineRule="exact"/>
              <w:rPr>
                <w:sz w:val="20"/>
                <w:szCs w:val="20"/>
                <w:color w:val="auto"/>
              </w:rPr>
            </w:pPr>
            <w:r>
              <w:rPr>
                <w:rFonts w:ascii="Times New Roman" w:cs="Times New Roman" w:eastAsia="Times New Roman" w:hAnsi="Times New Roman"/>
                <w:sz w:val="18"/>
                <w:szCs w:val="18"/>
                <w:b w:val="1"/>
                <w:bCs w:val="1"/>
                <w:color w:val="auto"/>
              </w:rPr>
              <w:t>December 31, 2025</w:t>
            </w:r>
          </w:p>
        </w:tc>
        <w:tc>
          <w:tcPr>
            <w:tcW w:w="160" w:type="dxa"/>
            <w:vAlign w:val="bottom"/>
            <w:tcBorders>
              <w:top w:val="single" w:sz="8" w:color="DBDBDB"/>
              <w:bottom w:val="single" w:sz="8" w:color="DBDBDB"/>
              <w:right w:val="single" w:sz="8" w:color="DBDBDB"/>
            </w:tcBorders>
            <w:shd w:val="clear" w:color="auto" w:fill="DBDBDB"/>
          </w:tcPr>
          <w:p>
            <w:pPr>
              <w:spacing w:after="0"/>
              <w:rPr>
                <w:sz w:val="20"/>
                <w:szCs w:val="20"/>
                <w:color w:val="auto"/>
              </w:rPr>
            </w:pPr>
          </w:p>
        </w:tc>
        <w:tc>
          <w:tcPr>
            <w:tcW w:w="720" w:type="dxa"/>
            <w:vAlign w:val="bottom"/>
            <w:tcBorders>
              <w:top w:val="single" w:sz="8" w:color="auto"/>
              <w:bottom w:val="single" w:sz="8" w:color="DBDBDB"/>
            </w:tcBorders>
            <w:shd w:val="clear" w:color="auto" w:fill="DBDBDB"/>
          </w:tcPr>
          <w:p>
            <w:pPr>
              <w:ind w:left="540"/>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top w:val="single" w:sz="8" w:color="DBDBDB"/>
              <w:bottom w:val="single" w:sz="8" w:color="DBDBDB"/>
            </w:tcBorders>
            <w:shd w:val="clear" w:color="auto" w:fill="DBDBDB"/>
          </w:tcPr>
          <w:p>
            <w:pPr>
              <w:spacing w:after="0"/>
              <w:rPr>
                <w:sz w:val="20"/>
                <w:szCs w:val="20"/>
                <w:color w:val="auto"/>
              </w:rPr>
            </w:pPr>
          </w:p>
        </w:tc>
        <w:tc>
          <w:tcPr>
            <w:tcW w:w="140" w:type="dxa"/>
            <w:vAlign w:val="bottom"/>
            <w:tcBorders>
              <w:top w:val="single" w:sz="8" w:color="DBDBDB"/>
              <w:bottom w:val="single" w:sz="8" w:color="DBDBDB"/>
              <w:right w:val="single" w:sz="8" w:color="DBDBDB"/>
            </w:tcBorders>
            <w:shd w:val="clear" w:color="auto" w:fill="DBDBDB"/>
          </w:tcPr>
          <w:p>
            <w:pPr>
              <w:spacing w:after="0"/>
              <w:rPr>
                <w:sz w:val="20"/>
                <w:szCs w:val="20"/>
                <w:color w:val="auto"/>
              </w:rPr>
            </w:pPr>
          </w:p>
        </w:tc>
        <w:tc>
          <w:tcPr>
            <w:tcW w:w="560" w:type="dxa"/>
            <w:vAlign w:val="bottom"/>
            <w:tcBorders>
              <w:top w:val="single" w:sz="8" w:color="auto"/>
              <w:bottom w:val="single" w:sz="8" w:color="DBDBDB"/>
            </w:tcBorders>
            <w:shd w:val="clear" w:color="auto" w:fill="DBDBDB"/>
          </w:tcPr>
          <w:p>
            <w:pPr>
              <w:jc w:val="right"/>
              <w:ind w:right="396"/>
              <w:spacing w:after="0"/>
              <w:rPr>
                <w:sz w:val="20"/>
                <w:szCs w:val="20"/>
                <w:color w:val="auto"/>
              </w:rPr>
            </w:pPr>
            <w:r>
              <w:rPr>
                <w:rFonts w:ascii="Times New Roman" w:cs="Times New Roman" w:eastAsia="Times New Roman" w:hAnsi="Times New Roman"/>
                <w:sz w:val="17"/>
                <w:szCs w:val="17"/>
                <w:color w:val="auto"/>
                <w:highlight w:val="lightGray"/>
                <w:w w:val="70"/>
              </w:rPr>
              <w:t>$</w:t>
            </w:r>
          </w:p>
        </w:tc>
        <w:tc>
          <w:tcPr>
            <w:tcW w:w="240" w:type="dxa"/>
            <w:vAlign w:val="bottom"/>
            <w:tcBorders>
              <w:top w:val="single" w:sz="8" w:color="auto"/>
              <w:bottom w:val="single" w:sz="8" w:color="DBDBDB"/>
              <w:right w:val="single" w:sz="8" w:color="DBDBDB"/>
            </w:tcBorders>
            <w:shd w:val="clear" w:color="auto" w:fill="DBDBDB"/>
          </w:tcPr>
          <w:p>
            <w:pPr>
              <w:ind w:left="40"/>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DBDBDB"/>
              <w:bottom w:val="single" w:sz="8" w:color="DBDBDB"/>
              <w:right w:val="single" w:sz="8" w:color="DBDBDB"/>
            </w:tcBorders>
            <w:shd w:val="clear" w:color="auto" w:fill="DBDBDB"/>
          </w:tcPr>
          <w:p>
            <w:pPr>
              <w:spacing w:after="0"/>
              <w:rPr>
                <w:sz w:val="20"/>
                <w:szCs w:val="20"/>
                <w:color w:val="auto"/>
              </w:rPr>
            </w:pPr>
          </w:p>
        </w:tc>
        <w:tc>
          <w:tcPr>
            <w:tcW w:w="80" w:type="dxa"/>
            <w:vAlign w:val="bottom"/>
            <w:tcBorders>
              <w:top w:val="single" w:sz="8" w:color="auto"/>
              <w:bottom w:val="single" w:sz="8" w:color="DBDBDB"/>
            </w:tcBorders>
            <w:shd w:val="clear" w:color="auto" w:fill="DBDBDB"/>
          </w:tcPr>
          <w:p>
            <w:pPr>
              <w:spacing w:after="0"/>
              <w:rPr>
                <w:sz w:val="20"/>
                <w:szCs w:val="20"/>
                <w:color w:val="auto"/>
              </w:rPr>
            </w:pPr>
          </w:p>
        </w:tc>
        <w:tc>
          <w:tcPr>
            <w:tcW w:w="700" w:type="dxa"/>
            <w:vAlign w:val="bottom"/>
            <w:tcBorders>
              <w:top w:val="single" w:sz="8" w:color="auto"/>
              <w:bottom w:val="single" w:sz="8" w:color="DBDBDB"/>
            </w:tcBorders>
            <w:shd w:val="clear" w:color="auto" w:fill="DBDBDB"/>
          </w:tcPr>
          <w:p>
            <w:pPr>
              <w:jc w:val="right"/>
              <w:spacing w:after="0" w:line="199" w:lineRule="exact"/>
              <w:rPr>
                <w:sz w:val="20"/>
                <w:szCs w:val="20"/>
                <w:color w:val="auto"/>
              </w:rPr>
            </w:pPr>
            <w:r>
              <w:rPr>
                <w:rFonts w:ascii="Times New Roman" w:cs="Times New Roman" w:eastAsia="Times New Roman" w:hAnsi="Times New Roman"/>
                <w:sz w:val="18"/>
                <w:szCs w:val="18"/>
                <w:color w:val="auto"/>
              </w:rPr>
              <w:t>74,998</w:t>
            </w:r>
          </w:p>
        </w:tc>
        <w:tc>
          <w:tcPr>
            <w:tcW w:w="160" w:type="dxa"/>
            <w:vAlign w:val="bottom"/>
            <w:tcBorders>
              <w:top w:val="single" w:sz="8" w:color="DBDBDB"/>
              <w:bottom w:val="single" w:sz="8" w:color="DBDBDB"/>
              <w:right w:val="single" w:sz="8" w:color="DBDBDB"/>
            </w:tcBorders>
            <w:shd w:val="clear" w:color="auto" w:fill="DBDBDB"/>
          </w:tcPr>
          <w:p>
            <w:pPr>
              <w:spacing w:after="0"/>
              <w:rPr>
                <w:sz w:val="20"/>
                <w:szCs w:val="20"/>
                <w:color w:val="auto"/>
              </w:rPr>
            </w:pPr>
          </w:p>
        </w:tc>
        <w:tc>
          <w:tcPr>
            <w:tcW w:w="560" w:type="dxa"/>
            <w:vAlign w:val="bottom"/>
            <w:tcBorders>
              <w:top w:val="single" w:sz="8" w:color="auto"/>
              <w:bottom w:val="single" w:sz="8" w:color="DBDBDB"/>
            </w:tcBorders>
            <w:shd w:val="clear" w:color="auto" w:fill="DBDBDB"/>
          </w:tcPr>
          <w:p>
            <w:pPr>
              <w:jc w:val="right"/>
              <w:ind w:right="396"/>
              <w:spacing w:after="0"/>
              <w:rPr>
                <w:sz w:val="20"/>
                <w:szCs w:val="20"/>
                <w:color w:val="auto"/>
              </w:rPr>
            </w:pPr>
            <w:r>
              <w:rPr>
                <w:rFonts w:ascii="Times New Roman" w:cs="Times New Roman" w:eastAsia="Times New Roman" w:hAnsi="Times New Roman"/>
                <w:sz w:val="17"/>
                <w:szCs w:val="17"/>
                <w:color w:val="auto"/>
                <w:highlight w:val="lightGray"/>
                <w:w w:val="70"/>
              </w:rPr>
              <w:t>$</w:t>
            </w:r>
          </w:p>
        </w:tc>
        <w:tc>
          <w:tcPr>
            <w:tcW w:w="220" w:type="dxa"/>
            <w:vAlign w:val="bottom"/>
            <w:tcBorders>
              <w:top w:val="single" w:sz="8" w:color="auto"/>
              <w:bottom w:val="single" w:sz="8" w:color="DBDBDB"/>
            </w:tcBorders>
            <w:shd w:val="clear" w:color="auto" w:fill="DBDBDB"/>
          </w:tcPr>
          <w:p>
            <w:pPr>
              <w:jc w:val="right"/>
              <w:spacing w:after="0" w:line="199" w:lineRule="exact"/>
              <w:rPr>
                <w:sz w:val="20"/>
                <w:szCs w:val="20"/>
                <w:color w:val="auto"/>
              </w:rPr>
            </w:pPr>
            <w:r>
              <w:rPr>
                <w:rFonts w:ascii="Times New Roman" w:cs="Times New Roman" w:eastAsia="Times New Roman" w:hAnsi="Times New Roman"/>
                <w:sz w:val="18"/>
                <w:szCs w:val="18"/>
                <w:color w:val="auto"/>
              </w:rPr>
              <w:t>75</w:t>
            </w:r>
          </w:p>
        </w:tc>
        <w:tc>
          <w:tcPr>
            <w:tcW w:w="160" w:type="dxa"/>
            <w:vAlign w:val="bottom"/>
            <w:tcBorders>
              <w:top w:val="single" w:sz="8" w:color="DBDBDB"/>
              <w:bottom w:val="single" w:sz="8" w:color="DBDBDB"/>
              <w:right w:val="single" w:sz="8" w:color="DBDBDB"/>
            </w:tcBorders>
            <w:shd w:val="clear" w:color="auto" w:fill="DBDBDB"/>
          </w:tcPr>
          <w:p>
            <w:pPr>
              <w:spacing w:after="0"/>
              <w:rPr>
                <w:sz w:val="20"/>
                <w:szCs w:val="20"/>
                <w:color w:val="auto"/>
              </w:rPr>
            </w:pPr>
          </w:p>
        </w:tc>
        <w:tc>
          <w:tcPr>
            <w:tcW w:w="120" w:type="dxa"/>
            <w:vAlign w:val="bottom"/>
            <w:tcBorders>
              <w:top w:val="single" w:sz="8" w:color="auto"/>
              <w:bottom w:val="single" w:sz="8" w:color="DBDBDB"/>
            </w:tcBorders>
            <w:shd w:val="clear" w:color="auto" w:fill="DBDBDB"/>
          </w:tcPr>
          <w:p>
            <w:pPr>
              <w:jc w:val="right"/>
              <w:spacing w:after="0" w:line="199" w:lineRule="exact"/>
              <w:rPr>
                <w:sz w:val="20"/>
                <w:szCs w:val="20"/>
                <w:color w:val="auto"/>
              </w:rPr>
            </w:pPr>
            <w:r>
              <w:rPr>
                <w:rFonts w:ascii="Times New Roman" w:cs="Times New Roman" w:eastAsia="Times New Roman" w:hAnsi="Times New Roman"/>
                <w:sz w:val="18"/>
                <w:szCs w:val="18"/>
                <w:color w:val="auto"/>
                <w:highlight w:val="lightGray"/>
                <w:w w:val="88"/>
              </w:rPr>
              <w:t>$</w:t>
            </w:r>
          </w:p>
        </w:tc>
        <w:tc>
          <w:tcPr>
            <w:tcW w:w="780" w:type="dxa"/>
            <w:vAlign w:val="bottom"/>
            <w:tcBorders>
              <w:top w:val="single" w:sz="8" w:color="auto"/>
              <w:bottom w:val="single" w:sz="8" w:color="DBDBDB"/>
            </w:tcBorders>
            <w:shd w:val="clear" w:color="auto" w:fill="DBDBDB"/>
          </w:tcPr>
          <w:p>
            <w:pPr>
              <w:jc w:val="right"/>
              <w:spacing w:after="0" w:line="199" w:lineRule="exact"/>
              <w:rPr>
                <w:sz w:val="20"/>
                <w:szCs w:val="20"/>
                <w:color w:val="auto"/>
              </w:rPr>
            </w:pPr>
            <w:r>
              <w:rPr>
                <w:rFonts w:ascii="Times New Roman" w:cs="Times New Roman" w:eastAsia="Times New Roman" w:hAnsi="Times New Roman"/>
                <w:sz w:val="18"/>
                <w:szCs w:val="18"/>
                <w:color w:val="auto"/>
                <w:highlight w:val="lightGray"/>
              </w:rPr>
              <w:t>1,224,538</w:t>
            </w:r>
          </w:p>
        </w:tc>
        <w:tc>
          <w:tcPr>
            <w:tcW w:w="20" w:type="dxa"/>
            <w:vAlign w:val="bottom"/>
            <w:tcBorders>
              <w:top w:val="single" w:sz="8" w:color="DBDBDB"/>
              <w:bottom w:val="single" w:sz="8" w:color="DBDBDB"/>
            </w:tcBorders>
            <w:shd w:val="clear" w:color="auto" w:fill="DBDBDB"/>
          </w:tcPr>
          <w:p>
            <w:pPr>
              <w:spacing w:after="0"/>
              <w:rPr>
                <w:sz w:val="20"/>
                <w:szCs w:val="20"/>
                <w:color w:val="auto"/>
              </w:rPr>
            </w:pPr>
          </w:p>
        </w:tc>
        <w:tc>
          <w:tcPr>
            <w:tcW w:w="140" w:type="dxa"/>
            <w:vAlign w:val="bottom"/>
            <w:tcBorders>
              <w:top w:val="single" w:sz="8" w:color="DBDBDB"/>
              <w:bottom w:val="single" w:sz="8" w:color="DBDBDB"/>
              <w:right w:val="single" w:sz="8" w:color="DBDBDB"/>
            </w:tcBorders>
            <w:shd w:val="clear" w:color="auto" w:fill="DBDBDB"/>
          </w:tcPr>
          <w:p>
            <w:pPr>
              <w:spacing w:after="0"/>
              <w:rPr>
                <w:sz w:val="20"/>
                <w:szCs w:val="20"/>
                <w:color w:val="auto"/>
              </w:rPr>
            </w:pPr>
          </w:p>
        </w:tc>
        <w:tc>
          <w:tcPr>
            <w:tcW w:w="140" w:type="dxa"/>
            <w:vAlign w:val="bottom"/>
            <w:tcBorders>
              <w:top w:val="single" w:sz="8" w:color="auto"/>
              <w:bottom w:val="single" w:sz="8" w:color="DBDBDB"/>
            </w:tcBorders>
            <w:shd w:val="clear" w:color="auto" w:fill="DBDBDB"/>
          </w:tcPr>
          <w:p>
            <w:pPr>
              <w:spacing w:after="0" w:line="199" w:lineRule="exact"/>
              <w:rPr>
                <w:sz w:val="20"/>
                <w:szCs w:val="20"/>
                <w:color w:val="auto"/>
              </w:rPr>
            </w:pPr>
            <w:r>
              <w:rPr>
                <w:rFonts w:ascii="Times New Roman" w:cs="Times New Roman" w:eastAsia="Times New Roman" w:hAnsi="Times New Roman"/>
                <w:sz w:val="18"/>
                <w:szCs w:val="18"/>
                <w:color w:val="auto"/>
                <w:highlight w:val="lightGray"/>
              </w:rPr>
              <w:t>$</w:t>
            </w:r>
          </w:p>
        </w:tc>
        <w:tc>
          <w:tcPr>
            <w:tcW w:w="1000" w:type="dxa"/>
            <w:vAlign w:val="bottom"/>
            <w:tcBorders>
              <w:top w:val="single" w:sz="8" w:color="auto"/>
              <w:bottom w:val="single" w:sz="8" w:color="DBDBDB"/>
            </w:tcBorders>
            <w:shd w:val="clear" w:color="auto" w:fill="DBDBDB"/>
          </w:tcPr>
          <w:p>
            <w:pPr>
              <w:jc w:val="right"/>
              <w:spacing w:after="0" w:line="199" w:lineRule="exact"/>
              <w:rPr>
                <w:sz w:val="20"/>
                <w:szCs w:val="20"/>
                <w:color w:val="auto"/>
              </w:rPr>
            </w:pPr>
            <w:r>
              <w:rPr>
                <w:rFonts w:ascii="Times New Roman" w:cs="Times New Roman" w:eastAsia="Times New Roman" w:hAnsi="Times New Roman"/>
                <w:sz w:val="18"/>
                <w:szCs w:val="18"/>
                <w:color w:val="auto"/>
              </w:rPr>
              <w:t>(617)</w:t>
            </w:r>
          </w:p>
        </w:tc>
        <w:tc>
          <w:tcPr>
            <w:tcW w:w="20" w:type="dxa"/>
            <w:vAlign w:val="bottom"/>
            <w:tcBorders>
              <w:top w:val="single" w:sz="8" w:color="DBDBDB"/>
              <w:bottom w:val="single" w:sz="8" w:color="DBDBDB"/>
            </w:tcBorders>
            <w:shd w:val="clear" w:color="auto" w:fill="DBDBDB"/>
          </w:tcPr>
          <w:p>
            <w:pPr>
              <w:spacing w:after="0"/>
              <w:rPr>
                <w:sz w:val="20"/>
                <w:szCs w:val="20"/>
                <w:color w:val="auto"/>
              </w:rPr>
            </w:pPr>
          </w:p>
        </w:tc>
        <w:tc>
          <w:tcPr>
            <w:tcW w:w="60" w:type="dxa"/>
            <w:vAlign w:val="bottom"/>
            <w:tcBorders>
              <w:top w:val="single" w:sz="8" w:color="DBDBDB"/>
              <w:bottom w:val="single" w:sz="8" w:color="DBDBDB"/>
            </w:tcBorders>
            <w:shd w:val="clear" w:color="auto" w:fill="DBDBDB"/>
          </w:tcPr>
          <w:p>
            <w:pPr>
              <w:spacing w:after="0"/>
              <w:rPr>
                <w:sz w:val="20"/>
                <w:szCs w:val="20"/>
                <w:color w:val="auto"/>
              </w:rPr>
            </w:pPr>
          </w:p>
        </w:tc>
        <w:tc>
          <w:tcPr>
            <w:tcW w:w="80" w:type="dxa"/>
            <w:vAlign w:val="bottom"/>
            <w:tcBorders>
              <w:top w:val="single" w:sz="8" w:color="DBDBDB"/>
              <w:bottom w:val="single" w:sz="8" w:color="DBDBDB"/>
              <w:right w:val="single" w:sz="8" w:color="DBDBDB"/>
            </w:tcBorders>
            <w:shd w:val="clear" w:color="auto" w:fill="DBDBDB"/>
          </w:tcPr>
          <w:p>
            <w:pPr>
              <w:spacing w:after="0"/>
              <w:rPr>
                <w:sz w:val="20"/>
                <w:szCs w:val="20"/>
                <w:color w:val="auto"/>
              </w:rPr>
            </w:pPr>
          </w:p>
        </w:tc>
        <w:tc>
          <w:tcPr>
            <w:tcW w:w="140" w:type="dxa"/>
            <w:vAlign w:val="bottom"/>
            <w:tcBorders>
              <w:top w:val="single" w:sz="8" w:color="auto"/>
              <w:bottom w:val="single" w:sz="8" w:color="DBDBDB"/>
            </w:tcBorders>
            <w:shd w:val="clear" w:color="auto" w:fill="DBDBDB"/>
          </w:tcPr>
          <w:p>
            <w:pPr>
              <w:spacing w:after="0" w:line="199" w:lineRule="exact"/>
              <w:rPr>
                <w:sz w:val="20"/>
                <w:szCs w:val="20"/>
                <w:color w:val="auto"/>
              </w:rPr>
            </w:pPr>
            <w:r>
              <w:rPr>
                <w:rFonts w:ascii="Times New Roman" w:cs="Times New Roman" w:eastAsia="Times New Roman" w:hAnsi="Times New Roman"/>
                <w:sz w:val="18"/>
                <w:szCs w:val="18"/>
                <w:color w:val="auto"/>
                <w:highlight w:val="lightGray"/>
              </w:rPr>
              <w:t>$</w:t>
            </w:r>
          </w:p>
        </w:tc>
        <w:tc>
          <w:tcPr>
            <w:tcW w:w="940" w:type="dxa"/>
            <w:vAlign w:val="bottom"/>
            <w:tcBorders>
              <w:top w:val="single" w:sz="8" w:color="auto"/>
              <w:bottom w:val="single" w:sz="8" w:color="DBDBDB"/>
            </w:tcBorders>
            <w:shd w:val="clear" w:color="auto" w:fill="DBDBDB"/>
          </w:tcPr>
          <w:p>
            <w:pPr>
              <w:jc w:val="right"/>
              <w:spacing w:after="0" w:line="199" w:lineRule="exact"/>
              <w:rPr>
                <w:sz w:val="20"/>
                <w:szCs w:val="20"/>
                <w:color w:val="auto"/>
              </w:rPr>
            </w:pPr>
            <w:r>
              <w:rPr>
                <w:rFonts w:ascii="Times New Roman" w:cs="Times New Roman" w:eastAsia="Times New Roman" w:hAnsi="Times New Roman"/>
                <w:sz w:val="18"/>
                <w:szCs w:val="18"/>
                <w:color w:val="auto"/>
                <w:highlight w:val="lightGray"/>
              </w:rPr>
              <w:t>(490,078)</w:t>
            </w:r>
          </w:p>
        </w:tc>
        <w:tc>
          <w:tcPr>
            <w:tcW w:w="80" w:type="dxa"/>
            <w:vAlign w:val="bottom"/>
            <w:tcBorders>
              <w:top w:val="single" w:sz="8" w:color="DBDBDB"/>
              <w:bottom w:val="single" w:sz="8" w:color="DBDBDB"/>
            </w:tcBorders>
            <w:shd w:val="clear" w:color="auto" w:fill="DBDBDB"/>
          </w:tcPr>
          <w:p>
            <w:pPr>
              <w:spacing w:after="0"/>
              <w:rPr>
                <w:sz w:val="20"/>
                <w:szCs w:val="20"/>
                <w:color w:val="auto"/>
              </w:rPr>
            </w:pPr>
          </w:p>
        </w:tc>
        <w:tc>
          <w:tcPr>
            <w:tcW w:w="80" w:type="dxa"/>
            <w:vAlign w:val="bottom"/>
            <w:tcBorders>
              <w:top w:val="single" w:sz="8" w:color="DBDBDB"/>
              <w:bottom w:val="single" w:sz="8" w:color="DBDBDB"/>
              <w:right w:val="single" w:sz="8" w:color="DBDBDB"/>
            </w:tcBorders>
            <w:shd w:val="clear" w:color="auto" w:fill="DBDBDB"/>
          </w:tcPr>
          <w:p>
            <w:pPr>
              <w:spacing w:after="0"/>
              <w:rPr>
                <w:sz w:val="20"/>
                <w:szCs w:val="20"/>
                <w:color w:val="auto"/>
              </w:rPr>
            </w:pPr>
          </w:p>
        </w:tc>
        <w:tc>
          <w:tcPr>
            <w:tcW w:w="120" w:type="dxa"/>
            <w:vAlign w:val="bottom"/>
            <w:tcBorders>
              <w:top w:val="single" w:sz="8" w:color="auto"/>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7"/>
                <w:szCs w:val="17"/>
                <w:color w:val="auto"/>
                <w:highlight w:val="lightGray"/>
                <w:w w:val="70"/>
              </w:rPr>
              <w:t>$</w:t>
            </w:r>
          </w:p>
        </w:tc>
        <w:tc>
          <w:tcPr>
            <w:tcW w:w="920" w:type="dxa"/>
            <w:vAlign w:val="bottom"/>
            <w:tcBorders>
              <w:top w:val="single" w:sz="8" w:color="auto"/>
              <w:bottom w:val="single" w:sz="8" w:color="DBDBDB"/>
            </w:tcBorders>
            <w:shd w:val="clear" w:color="auto" w:fill="DBDBDB"/>
          </w:tcPr>
          <w:p>
            <w:pPr>
              <w:jc w:val="right"/>
              <w:spacing w:after="0" w:line="199" w:lineRule="exact"/>
              <w:rPr>
                <w:sz w:val="20"/>
                <w:szCs w:val="20"/>
                <w:color w:val="auto"/>
              </w:rPr>
            </w:pPr>
            <w:r>
              <w:rPr>
                <w:rFonts w:ascii="Times New Roman" w:cs="Times New Roman" w:eastAsia="Times New Roman" w:hAnsi="Times New Roman"/>
                <w:sz w:val="18"/>
                <w:szCs w:val="18"/>
                <w:color w:val="auto"/>
              </w:rPr>
              <w:t>733,918</w:t>
            </w:r>
          </w:p>
        </w:tc>
      </w:tr>
      <w:tr>
        <w:trPr>
          <w:trHeight w:val="20"/>
        </w:trPr>
        <w:tc>
          <w:tcPr>
            <w:tcW w:w="210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right w:val="single" w:sz="8" w:color="auto"/>
            </w:tcBorders>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right w:val="single" w:sz="8" w:color="auto"/>
            </w:tcBorders>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DBDBDB"/>
              <w:right w:val="single" w:sz="8" w:color="auto"/>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DBDBDB"/>
              <w:right w:val="single" w:sz="8" w:color="auto"/>
            </w:tcBorders>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DBDBDB"/>
              <w:right w:val="single" w:sz="8" w:color="auto"/>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right w:val="single" w:sz="8" w:color="auto"/>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DBDBDB"/>
            </w:tcBorders>
          </w:tcPr>
          <w:p>
            <w:pPr>
              <w:spacing w:after="0" w:line="20" w:lineRule="exact"/>
              <w:rPr>
                <w:sz w:val="1"/>
                <w:szCs w:val="1"/>
                <w:color w:val="auto"/>
              </w:rPr>
            </w:pPr>
          </w:p>
        </w:tc>
        <w:tc>
          <w:tcPr>
            <w:tcW w:w="60" w:type="dxa"/>
            <w:vAlign w:val="bottom"/>
            <w:tcBorders>
              <w:top w:val="single" w:sz="8" w:color="DBDBDB"/>
            </w:tcBorders>
          </w:tcPr>
          <w:p>
            <w:pPr>
              <w:spacing w:after="0" w:line="20" w:lineRule="exact"/>
              <w:rPr>
                <w:sz w:val="1"/>
                <w:szCs w:val="1"/>
                <w:color w:val="auto"/>
              </w:rPr>
            </w:pPr>
          </w:p>
        </w:tc>
        <w:tc>
          <w:tcPr>
            <w:tcW w:w="80" w:type="dxa"/>
            <w:vAlign w:val="bottom"/>
            <w:tcBorders>
              <w:top w:val="single" w:sz="8" w:color="DBDBDB"/>
              <w:right w:val="single" w:sz="8" w:color="auto"/>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80" w:type="dxa"/>
            <w:vAlign w:val="bottom"/>
            <w:tcBorders>
              <w:top w:val="single" w:sz="8" w:color="DBDBDB"/>
              <w:right w:val="single" w:sz="8" w:color="auto"/>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r>
    </w:tbl>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F-6</w:t>
      </w:r>
    </w:p>
    <w:p>
      <w:pPr>
        <w:sectPr>
          <w:pgSz w:w="11880" w:h="15480" w:orient="portrait"/>
          <w:cols w:equalWidth="0" w:num="1">
            <w:col w:w="10600"/>
          </w:cols>
          <w:pgMar w:left="640" w:top="443" w:right="640" w:bottom="0" w:gutter="0" w:footer="0" w:header="0"/>
        </w:sectPr>
      </w:pPr>
    </w:p>
    <w:bookmarkStart w:id="66" w:name="page67"/>
    <w:bookmarkEnd w:id="66"/>
    <w:p>
      <w:pPr>
        <w:ind w:left="3380"/>
        <w:spacing w:after="0"/>
        <w:rPr>
          <w:sz w:val="20"/>
          <w:szCs w:val="20"/>
          <w:color w:val="auto"/>
        </w:rPr>
      </w:pPr>
      <w:r>
        <w:rPr>
          <w:rFonts w:ascii="Times New Roman" w:cs="Times New Roman" w:eastAsia="Times New Roman" w:hAnsi="Times New Roman"/>
          <w:sz w:val="20"/>
          <w:szCs w:val="20"/>
          <w:b w:val="1"/>
          <w:bCs w:val="1"/>
          <w:color w:val="auto"/>
        </w:rPr>
        <w:t>Applied Optoelectronics, Inc. and Subsidiaries</w:t>
      </w:r>
    </w:p>
    <w:p>
      <w:pPr>
        <w:spacing w:after="0" w:line="1"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ind w:left="4680"/>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r>
      <w:tr>
        <w:trPr>
          <w:trHeight w:val="182"/>
        </w:trPr>
        <w:tc>
          <w:tcPr>
            <w:tcW w:w="5900" w:type="dxa"/>
            <w:vAlign w:val="bottom"/>
            <w:tcBorders>
              <w:bottom w:val="single" w:sz="8" w:color="DBDBDB"/>
            </w:tcBorders>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461"/>
              <w:spacing w:after="0" w:line="182" w:lineRule="exact"/>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Borders>
              <w:bottom w:val="single" w:sz="8" w:color="DBDBDB"/>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461"/>
              <w:spacing w:after="0" w:line="182" w:lineRule="exact"/>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Borders>
              <w:bottom w:val="single" w:sz="8" w:color="DBDBDB"/>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461"/>
              <w:spacing w:after="0" w:line="182" w:lineRule="exact"/>
              <w:rPr>
                <w:sz w:val="20"/>
                <w:szCs w:val="20"/>
                <w:color w:val="auto"/>
              </w:rPr>
            </w:pPr>
            <w:r>
              <w:rPr>
                <w:rFonts w:ascii="Times New Roman" w:cs="Times New Roman" w:eastAsia="Times New Roman" w:hAnsi="Times New Roman"/>
                <w:sz w:val="16"/>
                <w:szCs w:val="16"/>
                <w:b w:val="1"/>
                <w:bCs w:val="1"/>
                <w:color w:val="auto"/>
              </w:rPr>
              <w:t>2023</w:t>
            </w:r>
          </w:p>
        </w:tc>
      </w:tr>
      <w:tr>
        <w:trPr>
          <w:trHeight w:val="180"/>
        </w:trPr>
        <w:tc>
          <w:tcPr>
            <w:tcW w:w="5900" w:type="dxa"/>
            <w:vAlign w:val="bottom"/>
            <w:shd w:val="clear" w:color="auto" w:fill="DBDBDB"/>
          </w:tcPr>
          <w:p>
            <w:pPr>
              <w:ind w:left="20"/>
              <w:spacing w:after="0" w:line="175" w:lineRule="exact"/>
              <w:rPr>
                <w:sz w:val="20"/>
                <w:szCs w:val="20"/>
                <w:color w:val="auto"/>
              </w:rPr>
            </w:pPr>
            <w:r>
              <w:rPr>
                <w:rFonts w:ascii="Times New Roman" w:cs="Times New Roman" w:eastAsia="Times New Roman" w:hAnsi="Times New Roman"/>
                <w:sz w:val="16"/>
                <w:szCs w:val="16"/>
                <w:color w:val="auto"/>
              </w:rPr>
              <w:t>Operating activities:</w:t>
            </w:r>
          </w:p>
        </w:tc>
        <w:tc>
          <w:tcPr>
            <w:tcW w:w="10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30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30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300" w:type="dxa"/>
            <w:vAlign w:val="bottom"/>
            <w:shd w:val="clear" w:color="auto" w:fill="DBDBDB"/>
          </w:tcPr>
          <w:p>
            <w:pPr>
              <w:spacing w:after="0"/>
              <w:rPr>
                <w:sz w:val="15"/>
                <w:szCs w:val="15"/>
                <w:color w:val="auto"/>
              </w:rPr>
            </w:pPr>
          </w:p>
        </w:tc>
      </w:tr>
      <w:tr>
        <w:trPr>
          <w:trHeight w:val="191"/>
        </w:trPr>
        <w:tc>
          <w:tcPr>
            <w:tcW w:w="60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(38,228)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(186,733)</w:t>
            </w:r>
          </w:p>
        </w:tc>
        <w:tc>
          <w:tcPr>
            <w:tcW w:w="200" w:type="dxa"/>
            <w:vAlign w:val="bottom"/>
          </w:tcPr>
          <w:p>
            <w:pPr>
              <w:spacing w:after="0"/>
              <w:rPr>
                <w:sz w:val="16"/>
                <w:szCs w:val="16"/>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(56,048)</w:t>
            </w:r>
          </w:p>
        </w:tc>
      </w:tr>
      <w:tr>
        <w:trPr>
          <w:trHeight w:val="188"/>
        </w:trPr>
        <w:tc>
          <w:tcPr>
            <w:tcW w:w="590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16"/>
                <w:szCs w:val="16"/>
                <w:color w:val="auto"/>
                <w:w w:val="99"/>
              </w:rPr>
              <w:t>Adjustments to reconcile net loss to net cash provided by (used in) operating activities:</w:t>
            </w:r>
          </w:p>
        </w:tc>
        <w:tc>
          <w:tcPr>
            <w:tcW w:w="1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30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30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300" w:type="dxa"/>
            <w:vAlign w:val="bottom"/>
            <w:shd w:val="clear" w:color="auto" w:fill="DBDBDB"/>
          </w:tcPr>
          <w:p>
            <w:pPr>
              <w:spacing w:after="0"/>
              <w:rPr>
                <w:sz w:val="16"/>
                <w:szCs w:val="16"/>
                <w:color w:val="auto"/>
              </w:rPr>
            </w:pPr>
          </w:p>
        </w:tc>
      </w:tr>
      <w:tr>
        <w:trPr>
          <w:trHeight w:val="191"/>
        </w:trPr>
        <w:tc>
          <w:tcPr>
            <w:tcW w:w="60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191"/>
        </w:trPr>
        <w:tc>
          <w:tcPr>
            <w:tcW w:w="590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16"/>
                <w:szCs w:val="16"/>
                <w:color w:val="auto"/>
              </w:rPr>
              <w:t>Inventory reserve adjustment</w:t>
            </w:r>
          </w:p>
        </w:tc>
        <w:tc>
          <w:tcPr>
            <w:tcW w:w="1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3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7,799</w:t>
            </w:r>
          </w:p>
        </w:tc>
        <w:tc>
          <w:tcPr>
            <w:tcW w:w="2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3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3,434</w:t>
            </w:r>
          </w:p>
        </w:tc>
        <w:tc>
          <w:tcPr>
            <w:tcW w:w="20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3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8,728</w:t>
            </w:r>
          </w:p>
        </w:tc>
      </w:tr>
      <w:tr>
        <w:trPr>
          <w:trHeight w:val="191"/>
        </w:trPr>
        <w:tc>
          <w:tcPr>
            <w:tcW w:w="60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27,696</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20,649</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20,427</w:t>
            </w:r>
          </w:p>
        </w:tc>
      </w:tr>
      <w:tr>
        <w:trPr>
          <w:trHeight w:val="191"/>
        </w:trPr>
        <w:tc>
          <w:tcPr>
            <w:tcW w:w="590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16"/>
                <w:szCs w:val="16"/>
                <w:color w:val="auto"/>
              </w:rPr>
              <w:t>Amortization of debt issuance cost and premium</w:t>
            </w:r>
          </w:p>
        </w:tc>
        <w:tc>
          <w:tcPr>
            <w:tcW w:w="1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3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(1,022)</w:t>
            </w:r>
          </w:p>
        </w:tc>
        <w:tc>
          <w:tcPr>
            <w:tcW w:w="2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3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1,430</w:t>
            </w:r>
          </w:p>
        </w:tc>
        <w:tc>
          <w:tcPr>
            <w:tcW w:w="20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3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2,308</w:t>
            </w:r>
          </w:p>
        </w:tc>
      </w:tr>
      <w:tr>
        <w:trPr>
          <w:trHeight w:val="191"/>
        </w:trPr>
        <w:tc>
          <w:tcPr>
            <w:tcW w:w="60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Gain on disposal of assets</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188"/>
        </w:trPr>
        <w:tc>
          <w:tcPr>
            <w:tcW w:w="590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16"/>
                <w:szCs w:val="16"/>
                <w:color w:val="auto"/>
              </w:rPr>
              <w:t>Share-based compensation</w:t>
            </w:r>
          </w:p>
        </w:tc>
        <w:tc>
          <w:tcPr>
            <w:tcW w:w="1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3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11,710</w:t>
            </w:r>
          </w:p>
        </w:tc>
        <w:tc>
          <w:tcPr>
            <w:tcW w:w="2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3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14,790</w:t>
            </w:r>
          </w:p>
        </w:tc>
        <w:tc>
          <w:tcPr>
            <w:tcW w:w="20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3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11,884</w:t>
            </w:r>
          </w:p>
        </w:tc>
      </w:tr>
      <w:tr>
        <w:trPr>
          <w:trHeight w:val="191"/>
        </w:trPr>
        <w:tc>
          <w:tcPr>
            <w:tcW w:w="60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Deferred income tax</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(7,575)</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1"/>
        </w:trPr>
        <w:tc>
          <w:tcPr>
            <w:tcW w:w="590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16"/>
                <w:szCs w:val="16"/>
                <w:color w:val="auto"/>
              </w:rPr>
              <w:t>Loss on debt extinguishment</w:t>
            </w:r>
          </w:p>
        </w:tc>
        <w:tc>
          <w:tcPr>
            <w:tcW w:w="1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3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3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111,962</w:t>
            </w:r>
          </w:p>
        </w:tc>
        <w:tc>
          <w:tcPr>
            <w:tcW w:w="20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3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1"/>
        </w:trPr>
        <w:tc>
          <w:tcPr>
            <w:tcW w:w="60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Warrants contra revenue</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823</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1"/>
        </w:trPr>
        <w:tc>
          <w:tcPr>
            <w:tcW w:w="590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16"/>
                <w:szCs w:val="16"/>
                <w:color w:val="auto"/>
              </w:rPr>
              <w:t>Unrealized foreign exchange loss (gain)</w:t>
            </w:r>
          </w:p>
        </w:tc>
        <w:tc>
          <w:tcPr>
            <w:tcW w:w="1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3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2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3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689</w:t>
            </w:r>
          </w:p>
        </w:tc>
        <w:tc>
          <w:tcPr>
            <w:tcW w:w="20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3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(1,313)</w:t>
            </w:r>
          </w:p>
        </w:tc>
      </w:tr>
      <w:tr>
        <w:trPr>
          <w:trHeight w:val="191"/>
        </w:trPr>
        <w:tc>
          <w:tcPr>
            <w:tcW w:w="60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8"/>
        </w:trPr>
        <w:tc>
          <w:tcPr>
            <w:tcW w:w="590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16"/>
                <w:szCs w:val="16"/>
                <w:color w:val="auto"/>
              </w:rPr>
              <w:t>Accounts receivable, trade</w:t>
            </w:r>
          </w:p>
        </w:tc>
        <w:tc>
          <w:tcPr>
            <w:tcW w:w="1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3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(127,597)</w:t>
            </w:r>
          </w:p>
        </w:tc>
        <w:tc>
          <w:tcPr>
            <w:tcW w:w="2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3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(68,512)</w:t>
            </w:r>
          </w:p>
        </w:tc>
        <w:tc>
          <w:tcPr>
            <w:tcW w:w="20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3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13,208</w:t>
            </w:r>
          </w:p>
        </w:tc>
      </w:tr>
      <w:tr>
        <w:trPr>
          <w:trHeight w:val="191"/>
        </w:trPr>
        <w:tc>
          <w:tcPr>
            <w:tcW w:w="60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Inventories</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(100,722)</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(29,412)</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6,790</w:t>
            </w:r>
          </w:p>
        </w:tc>
      </w:tr>
      <w:tr>
        <w:trPr>
          <w:trHeight w:val="191"/>
        </w:trPr>
        <w:tc>
          <w:tcPr>
            <w:tcW w:w="590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16"/>
                <w:szCs w:val="16"/>
                <w:color w:val="auto"/>
              </w:rPr>
              <w:t>Other current assets</w:t>
            </w:r>
          </w:p>
        </w:tc>
        <w:tc>
          <w:tcPr>
            <w:tcW w:w="1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3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(13,525)</w:t>
            </w:r>
          </w:p>
        </w:tc>
        <w:tc>
          <w:tcPr>
            <w:tcW w:w="2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3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(12,032)</w:t>
            </w:r>
          </w:p>
        </w:tc>
        <w:tc>
          <w:tcPr>
            <w:tcW w:w="20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3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1,008</w:t>
            </w:r>
          </w:p>
        </w:tc>
      </w:tr>
      <w:tr>
        <w:trPr>
          <w:trHeight w:val="191"/>
        </w:trPr>
        <w:tc>
          <w:tcPr>
            <w:tcW w:w="60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Operating right of use asset</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(40,900)</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(5,027)</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w:t>
            </w:r>
          </w:p>
        </w:tc>
      </w:tr>
      <w:tr>
        <w:trPr>
          <w:trHeight w:val="191"/>
        </w:trPr>
        <w:tc>
          <w:tcPr>
            <w:tcW w:w="590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16"/>
                <w:szCs w:val="16"/>
                <w:color w:val="auto"/>
              </w:rPr>
              <w:t>Accounts payable</w:t>
            </w:r>
          </w:p>
        </w:tc>
        <w:tc>
          <w:tcPr>
            <w:tcW w:w="1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3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38,963</w:t>
            </w:r>
          </w:p>
        </w:tc>
        <w:tc>
          <w:tcPr>
            <w:tcW w:w="2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3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72,076</w:t>
            </w:r>
          </w:p>
        </w:tc>
        <w:tc>
          <w:tcPr>
            <w:tcW w:w="20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3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(14,953)</w:t>
            </w:r>
          </w:p>
        </w:tc>
      </w:tr>
      <w:tr>
        <w:trPr>
          <w:trHeight w:val="188"/>
        </w:trPr>
        <w:tc>
          <w:tcPr>
            <w:tcW w:w="60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Accrued liabilities</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26,511</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3,827</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1,332</w:t>
            </w:r>
          </w:p>
        </w:tc>
      </w:tr>
      <w:tr>
        <w:trPr>
          <w:trHeight w:val="191"/>
        </w:trPr>
        <w:tc>
          <w:tcPr>
            <w:tcW w:w="590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16"/>
                <w:szCs w:val="16"/>
                <w:color w:val="auto"/>
              </w:rPr>
              <w:t>Unearned Revenue</w:t>
            </w:r>
          </w:p>
        </w:tc>
        <w:tc>
          <w:tcPr>
            <w:tcW w:w="1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3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3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(1,803)</w:t>
            </w:r>
          </w:p>
        </w:tc>
        <w:tc>
          <w:tcPr>
            <w:tcW w:w="20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3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(1,197)</w:t>
            </w:r>
          </w:p>
        </w:tc>
      </w:tr>
      <w:tr>
        <w:trPr>
          <w:trHeight w:val="193"/>
        </w:trPr>
        <w:tc>
          <w:tcPr>
            <w:tcW w:w="6000" w:type="dxa"/>
            <w:vAlign w:val="bottom"/>
            <w:tcBorders>
              <w:bottom w:val="single" w:sz="8" w:color="DBDBDB"/>
            </w:tcBorders>
            <w:gridSpan w:val="2"/>
          </w:tcPr>
          <w:p>
            <w:pPr>
              <w:ind w:left="360"/>
              <w:spacing w:after="0"/>
              <w:rPr>
                <w:sz w:val="20"/>
                <w:szCs w:val="20"/>
                <w:color w:val="auto"/>
              </w:rPr>
            </w:pPr>
            <w:r>
              <w:rPr>
                <w:rFonts w:ascii="Times New Roman" w:cs="Times New Roman" w:eastAsia="Times New Roman" w:hAnsi="Times New Roman"/>
                <w:sz w:val="16"/>
                <w:szCs w:val="16"/>
                <w:color w:val="auto"/>
              </w:rPr>
              <w:t>Lease liability</w:t>
            </w: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41,325</w:t>
            </w:r>
          </w:p>
        </w:tc>
        <w:tc>
          <w:tcPr>
            <w:tcW w:w="200" w:type="dxa"/>
            <w:vAlign w:val="bottom"/>
            <w:tcBorders>
              <w:bottom w:val="single" w:sz="8" w:color="DBDBDB"/>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5,006</w:t>
            </w:r>
          </w:p>
        </w:tc>
        <w:tc>
          <w:tcPr>
            <w:tcW w:w="200" w:type="dxa"/>
            <w:vAlign w:val="bottom"/>
            <w:tcBorders>
              <w:bottom w:val="single" w:sz="8" w:color="DBDBDB"/>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(660)</w:t>
            </w:r>
          </w:p>
        </w:tc>
      </w:tr>
      <w:tr>
        <w:trPr>
          <w:trHeight w:val="200"/>
        </w:trPr>
        <w:tc>
          <w:tcPr>
            <w:tcW w:w="5900" w:type="dxa"/>
            <w:vAlign w:val="bottom"/>
            <w:tcBorders>
              <w:bottom w:val="single" w:sz="8" w:color="DBDBDB"/>
            </w:tcBorders>
            <w:shd w:val="clear" w:color="auto" w:fill="DBDBDB"/>
          </w:tcPr>
          <w:p>
            <w:pPr>
              <w:ind w:left="20"/>
              <w:spacing w:after="0" w:line="180" w:lineRule="exact"/>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100" w:type="dxa"/>
            <w:vAlign w:val="bottom"/>
            <w:tcBorders>
              <w:bottom w:val="single" w:sz="8" w:color="DBDBDB"/>
            </w:tcBorders>
            <w:shd w:val="clear" w:color="auto" w:fill="DBDBDB"/>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1300" w:type="dxa"/>
            <w:vAlign w:val="bottom"/>
            <w:tcBorders>
              <w:bottom w:val="single" w:sz="8" w:color="auto"/>
            </w:tcBorders>
            <w:shd w:val="clear" w:color="auto" w:fill="DBDBDB"/>
          </w:tcPr>
          <w:p>
            <w:pPr>
              <w:jc w:val="right"/>
              <w:spacing w:after="0" w:line="180" w:lineRule="exact"/>
              <w:rPr>
                <w:sz w:val="20"/>
                <w:szCs w:val="20"/>
                <w:color w:val="auto"/>
              </w:rPr>
            </w:pPr>
            <w:r>
              <w:rPr>
                <w:rFonts w:ascii="Times New Roman" w:cs="Times New Roman" w:eastAsia="Times New Roman" w:hAnsi="Times New Roman"/>
                <w:sz w:val="16"/>
                <w:szCs w:val="16"/>
                <w:color w:val="auto"/>
              </w:rPr>
              <w:t>(174,428)</w:t>
            </w:r>
          </w:p>
        </w:tc>
        <w:tc>
          <w:tcPr>
            <w:tcW w:w="200" w:type="dxa"/>
            <w:vAlign w:val="bottom"/>
            <w:tcBorders>
              <w:bottom w:val="single" w:sz="8" w:color="DBDBDB"/>
            </w:tcBorders>
            <w:shd w:val="clear" w:color="auto" w:fill="DBDBDB"/>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1300" w:type="dxa"/>
            <w:vAlign w:val="bottom"/>
            <w:tcBorders>
              <w:bottom w:val="single" w:sz="8" w:color="auto"/>
            </w:tcBorders>
            <w:shd w:val="clear" w:color="auto" w:fill="DBDBDB"/>
          </w:tcPr>
          <w:p>
            <w:pPr>
              <w:jc w:val="right"/>
              <w:spacing w:after="0" w:line="180" w:lineRule="exact"/>
              <w:rPr>
                <w:sz w:val="20"/>
                <w:szCs w:val="20"/>
                <w:color w:val="auto"/>
              </w:rPr>
            </w:pPr>
            <w:r>
              <w:rPr>
                <w:rFonts w:ascii="Times New Roman" w:cs="Times New Roman" w:eastAsia="Times New Roman" w:hAnsi="Times New Roman"/>
                <w:sz w:val="16"/>
                <w:szCs w:val="16"/>
                <w:color w:val="auto"/>
              </w:rPr>
              <w:t>(69,526)</w:t>
            </w:r>
          </w:p>
        </w:tc>
        <w:tc>
          <w:tcPr>
            <w:tcW w:w="200" w:type="dxa"/>
            <w:vAlign w:val="bottom"/>
            <w:tcBorders>
              <w:bottom w:val="single" w:sz="8" w:color="DBDBDB"/>
            </w:tcBorders>
            <w:shd w:val="clear" w:color="auto" w:fill="DBDBDB"/>
          </w:tcPr>
          <w:p>
            <w:pPr>
              <w:spacing w:after="0"/>
              <w:rPr>
                <w:sz w:val="17"/>
                <w:szCs w:val="17"/>
                <w:color w:val="auto"/>
              </w:rPr>
            </w:pPr>
          </w:p>
        </w:tc>
        <w:tc>
          <w:tcPr>
            <w:tcW w:w="20" w:type="dxa"/>
            <w:vAlign w:val="bottom"/>
            <w:tcBorders>
              <w:bottom w:val="single" w:sz="8" w:color="auto"/>
            </w:tcBorders>
            <w:shd w:val="clear" w:color="auto" w:fill="DBDBDB"/>
          </w:tcPr>
          <w:p>
            <w:pPr>
              <w:spacing w:after="0"/>
              <w:rPr>
                <w:sz w:val="17"/>
                <w:szCs w:val="17"/>
                <w:color w:val="auto"/>
              </w:rPr>
            </w:pPr>
          </w:p>
        </w:tc>
        <w:tc>
          <w:tcPr>
            <w:tcW w:w="80" w:type="dxa"/>
            <w:vAlign w:val="bottom"/>
            <w:tcBorders>
              <w:bottom w:val="single" w:sz="8" w:color="auto"/>
            </w:tcBorders>
            <w:shd w:val="clear" w:color="auto" w:fill="DBDBDB"/>
          </w:tcPr>
          <w:p>
            <w:pPr>
              <w:spacing w:after="0"/>
              <w:rPr>
                <w:sz w:val="17"/>
                <w:szCs w:val="17"/>
                <w:color w:val="auto"/>
              </w:rPr>
            </w:pPr>
          </w:p>
        </w:tc>
        <w:tc>
          <w:tcPr>
            <w:tcW w:w="1300" w:type="dxa"/>
            <w:vAlign w:val="bottom"/>
            <w:tcBorders>
              <w:bottom w:val="single" w:sz="8" w:color="auto"/>
            </w:tcBorders>
            <w:shd w:val="clear" w:color="auto" w:fill="DBDBDB"/>
          </w:tcPr>
          <w:p>
            <w:pPr>
              <w:jc w:val="right"/>
              <w:spacing w:after="0" w:line="180" w:lineRule="exact"/>
              <w:rPr>
                <w:sz w:val="20"/>
                <w:szCs w:val="20"/>
                <w:color w:val="auto"/>
              </w:rPr>
            </w:pPr>
            <w:r>
              <w:rPr>
                <w:rFonts w:ascii="Times New Roman" w:cs="Times New Roman" w:eastAsia="Times New Roman" w:hAnsi="Times New Roman"/>
                <w:sz w:val="16"/>
                <w:szCs w:val="16"/>
                <w:color w:val="auto"/>
              </w:rPr>
              <w:t>(7,929)</w:t>
            </w:r>
          </w:p>
        </w:tc>
      </w:tr>
      <w:tr>
        <w:trPr>
          <w:trHeight w:val="165"/>
        </w:trPr>
        <w:tc>
          <w:tcPr>
            <w:tcW w:w="5900" w:type="dxa"/>
            <w:vAlign w:val="bottom"/>
          </w:tcPr>
          <w:p>
            <w:pPr>
              <w:ind w:left="20"/>
              <w:spacing w:after="0" w:line="165" w:lineRule="exact"/>
              <w:rPr>
                <w:sz w:val="20"/>
                <w:szCs w:val="20"/>
                <w:color w:val="auto"/>
              </w:rPr>
            </w:pPr>
            <w:r>
              <w:rPr>
                <w:rFonts w:ascii="Times New Roman" w:cs="Times New Roman" w:eastAsia="Times New Roman" w:hAnsi="Times New Roman"/>
                <w:sz w:val="16"/>
                <w:szCs w:val="16"/>
                <w:color w:val="auto"/>
              </w:rPr>
              <w:t>Investing activities: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88"/>
        </w:trPr>
        <w:tc>
          <w:tcPr>
            <w:tcW w:w="5900" w:type="dxa"/>
            <w:vAlign w:val="bottom"/>
            <w:shd w:val="clear" w:color="auto" w:fill="DBDBDB"/>
          </w:tcPr>
          <w:p>
            <w:pPr>
              <w:ind w:left="180"/>
              <w:spacing w:after="0"/>
              <w:rPr>
                <w:sz w:val="20"/>
                <w:szCs w:val="20"/>
                <w:color w:val="auto"/>
              </w:rPr>
            </w:pPr>
            <w:r>
              <w:rPr>
                <w:rFonts w:ascii="Times New Roman" w:cs="Times New Roman" w:eastAsia="Times New Roman" w:hAnsi="Times New Roman"/>
                <w:sz w:val="16"/>
                <w:szCs w:val="16"/>
                <w:color w:val="auto"/>
              </w:rPr>
              <w:t>Purchase of property, plant and equipment</w:t>
            </w:r>
          </w:p>
        </w:tc>
        <w:tc>
          <w:tcPr>
            <w:tcW w:w="1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3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(179,148)</w:t>
            </w:r>
          </w:p>
        </w:tc>
        <w:tc>
          <w:tcPr>
            <w:tcW w:w="2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3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(43,406)</w:t>
            </w:r>
          </w:p>
        </w:tc>
        <w:tc>
          <w:tcPr>
            <w:tcW w:w="20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3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(9,079)</w:t>
            </w:r>
          </w:p>
        </w:tc>
      </w:tr>
      <w:tr>
        <w:trPr>
          <w:trHeight w:val="191"/>
        </w:trPr>
        <w:tc>
          <w:tcPr>
            <w:tcW w:w="60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Proceeds from disposal of equipment</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r>
      <w:tr>
        <w:trPr>
          <w:trHeight w:val="191"/>
        </w:trPr>
        <w:tc>
          <w:tcPr>
            <w:tcW w:w="5900" w:type="dxa"/>
            <w:vAlign w:val="bottom"/>
            <w:shd w:val="clear" w:color="auto" w:fill="DBDBDB"/>
          </w:tcPr>
          <w:p>
            <w:pPr>
              <w:ind w:left="180"/>
              <w:spacing w:after="0"/>
              <w:rPr>
                <w:sz w:val="20"/>
                <w:szCs w:val="20"/>
                <w:color w:val="auto"/>
              </w:rPr>
            </w:pPr>
            <w:r>
              <w:rPr>
                <w:rFonts w:ascii="Times New Roman" w:cs="Times New Roman" w:eastAsia="Times New Roman" w:hAnsi="Times New Roman"/>
                <w:sz w:val="16"/>
                <w:szCs w:val="16"/>
                <w:color w:val="auto"/>
              </w:rPr>
              <w:t>Deposits and prepayment for equipment</w:t>
            </w:r>
          </w:p>
        </w:tc>
        <w:tc>
          <w:tcPr>
            <w:tcW w:w="1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3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(31,082)</w:t>
            </w:r>
          </w:p>
        </w:tc>
        <w:tc>
          <w:tcPr>
            <w:tcW w:w="2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3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(6,792)</w:t>
            </w:r>
          </w:p>
        </w:tc>
        <w:tc>
          <w:tcPr>
            <w:tcW w:w="20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3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(5,229)</w:t>
            </w:r>
          </w:p>
        </w:tc>
      </w:tr>
      <w:tr>
        <w:trPr>
          <w:trHeight w:val="193"/>
        </w:trPr>
        <w:tc>
          <w:tcPr>
            <w:tcW w:w="6000" w:type="dxa"/>
            <w:vAlign w:val="bottom"/>
            <w:tcBorders>
              <w:bottom w:val="single" w:sz="8" w:color="DBDBDB"/>
            </w:tcBorders>
            <w:gridSpan w:val="2"/>
          </w:tcPr>
          <w:p>
            <w:pPr>
              <w:ind w:left="180"/>
              <w:spacing w:after="0"/>
              <w:rPr>
                <w:sz w:val="20"/>
                <w:szCs w:val="20"/>
                <w:color w:val="auto"/>
              </w:rPr>
            </w:pPr>
            <w:r>
              <w:rPr>
                <w:rFonts w:ascii="Times New Roman" w:cs="Times New Roman" w:eastAsia="Times New Roman" w:hAnsi="Times New Roman"/>
                <w:sz w:val="16"/>
                <w:szCs w:val="16"/>
                <w:color w:val="auto"/>
              </w:rPr>
              <w:t>Purchase of intangible assets</w:t>
            </w: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200" w:type="dxa"/>
            <w:vAlign w:val="bottom"/>
            <w:tcBorders>
              <w:bottom w:val="single" w:sz="8" w:color="DBDBDB"/>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200" w:type="dxa"/>
            <w:vAlign w:val="bottom"/>
            <w:tcBorders>
              <w:bottom w:val="single" w:sz="8" w:color="DBDBDB"/>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(588)</w:t>
            </w:r>
          </w:p>
        </w:tc>
      </w:tr>
      <w:tr>
        <w:trPr>
          <w:trHeight w:val="193"/>
        </w:trPr>
        <w:tc>
          <w:tcPr>
            <w:tcW w:w="5900" w:type="dxa"/>
            <w:vAlign w:val="bottom"/>
            <w:tcBorders>
              <w:bottom w:val="single" w:sz="8" w:color="DBDBDB"/>
            </w:tcBorders>
            <w:shd w:val="clear" w:color="auto" w:fill="DBDBDB"/>
          </w:tcPr>
          <w:p>
            <w:pPr>
              <w:ind w:left="20"/>
              <w:spacing w:after="0" w:line="173" w:lineRule="exact"/>
              <w:rPr>
                <w:sz w:val="20"/>
                <w:szCs w:val="20"/>
                <w:color w:val="auto"/>
              </w:rPr>
            </w:pPr>
            <w:r>
              <w:rPr>
                <w:rFonts w:ascii="Times New Roman" w:cs="Times New Roman" w:eastAsia="Times New Roman" w:hAnsi="Times New Roman"/>
                <w:sz w:val="16"/>
                <w:szCs w:val="16"/>
                <w:color w:val="auto"/>
              </w:rPr>
              <w:t>Net cash used in investing activities</w:t>
            </w:r>
          </w:p>
        </w:tc>
        <w:tc>
          <w:tcPr>
            <w:tcW w:w="100" w:type="dxa"/>
            <w:vAlign w:val="bottom"/>
            <w:tcBorders>
              <w:bottom w:val="single" w:sz="8" w:color="DBDBDB"/>
            </w:tcBorders>
            <w:shd w:val="clear" w:color="auto" w:fill="DBDBDB"/>
          </w:tcPr>
          <w:p>
            <w:pPr>
              <w:spacing w:after="0"/>
              <w:rPr>
                <w:sz w:val="16"/>
                <w:szCs w:val="16"/>
                <w:color w:val="auto"/>
              </w:rPr>
            </w:pPr>
          </w:p>
        </w:tc>
        <w:tc>
          <w:tcPr>
            <w:tcW w:w="100" w:type="dxa"/>
            <w:vAlign w:val="bottom"/>
            <w:tcBorders>
              <w:bottom w:val="single" w:sz="8" w:color="auto"/>
            </w:tcBorders>
            <w:shd w:val="clear" w:color="auto" w:fill="DBDBDB"/>
          </w:tcPr>
          <w:p>
            <w:pPr>
              <w:spacing w:after="0"/>
              <w:rPr>
                <w:sz w:val="16"/>
                <w:szCs w:val="16"/>
                <w:color w:val="auto"/>
              </w:rPr>
            </w:pPr>
          </w:p>
        </w:tc>
        <w:tc>
          <w:tcPr>
            <w:tcW w:w="1300" w:type="dxa"/>
            <w:vAlign w:val="bottom"/>
            <w:tcBorders>
              <w:bottom w:val="single" w:sz="8" w:color="auto"/>
            </w:tcBorders>
            <w:shd w:val="clear" w:color="auto" w:fill="DBDBDB"/>
          </w:tcPr>
          <w:p>
            <w:pPr>
              <w:jc w:val="right"/>
              <w:spacing w:after="0" w:line="173" w:lineRule="exact"/>
              <w:rPr>
                <w:sz w:val="20"/>
                <w:szCs w:val="20"/>
                <w:color w:val="auto"/>
              </w:rPr>
            </w:pPr>
            <w:r>
              <w:rPr>
                <w:rFonts w:ascii="Times New Roman" w:cs="Times New Roman" w:eastAsia="Times New Roman" w:hAnsi="Times New Roman"/>
                <w:sz w:val="16"/>
                <w:szCs w:val="16"/>
                <w:color w:val="auto"/>
              </w:rPr>
              <w:t>(210,604)</w:t>
            </w:r>
          </w:p>
        </w:tc>
        <w:tc>
          <w:tcPr>
            <w:tcW w:w="200" w:type="dxa"/>
            <w:vAlign w:val="bottom"/>
            <w:tcBorders>
              <w:bottom w:val="single" w:sz="8" w:color="DBDBDB"/>
            </w:tcBorders>
            <w:shd w:val="clear" w:color="auto" w:fill="DBDBDB"/>
          </w:tcPr>
          <w:p>
            <w:pPr>
              <w:spacing w:after="0"/>
              <w:rPr>
                <w:sz w:val="16"/>
                <w:szCs w:val="16"/>
                <w:color w:val="auto"/>
              </w:rPr>
            </w:pPr>
          </w:p>
        </w:tc>
        <w:tc>
          <w:tcPr>
            <w:tcW w:w="100" w:type="dxa"/>
            <w:vAlign w:val="bottom"/>
            <w:tcBorders>
              <w:bottom w:val="single" w:sz="8" w:color="auto"/>
            </w:tcBorders>
            <w:shd w:val="clear" w:color="auto" w:fill="DBDBDB"/>
          </w:tcPr>
          <w:p>
            <w:pPr>
              <w:spacing w:after="0"/>
              <w:rPr>
                <w:sz w:val="16"/>
                <w:szCs w:val="16"/>
                <w:color w:val="auto"/>
              </w:rPr>
            </w:pPr>
          </w:p>
        </w:tc>
        <w:tc>
          <w:tcPr>
            <w:tcW w:w="1300" w:type="dxa"/>
            <w:vAlign w:val="bottom"/>
            <w:tcBorders>
              <w:bottom w:val="single" w:sz="8" w:color="auto"/>
            </w:tcBorders>
            <w:shd w:val="clear" w:color="auto" w:fill="DBDBDB"/>
          </w:tcPr>
          <w:p>
            <w:pPr>
              <w:jc w:val="right"/>
              <w:spacing w:after="0" w:line="173" w:lineRule="exact"/>
              <w:rPr>
                <w:sz w:val="20"/>
                <w:szCs w:val="20"/>
                <w:color w:val="auto"/>
              </w:rPr>
            </w:pPr>
            <w:r>
              <w:rPr>
                <w:rFonts w:ascii="Times New Roman" w:cs="Times New Roman" w:eastAsia="Times New Roman" w:hAnsi="Times New Roman"/>
                <w:sz w:val="16"/>
                <w:szCs w:val="16"/>
                <w:color w:val="auto"/>
              </w:rPr>
              <w:t>(50,697)</w:t>
            </w:r>
          </w:p>
        </w:tc>
        <w:tc>
          <w:tcPr>
            <w:tcW w:w="200" w:type="dxa"/>
            <w:vAlign w:val="bottom"/>
            <w:tcBorders>
              <w:bottom w:val="single" w:sz="8" w:color="DBDBDB"/>
            </w:tcBorders>
            <w:shd w:val="clear" w:color="auto" w:fill="DBDBDB"/>
          </w:tcPr>
          <w:p>
            <w:pPr>
              <w:spacing w:after="0"/>
              <w:rPr>
                <w:sz w:val="16"/>
                <w:szCs w:val="16"/>
                <w:color w:val="auto"/>
              </w:rPr>
            </w:pPr>
          </w:p>
        </w:tc>
        <w:tc>
          <w:tcPr>
            <w:tcW w:w="20" w:type="dxa"/>
            <w:vAlign w:val="bottom"/>
            <w:tcBorders>
              <w:bottom w:val="single" w:sz="8" w:color="auto"/>
            </w:tcBorders>
            <w:shd w:val="clear" w:color="auto" w:fill="DBDBDB"/>
          </w:tcPr>
          <w:p>
            <w:pPr>
              <w:spacing w:after="0"/>
              <w:rPr>
                <w:sz w:val="16"/>
                <w:szCs w:val="16"/>
                <w:color w:val="auto"/>
              </w:rPr>
            </w:pPr>
          </w:p>
        </w:tc>
        <w:tc>
          <w:tcPr>
            <w:tcW w:w="80" w:type="dxa"/>
            <w:vAlign w:val="bottom"/>
            <w:tcBorders>
              <w:bottom w:val="single" w:sz="8" w:color="auto"/>
            </w:tcBorders>
            <w:shd w:val="clear" w:color="auto" w:fill="DBDBDB"/>
          </w:tcPr>
          <w:p>
            <w:pPr>
              <w:spacing w:after="0"/>
              <w:rPr>
                <w:sz w:val="16"/>
                <w:szCs w:val="16"/>
                <w:color w:val="auto"/>
              </w:rPr>
            </w:pPr>
          </w:p>
        </w:tc>
        <w:tc>
          <w:tcPr>
            <w:tcW w:w="1300" w:type="dxa"/>
            <w:vAlign w:val="bottom"/>
            <w:tcBorders>
              <w:bottom w:val="single" w:sz="8" w:color="auto"/>
            </w:tcBorders>
            <w:shd w:val="clear" w:color="auto" w:fill="DBDBDB"/>
          </w:tcPr>
          <w:p>
            <w:pPr>
              <w:jc w:val="right"/>
              <w:spacing w:after="0" w:line="173" w:lineRule="exact"/>
              <w:rPr>
                <w:sz w:val="20"/>
                <w:szCs w:val="20"/>
                <w:color w:val="auto"/>
              </w:rPr>
            </w:pPr>
            <w:r>
              <w:rPr>
                <w:rFonts w:ascii="Times New Roman" w:cs="Times New Roman" w:eastAsia="Times New Roman" w:hAnsi="Times New Roman"/>
                <w:sz w:val="16"/>
                <w:szCs w:val="16"/>
                <w:color w:val="auto"/>
              </w:rPr>
              <w:t>(14,761)</w:t>
            </w:r>
          </w:p>
        </w:tc>
      </w:tr>
      <w:tr>
        <w:trPr>
          <w:trHeight w:val="169"/>
        </w:trPr>
        <w:tc>
          <w:tcPr>
            <w:tcW w:w="5900" w:type="dxa"/>
            <w:vAlign w:val="bottom"/>
          </w:tcPr>
          <w:p>
            <w:pPr>
              <w:ind w:left="20"/>
              <w:spacing w:after="0" w:line="169" w:lineRule="exact"/>
              <w:rPr>
                <w:sz w:val="20"/>
                <w:szCs w:val="20"/>
                <w:color w:val="auto"/>
              </w:rPr>
            </w:pPr>
            <w:r>
              <w:rPr>
                <w:rFonts w:ascii="Times New Roman" w:cs="Times New Roman" w:eastAsia="Times New Roman" w:hAnsi="Times New Roman"/>
                <w:sz w:val="16"/>
                <w:szCs w:val="16"/>
                <w:color w:val="auto"/>
              </w:rPr>
              <w:t>Financing activities: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91"/>
        </w:trPr>
        <w:tc>
          <w:tcPr>
            <w:tcW w:w="5900" w:type="dxa"/>
            <w:vAlign w:val="bottom"/>
            <w:shd w:val="clear" w:color="auto" w:fill="DBDBDB"/>
          </w:tcPr>
          <w:p>
            <w:pPr>
              <w:ind w:left="180"/>
              <w:spacing w:after="0"/>
              <w:rPr>
                <w:sz w:val="20"/>
                <w:szCs w:val="20"/>
                <w:color w:val="auto"/>
              </w:rPr>
            </w:pPr>
            <w:r>
              <w:rPr>
                <w:rFonts w:ascii="Times New Roman" w:cs="Times New Roman" w:eastAsia="Times New Roman" w:hAnsi="Times New Roman"/>
                <w:sz w:val="16"/>
                <w:szCs w:val="16"/>
                <w:color w:val="auto"/>
              </w:rPr>
              <w:t>Proceeds from line of credit borrowings</w:t>
            </w:r>
          </w:p>
        </w:tc>
        <w:tc>
          <w:tcPr>
            <w:tcW w:w="1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3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61,198</w:t>
            </w:r>
          </w:p>
        </w:tc>
        <w:tc>
          <w:tcPr>
            <w:tcW w:w="2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3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48,676</w:t>
            </w:r>
          </w:p>
        </w:tc>
        <w:tc>
          <w:tcPr>
            <w:tcW w:w="20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3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57,626</w:t>
            </w:r>
          </w:p>
        </w:tc>
      </w:tr>
      <w:tr>
        <w:trPr>
          <w:trHeight w:val="191"/>
        </w:trPr>
        <w:tc>
          <w:tcPr>
            <w:tcW w:w="60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Repayments of line of credit borrowings</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(55,011)</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(45,029)</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(172,005)</w:t>
            </w:r>
          </w:p>
        </w:tc>
      </w:tr>
      <w:tr>
        <w:trPr>
          <w:trHeight w:val="191"/>
        </w:trPr>
        <w:tc>
          <w:tcPr>
            <w:tcW w:w="5900" w:type="dxa"/>
            <w:vAlign w:val="bottom"/>
            <w:shd w:val="clear" w:color="auto" w:fill="DBDBDB"/>
          </w:tcPr>
          <w:p>
            <w:pPr>
              <w:ind w:left="180"/>
              <w:spacing w:after="0"/>
              <w:rPr>
                <w:sz w:val="20"/>
                <w:szCs w:val="20"/>
                <w:color w:val="auto"/>
              </w:rPr>
            </w:pPr>
            <w:r>
              <w:rPr>
                <w:rFonts w:ascii="Times New Roman" w:cs="Times New Roman" w:eastAsia="Times New Roman" w:hAnsi="Times New Roman"/>
                <w:sz w:val="16"/>
                <w:szCs w:val="16"/>
                <w:color w:val="auto"/>
              </w:rPr>
              <w:t>Proceeds from bank acceptance payable</w:t>
            </w:r>
          </w:p>
        </w:tc>
        <w:tc>
          <w:tcPr>
            <w:tcW w:w="1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3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121,407</w:t>
            </w:r>
          </w:p>
        </w:tc>
        <w:tc>
          <w:tcPr>
            <w:tcW w:w="2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3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44,152</w:t>
            </w:r>
          </w:p>
        </w:tc>
        <w:tc>
          <w:tcPr>
            <w:tcW w:w="20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3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57,057</w:t>
            </w:r>
          </w:p>
        </w:tc>
      </w:tr>
      <w:tr>
        <w:trPr>
          <w:trHeight w:val="191"/>
        </w:trPr>
        <w:tc>
          <w:tcPr>
            <w:tcW w:w="60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Repayments of bank acceptance payable</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(108,032)</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(40,168)</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(53,748)</w:t>
            </w:r>
          </w:p>
        </w:tc>
      </w:tr>
      <w:tr>
        <w:trPr>
          <w:trHeight w:val="191"/>
        </w:trPr>
        <w:tc>
          <w:tcPr>
            <w:tcW w:w="5900" w:type="dxa"/>
            <w:vAlign w:val="bottom"/>
            <w:shd w:val="clear" w:color="auto" w:fill="DBDBDB"/>
          </w:tcPr>
          <w:p>
            <w:pPr>
              <w:ind w:left="180"/>
              <w:spacing w:after="0"/>
              <w:rPr>
                <w:sz w:val="20"/>
                <w:szCs w:val="20"/>
                <w:color w:val="auto"/>
              </w:rPr>
            </w:pPr>
            <w:r>
              <w:rPr>
                <w:rFonts w:ascii="Times New Roman" w:cs="Times New Roman" w:eastAsia="Times New Roman" w:hAnsi="Times New Roman"/>
                <w:sz w:val="16"/>
                <w:szCs w:val="16"/>
                <w:color w:val="auto"/>
              </w:rPr>
              <w:t>Payment on issuance convertible Notes</w:t>
            </w:r>
          </w:p>
        </w:tc>
        <w:tc>
          <w:tcPr>
            <w:tcW w:w="1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3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2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3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(4,620)</w:t>
            </w:r>
          </w:p>
        </w:tc>
        <w:tc>
          <w:tcPr>
            <w:tcW w:w="20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3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8"/>
        </w:trPr>
        <w:tc>
          <w:tcPr>
            <w:tcW w:w="60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Process from issuance of convertible senior notes, net of debt issuance cost</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83,661</w:t>
            </w:r>
          </w:p>
        </w:tc>
      </w:tr>
      <w:tr>
        <w:trPr>
          <w:trHeight w:val="191"/>
        </w:trPr>
        <w:tc>
          <w:tcPr>
            <w:tcW w:w="5900" w:type="dxa"/>
            <w:vAlign w:val="bottom"/>
            <w:shd w:val="clear" w:color="auto" w:fill="DBDBDB"/>
          </w:tcPr>
          <w:p>
            <w:pPr>
              <w:ind w:left="180"/>
              <w:spacing w:after="0"/>
              <w:rPr>
                <w:sz w:val="20"/>
                <w:szCs w:val="20"/>
                <w:color w:val="auto"/>
              </w:rPr>
            </w:pPr>
            <w:r>
              <w:rPr>
                <w:rFonts w:ascii="Times New Roman" w:cs="Times New Roman" w:eastAsia="Times New Roman" w:hAnsi="Times New Roman"/>
                <w:sz w:val="16"/>
                <w:szCs w:val="16"/>
                <w:color w:val="auto"/>
              </w:rPr>
              <w:t>Principal payments of financing lease</w:t>
            </w:r>
          </w:p>
        </w:tc>
        <w:tc>
          <w:tcPr>
            <w:tcW w:w="1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3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3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3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(63)</w:t>
            </w:r>
          </w:p>
        </w:tc>
      </w:tr>
      <w:tr>
        <w:trPr>
          <w:trHeight w:val="191"/>
        </w:trPr>
        <w:tc>
          <w:tcPr>
            <w:tcW w:w="60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191"/>
        </w:trPr>
        <w:tc>
          <w:tcPr>
            <w:tcW w:w="5900" w:type="dxa"/>
            <w:vAlign w:val="bottom"/>
            <w:shd w:val="clear" w:color="auto" w:fill="DBDBDB"/>
          </w:tcPr>
          <w:p>
            <w:pPr>
              <w:ind w:left="180"/>
              <w:spacing w:after="0"/>
              <w:rPr>
                <w:sz w:val="20"/>
                <w:szCs w:val="20"/>
                <w:color w:val="auto"/>
              </w:rPr>
            </w:pPr>
            <w:r>
              <w:rPr>
                <w:rFonts w:ascii="Times New Roman" w:cs="Times New Roman" w:eastAsia="Times New Roman" w:hAnsi="Times New Roman"/>
                <w:sz w:val="16"/>
                <w:szCs w:val="16"/>
                <w:color w:val="auto"/>
                <w:w w:val="99"/>
              </w:rPr>
              <w:t>Payments of tax withholding on behalf of employees related to share-based compensation</w:t>
            </w:r>
          </w:p>
        </w:tc>
        <w:tc>
          <w:tcPr>
            <w:tcW w:w="1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3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(10,454)</w:t>
            </w:r>
          </w:p>
        </w:tc>
        <w:tc>
          <w:tcPr>
            <w:tcW w:w="2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3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(4,333)</w:t>
            </w:r>
          </w:p>
        </w:tc>
        <w:tc>
          <w:tcPr>
            <w:tcW w:w="20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3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(956)</w:t>
            </w:r>
          </w:p>
        </w:tc>
      </w:tr>
      <w:tr>
        <w:trPr>
          <w:trHeight w:val="205"/>
        </w:trPr>
        <w:tc>
          <w:tcPr>
            <w:tcW w:w="60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Proceeds from common stock offering, net</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518,914</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146,293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68,984</w:t>
            </w:r>
          </w:p>
        </w:tc>
      </w:tr>
      <w:tr>
        <w:trPr>
          <w:trHeight w:val="208"/>
        </w:trPr>
        <w:tc>
          <w:tcPr>
            <w:tcW w:w="5900" w:type="dxa"/>
            <w:vAlign w:val="bottom"/>
            <w:tcBorders>
              <w:bottom w:val="single" w:sz="8" w:color="DBDBDB"/>
            </w:tcBorders>
            <w:shd w:val="clear" w:color="auto" w:fill="DBDBDB"/>
          </w:tcPr>
          <w:p>
            <w:pPr>
              <w:ind w:left="180"/>
              <w:spacing w:after="0"/>
              <w:rPr>
                <w:sz w:val="20"/>
                <w:szCs w:val="20"/>
                <w:color w:val="auto"/>
              </w:rPr>
            </w:pPr>
            <w:r>
              <w:rPr>
                <w:rFonts w:ascii="Times New Roman" w:cs="Times New Roman" w:eastAsia="Times New Roman" w:hAnsi="Times New Roman"/>
                <w:sz w:val="16"/>
                <w:szCs w:val="16"/>
                <w:color w:val="auto"/>
              </w:rPr>
              <w:t>Cash settlement of share-based compensation</w:t>
            </w:r>
          </w:p>
        </w:tc>
        <w:tc>
          <w:tcPr>
            <w:tcW w:w="10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(2,790)</w:t>
            </w:r>
          </w:p>
        </w:tc>
        <w:tc>
          <w:tcPr>
            <w:tcW w:w="200" w:type="dxa"/>
            <w:vAlign w:val="bottom"/>
            <w:tcBorders>
              <w:bottom w:val="single" w:sz="8" w:color="DBDBDB"/>
            </w:tcBorders>
            <w:shd w:val="clear" w:color="auto" w:fill="DBDBDB"/>
          </w:tcPr>
          <w:p>
            <w:pPr>
              <w:spacing w:after="0"/>
              <w:rPr>
                <w:sz w:val="18"/>
                <w:szCs w:val="18"/>
                <w:color w:val="auto"/>
              </w:rPr>
            </w:pPr>
          </w:p>
        </w:tc>
        <w:tc>
          <w:tcPr>
            <w:tcW w:w="20" w:type="dxa"/>
            <w:vAlign w:val="bottom"/>
            <w:tcBorders>
              <w:bottom w:val="single" w:sz="8" w:color="auto"/>
            </w:tcBorders>
            <w:shd w:val="clear" w:color="auto" w:fill="DBDBDB"/>
          </w:tcPr>
          <w:p>
            <w:pPr>
              <w:spacing w:after="0"/>
              <w:rPr>
                <w:sz w:val="18"/>
                <w:szCs w:val="18"/>
                <w:color w:val="auto"/>
              </w:rPr>
            </w:pPr>
          </w:p>
        </w:tc>
        <w:tc>
          <w:tcPr>
            <w:tcW w:w="8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65"/>
        </w:trPr>
        <w:tc>
          <w:tcPr>
            <w:tcW w:w="5900" w:type="dxa"/>
            <w:vAlign w:val="bottom"/>
          </w:tcPr>
          <w:p>
            <w:pPr>
              <w:ind w:left="20"/>
              <w:spacing w:after="0" w:line="165" w:lineRule="exact"/>
              <w:rPr>
                <w:sz w:val="20"/>
                <w:szCs w:val="20"/>
                <w:color w:val="auto"/>
              </w:rPr>
            </w:pPr>
            <w:r>
              <w:rPr>
                <w:rFonts w:ascii="Times New Roman" w:cs="Times New Roman" w:eastAsia="Times New Roman" w:hAnsi="Times New Roman"/>
                <w:sz w:val="16"/>
                <w:szCs w:val="16"/>
                <w:color w:val="auto"/>
              </w:rPr>
              <w:t>Net cash provided by financing activities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rPr>
              <w:t>527,941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rPr>
              <w:t>142,179</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rPr>
              <w:t>40,578</w:t>
            </w:r>
          </w:p>
        </w:tc>
      </w:tr>
      <w:tr>
        <w:trPr>
          <w:trHeight w:val="208"/>
        </w:trPr>
        <w:tc>
          <w:tcPr>
            <w:tcW w:w="5900" w:type="dxa"/>
            <w:vAlign w:val="bottom"/>
            <w:tcBorders>
              <w:bottom w:val="single" w:sz="8" w:color="DBDBDB"/>
            </w:tcBorders>
            <w:shd w:val="clear" w:color="auto" w:fill="DBDBDB"/>
          </w:tcPr>
          <w:p>
            <w:pPr>
              <w:ind w:left="18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10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(6,007)</w:t>
            </w:r>
          </w:p>
        </w:tc>
        <w:tc>
          <w:tcPr>
            <w:tcW w:w="20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2,080</w:t>
            </w:r>
          </w:p>
        </w:tc>
        <w:tc>
          <w:tcPr>
            <w:tcW w:w="200" w:type="dxa"/>
            <w:vAlign w:val="bottom"/>
            <w:tcBorders>
              <w:bottom w:val="single" w:sz="8" w:color="DBDBDB"/>
            </w:tcBorders>
            <w:shd w:val="clear" w:color="auto" w:fill="DBDBDB"/>
          </w:tcPr>
          <w:p>
            <w:pPr>
              <w:spacing w:after="0"/>
              <w:rPr>
                <w:sz w:val="18"/>
                <w:szCs w:val="18"/>
                <w:color w:val="auto"/>
              </w:rPr>
            </w:pPr>
          </w:p>
        </w:tc>
        <w:tc>
          <w:tcPr>
            <w:tcW w:w="20" w:type="dxa"/>
            <w:vAlign w:val="bottom"/>
            <w:tcBorders>
              <w:bottom w:val="single" w:sz="8" w:color="auto"/>
            </w:tcBorders>
            <w:shd w:val="clear" w:color="auto" w:fill="DBDBDB"/>
          </w:tcPr>
          <w:p>
            <w:pPr>
              <w:spacing w:after="0"/>
              <w:rPr>
                <w:sz w:val="18"/>
                <w:szCs w:val="18"/>
                <w:color w:val="auto"/>
              </w:rPr>
            </w:pPr>
          </w:p>
        </w:tc>
        <w:tc>
          <w:tcPr>
            <w:tcW w:w="8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1,622</w:t>
            </w:r>
          </w:p>
        </w:tc>
      </w:tr>
      <w:tr>
        <w:trPr>
          <w:trHeight w:val="165"/>
        </w:trPr>
        <w:tc>
          <w:tcPr>
            <w:tcW w:w="5900" w:type="dxa"/>
            <w:vAlign w:val="bottom"/>
          </w:tcPr>
          <w:p>
            <w:pPr>
              <w:ind w:left="20"/>
              <w:spacing w:after="0" w:line="165" w:lineRule="exact"/>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rPr>
              <w:t>136,902</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rPr>
              <w:t>24,036</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rPr>
              <w:t>19,510</w:t>
            </w:r>
          </w:p>
        </w:tc>
      </w:tr>
      <w:tr>
        <w:trPr>
          <w:trHeight w:val="208"/>
        </w:trPr>
        <w:tc>
          <w:tcPr>
            <w:tcW w:w="590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10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79,133</w:t>
            </w:r>
          </w:p>
        </w:tc>
        <w:tc>
          <w:tcPr>
            <w:tcW w:w="20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55,097</w:t>
            </w:r>
          </w:p>
        </w:tc>
        <w:tc>
          <w:tcPr>
            <w:tcW w:w="200" w:type="dxa"/>
            <w:vAlign w:val="bottom"/>
            <w:tcBorders>
              <w:bottom w:val="single" w:sz="8" w:color="DBDBDB"/>
            </w:tcBorders>
            <w:shd w:val="clear" w:color="auto" w:fill="DBDBDB"/>
          </w:tcPr>
          <w:p>
            <w:pPr>
              <w:spacing w:after="0"/>
              <w:rPr>
                <w:sz w:val="18"/>
                <w:szCs w:val="18"/>
                <w:color w:val="auto"/>
              </w:rPr>
            </w:pPr>
          </w:p>
        </w:tc>
        <w:tc>
          <w:tcPr>
            <w:tcW w:w="20" w:type="dxa"/>
            <w:vAlign w:val="bottom"/>
            <w:tcBorders>
              <w:bottom w:val="single" w:sz="8" w:color="auto"/>
            </w:tcBorders>
            <w:shd w:val="clear" w:color="auto" w:fill="DBDBDB"/>
          </w:tcPr>
          <w:p>
            <w:pPr>
              <w:spacing w:after="0"/>
              <w:rPr>
                <w:sz w:val="18"/>
                <w:szCs w:val="18"/>
                <w:color w:val="auto"/>
              </w:rPr>
            </w:pPr>
          </w:p>
        </w:tc>
        <w:tc>
          <w:tcPr>
            <w:tcW w:w="8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35,587</w:t>
            </w:r>
          </w:p>
        </w:tc>
      </w:tr>
      <w:tr>
        <w:trPr>
          <w:trHeight w:val="221"/>
        </w:trPr>
        <w:tc>
          <w:tcPr>
            <w:tcW w:w="5900" w:type="dxa"/>
            <w:vAlign w:val="bottom"/>
            <w:tcBorders>
              <w:bottom w:val="single" w:sz="8" w:color="DBDBDB"/>
            </w:tcBorders>
          </w:tcPr>
          <w:p>
            <w:pPr>
              <w:ind w:left="20"/>
              <w:spacing w:after="0" w:line="181" w:lineRule="exact"/>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100" w:type="dxa"/>
            <w:vAlign w:val="bottom"/>
            <w:tcBorders>
              <w:bottom w:val="single" w:sz="8" w:color="DBDBDB"/>
            </w:tcBorders>
          </w:tcPr>
          <w:p>
            <w:pPr>
              <w:spacing w:after="0"/>
              <w:rPr>
                <w:sz w:val="19"/>
                <w:szCs w:val="19"/>
                <w:color w:val="auto"/>
              </w:rPr>
            </w:pPr>
          </w:p>
        </w:tc>
        <w:tc>
          <w:tcPr>
            <w:tcW w:w="10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216,035</w:t>
            </w:r>
          </w:p>
        </w:tc>
        <w:tc>
          <w:tcPr>
            <w:tcW w:w="200" w:type="dxa"/>
            <w:vAlign w:val="bottom"/>
            <w:tcBorders>
              <w:bottom w:val="single" w:sz="8" w:color="DBDBDB"/>
            </w:tcBorders>
          </w:tcPr>
          <w:p>
            <w:pPr>
              <w:spacing w:after="0"/>
              <w:rPr>
                <w:sz w:val="19"/>
                <w:szCs w:val="19"/>
                <w:color w:val="auto"/>
              </w:rPr>
            </w:pPr>
          </w:p>
        </w:tc>
        <w:tc>
          <w:tcPr>
            <w:tcW w:w="10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79,133</w:t>
            </w:r>
          </w:p>
        </w:tc>
        <w:tc>
          <w:tcPr>
            <w:tcW w:w="200" w:type="dxa"/>
            <w:vAlign w:val="bottom"/>
            <w:tcBorders>
              <w:bottom w:val="single" w:sz="8" w:color="DBDBDB"/>
            </w:tcBorders>
          </w:tcPr>
          <w:p>
            <w:pPr>
              <w:spacing w:after="0"/>
              <w:rPr>
                <w:sz w:val="19"/>
                <w:szCs w:val="19"/>
                <w:color w:val="auto"/>
              </w:rPr>
            </w:pPr>
          </w:p>
        </w:tc>
        <w:tc>
          <w:tcPr>
            <w:tcW w:w="100" w:type="dxa"/>
            <w:vAlign w:val="bottom"/>
            <w:tcBorders>
              <w:bottom w:val="single" w:sz="8" w:color="auto"/>
            </w:tcBorders>
            <w:gridSpan w:val="2"/>
          </w:tcPr>
          <w:p>
            <w:pPr>
              <w:jc w:val="right"/>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55,097</w:t>
            </w:r>
          </w:p>
        </w:tc>
      </w:tr>
      <w:tr>
        <w:trPr>
          <w:trHeight w:val="171"/>
        </w:trPr>
        <w:tc>
          <w:tcPr>
            <w:tcW w:w="5900" w:type="dxa"/>
            <w:vAlign w:val="bottom"/>
            <w:shd w:val="clear" w:color="auto" w:fill="DBDBDB"/>
          </w:tcPr>
          <w:p>
            <w:pPr>
              <w:ind w:left="20"/>
              <w:spacing w:after="0" w:line="166" w:lineRule="exact"/>
              <w:rPr>
                <w:sz w:val="20"/>
                <w:szCs w:val="20"/>
                <w:color w:val="auto"/>
              </w:rPr>
            </w:pPr>
            <w:r>
              <w:rPr>
                <w:rFonts w:ascii="Times New Roman" w:cs="Times New Roman" w:eastAsia="Times New Roman" w:hAnsi="Times New Roman"/>
                <w:sz w:val="16"/>
                <w:szCs w:val="16"/>
                <w:color w:val="auto"/>
              </w:rPr>
              <w:t>Supplemental disclosure of cash flow information:</w:t>
            </w:r>
          </w:p>
        </w:tc>
        <w:tc>
          <w:tcPr>
            <w:tcW w:w="10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300" w:type="dxa"/>
            <w:vAlign w:val="bottom"/>
            <w:shd w:val="clear" w:color="auto" w:fill="DBDBDB"/>
          </w:tcPr>
          <w:p>
            <w:pPr>
              <w:spacing w:after="0"/>
              <w:rPr>
                <w:sz w:val="14"/>
                <w:szCs w:val="14"/>
                <w:color w:val="auto"/>
              </w:rPr>
            </w:pPr>
          </w:p>
        </w:tc>
        <w:tc>
          <w:tcPr>
            <w:tcW w:w="20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300" w:type="dxa"/>
            <w:vAlign w:val="bottom"/>
            <w:shd w:val="clear" w:color="auto" w:fill="DBDBDB"/>
          </w:tcPr>
          <w:p>
            <w:pPr>
              <w:spacing w:after="0"/>
              <w:rPr>
                <w:sz w:val="14"/>
                <w:szCs w:val="14"/>
                <w:color w:val="auto"/>
              </w:rPr>
            </w:pPr>
          </w:p>
        </w:tc>
        <w:tc>
          <w:tcPr>
            <w:tcW w:w="200" w:type="dxa"/>
            <w:vAlign w:val="bottom"/>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300" w:type="dxa"/>
            <w:vAlign w:val="bottom"/>
            <w:shd w:val="clear" w:color="auto" w:fill="DBDBDB"/>
          </w:tcPr>
          <w:p>
            <w:pPr>
              <w:spacing w:after="0"/>
              <w:rPr>
                <w:sz w:val="14"/>
                <w:szCs w:val="14"/>
                <w:color w:val="auto"/>
              </w:rPr>
            </w:pPr>
          </w:p>
        </w:tc>
      </w:tr>
      <w:tr>
        <w:trPr>
          <w:trHeight w:val="191"/>
        </w:trPr>
        <w:tc>
          <w:tcPr>
            <w:tcW w:w="60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Cash paid for:</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8"/>
        </w:trPr>
        <w:tc>
          <w:tcPr>
            <w:tcW w:w="590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16"/>
                <w:szCs w:val="16"/>
                <w:color w:val="auto"/>
              </w:rPr>
              <w:t>Interest</w:t>
            </w:r>
          </w:p>
        </w:tc>
        <w:tc>
          <w:tcPr>
            <w:tcW w:w="100" w:type="dxa"/>
            <w:vAlign w:val="bottom"/>
            <w:shd w:val="clear" w:color="auto" w:fill="DBDBDB"/>
          </w:tcPr>
          <w:p>
            <w:pPr>
              <w:spacing w:after="0"/>
              <w:rPr>
                <w:sz w:val="16"/>
                <w:szCs w:val="16"/>
                <w:color w:val="auto"/>
              </w:rPr>
            </w:pPr>
          </w:p>
        </w:tc>
        <w:tc>
          <w:tcPr>
            <w:tcW w:w="1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13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2,483</w:t>
            </w:r>
          </w:p>
        </w:tc>
        <w:tc>
          <w:tcPr>
            <w:tcW w:w="200" w:type="dxa"/>
            <w:vAlign w:val="bottom"/>
            <w:shd w:val="clear" w:color="auto" w:fill="DBDBDB"/>
          </w:tcPr>
          <w:p>
            <w:pPr>
              <w:spacing w:after="0"/>
              <w:rPr>
                <w:sz w:val="16"/>
                <w:szCs w:val="16"/>
                <w:color w:val="auto"/>
              </w:rPr>
            </w:pPr>
          </w:p>
        </w:tc>
        <w:tc>
          <w:tcPr>
            <w:tcW w:w="1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13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4,940</w:t>
            </w:r>
          </w:p>
        </w:tc>
        <w:tc>
          <w:tcPr>
            <w:tcW w:w="20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highlight w:val="lightGray"/>
                <w:w w:val="71"/>
              </w:rPr>
              <w:t>$</w:t>
            </w:r>
          </w:p>
        </w:tc>
        <w:tc>
          <w:tcPr>
            <w:tcW w:w="13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8,098</w:t>
            </w:r>
          </w:p>
        </w:tc>
      </w:tr>
      <w:tr>
        <w:trPr>
          <w:trHeight w:val="191"/>
        </w:trPr>
        <w:tc>
          <w:tcPr>
            <w:tcW w:w="6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taxes paid, net of refunds</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1"/>
        </w:trPr>
        <w:tc>
          <w:tcPr>
            <w:tcW w:w="59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6"/>
                <w:szCs w:val="16"/>
                <w:color w:val="auto"/>
              </w:rPr>
              <w:t>U.S. Federal</w:t>
            </w:r>
          </w:p>
        </w:tc>
        <w:tc>
          <w:tcPr>
            <w:tcW w:w="1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3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3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3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1"/>
        </w:trPr>
        <w:tc>
          <w:tcPr>
            <w:tcW w:w="60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U.S. State and Local</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191"/>
        </w:trPr>
        <w:tc>
          <w:tcPr>
            <w:tcW w:w="59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6"/>
                <w:szCs w:val="16"/>
                <w:color w:val="auto"/>
              </w:rPr>
              <w:t>Foreign</w:t>
            </w:r>
          </w:p>
        </w:tc>
        <w:tc>
          <w:tcPr>
            <w:tcW w:w="1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3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3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3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191"/>
        </w:trPr>
        <w:tc>
          <w:tcPr>
            <w:tcW w:w="6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8"/>
        </w:trPr>
        <w:tc>
          <w:tcPr>
            <w:tcW w:w="590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16"/>
                <w:szCs w:val="16"/>
                <w:color w:val="auto"/>
              </w:rPr>
              <w:t>Net change in accounts payable related to property and equipment additions</w:t>
            </w:r>
          </w:p>
        </w:tc>
        <w:tc>
          <w:tcPr>
            <w:tcW w:w="100" w:type="dxa"/>
            <w:vAlign w:val="bottom"/>
            <w:shd w:val="clear" w:color="auto" w:fill="DBDBDB"/>
          </w:tcPr>
          <w:p>
            <w:pPr>
              <w:spacing w:after="0"/>
              <w:rPr>
                <w:sz w:val="16"/>
                <w:szCs w:val="16"/>
                <w:color w:val="auto"/>
              </w:rPr>
            </w:pPr>
          </w:p>
        </w:tc>
        <w:tc>
          <w:tcPr>
            <w:tcW w:w="1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13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4,695</w:t>
            </w:r>
          </w:p>
        </w:tc>
        <w:tc>
          <w:tcPr>
            <w:tcW w:w="200" w:type="dxa"/>
            <w:vAlign w:val="bottom"/>
            <w:shd w:val="clear" w:color="auto" w:fill="DBDBDB"/>
          </w:tcPr>
          <w:p>
            <w:pPr>
              <w:spacing w:after="0"/>
              <w:rPr>
                <w:sz w:val="16"/>
                <w:szCs w:val="16"/>
                <w:color w:val="auto"/>
              </w:rPr>
            </w:pPr>
          </w:p>
        </w:tc>
        <w:tc>
          <w:tcPr>
            <w:tcW w:w="1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13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1,061</w:t>
            </w:r>
          </w:p>
        </w:tc>
        <w:tc>
          <w:tcPr>
            <w:tcW w:w="20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highlight w:val="lightGray"/>
                <w:w w:val="71"/>
              </w:rPr>
              <w:t>$</w:t>
            </w:r>
          </w:p>
        </w:tc>
        <w:tc>
          <w:tcPr>
            <w:tcW w:w="13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1,053</w:t>
            </w:r>
          </w:p>
        </w:tc>
      </w:tr>
      <w:tr>
        <w:trPr>
          <w:trHeight w:val="170"/>
        </w:trPr>
        <w:tc>
          <w:tcPr>
            <w:tcW w:w="6000" w:type="dxa"/>
            <w:vAlign w:val="bottom"/>
            <w:gridSpan w:val="2"/>
          </w:tcPr>
          <w:p>
            <w:pPr>
              <w:ind w:left="20"/>
              <w:spacing w:after="0" w:line="170" w:lineRule="exact"/>
              <w:rPr>
                <w:sz w:val="20"/>
                <w:szCs w:val="20"/>
                <w:color w:val="auto"/>
              </w:rPr>
            </w:pPr>
            <w:r>
              <w:rPr>
                <w:rFonts w:ascii="Times New Roman" w:cs="Times New Roman" w:eastAsia="Times New Roman" w:hAnsi="Times New Roman"/>
                <w:sz w:val="16"/>
                <w:szCs w:val="16"/>
                <w:color w:val="auto"/>
              </w:rPr>
              <w:t>Net change in deposits and prepaid for equipment related to property and equipment</w:t>
            </w: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12"/>
        </w:trPr>
        <w:tc>
          <w:tcPr>
            <w:tcW w:w="6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additions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(15,687)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20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(1,297)</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F-7</w:t>
      </w:r>
    </w:p>
    <w:p>
      <w:pPr>
        <w:sectPr>
          <w:pgSz w:w="11880" w:h="15480" w:orient="portrait"/>
          <w:cols w:equalWidth="0" w:num="1">
            <w:col w:w="10600"/>
          </w:cols>
          <w:pgMar w:left="640" w:top="443" w:right="640" w:bottom="0" w:gutter="0" w:footer="0" w:header="0"/>
        </w:sectPr>
      </w:pPr>
    </w:p>
    <w:bookmarkStart w:id="67" w:name="page68"/>
    <w:bookmarkEnd w:id="67"/>
    <w:p>
      <w:pPr>
        <w:ind w:left="3380"/>
        <w:spacing w:after="0"/>
        <w:rPr>
          <w:sz w:val="20"/>
          <w:szCs w:val="20"/>
          <w:color w:val="auto"/>
        </w:rPr>
      </w:pPr>
      <w:r>
        <w:rPr>
          <w:rFonts w:ascii="Times New Roman" w:cs="Times New Roman" w:eastAsia="Times New Roman" w:hAnsi="Times New Roman"/>
          <w:sz w:val="20"/>
          <w:szCs w:val="20"/>
          <w:b w:val="1"/>
          <w:bCs w:val="1"/>
          <w:color w:val="auto"/>
        </w:rPr>
        <w:t>Applied Optoelectronics, Inc. and Subsidiaries</w:t>
      </w:r>
    </w:p>
    <w:p>
      <w:pPr>
        <w:ind w:left="268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A—ORGANIZATION AND OPERATIONS</w:t>
      </w:r>
    </w:p>
    <w:p>
      <w:pPr>
        <w:spacing w:after="0" w:line="225" w:lineRule="exact"/>
        <w:rPr>
          <w:sz w:val="20"/>
          <w:szCs w:val="20"/>
          <w:color w:val="auto"/>
        </w:rPr>
      </w:pPr>
    </w:p>
    <w:p>
      <w:pPr>
        <w:jc w:val="both"/>
        <w:ind w:firstLine="706"/>
        <w:spacing w:after="0" w:line="243" w:lineRule="auto"/>
        <w:rPr>
          <w:sz w:val="20"/>
          <w:szCs w:val="20"/>
          <w:color w:val="auto"/>
        </w:rPr>
      </w:pPr>
      <w:r>
        <w:rPr>
          <w:rFonts w:ascii="Times New Roman" w:cs="Times New Roman" w:eastAsia="Times New Roman" w:hAnsi="Times New Roman"/>
          <w:sz w:val="20"/>
          <w:szCs w:val="20"/>
          <w:color w:val="auto"/>
        </w:rPr>
        <w:t>Applied Optoelectronics, Inc. ("AOI" or the "Company") was incorporated in the State of Texas on February 28, 1997. In March 2013, the Company converted into a Delaware corporation. The Company is a leading, vertically integrated provider of fiber-optic networking products, primarily for four networking end-markets: internet data center, CATV, telecom and FTTH. The Company designs and manufactures a wide range of optical communications products at varying levels of integration, from components, subassemblies and modules to complete turn-key equipment.</w:t>
      </w:r>
    </w:p>
    <w:p>
      <w:pPr>
        <w:spacing w:after="0" w:line="188" w:lineRule="exact"/>
        <w:rPr>
          <w:sz w:val="20"/>
          <w:szCs w:val="20"/>
          <w:color w:val="auto"/>
        </w:rPr>
      </w:pPr>
    </w:p>
    <w:p>
      <w:pPr>
        <w:jc w:val="both"/>
        <w:ind w:firstLine="706"/>
        <w:spacing w:after="0" w:line="239" w:lineRule="auto"/>
        <w:rPr>
          <w:sz w:val="20"/>
          <w:szCs w:val="20"/>
          <w:color w:val="auto"/>
        </w:rPr>
      </w:pPr>
      <w:r>
        <w:rPr>
          <w:rFonts w:ascii="Times New Roman" w:cs="Times New Roman" w:eastAsia="Times New Roman" w:hAnsi="Times New Roman"/>
          <w:sz w:val="20"/>
          <w:szCs w:val="20"/>
          <w:color w:val="auto"/>
        </w:rPr>
        <w:t>The Company has manufacturing and research and development facilities located in the U.S., Taiwan and China. At its corporate headquarters and manufacturing facilities in Sugar Land, Texas, the Company primarily manufactures lasers and laser components and performs research and development activities for laser component and optical module products. The Company operates in Taipei, Taiwan and Ningbo, China through its wholly-owned subsidiary Prime World International Holdings, Ltd. ("Prime World", incorporated in the British Virgin Islands). Prime World is the parent of Global Technology, Inc. ("Global", incorporated in the People’s Republic of China) . Through Global, the Company primarily manufactures certain of its data center transceiver products, including subassemblies and transceivers, as well as Cable TV Broadband ("CATV") systems and equipment, and performs research and development activities for the CATV products. Prime World also operates a branch in Taiwan, which primarily manufactures transceivers. The Company also has a research and development center in Duluth, Georgia.</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B—SUMMARY OF SIGNIFICANT ACCOUNTING POLICIES</w:t>
      </w:r>
    </w:p>
    <w:p>
      <w:pPr>
        <w:spacing w:after="0" w:line="233" w:lineRule="exact"/>
        <w:rPr>
          <w:sz w:val="20"/>
          <w:szCs w:val="20"/>
          <w:color w:val="auto"/>
        </w:rPr>
      </w:pPr>
    </w:p>
    <w:p>
      <w:pPr>
        <w:ind w:left="720" w:hanging="703"/>
        <w:spacing w:after="0"/>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Basis of Presentation</w:t>
      </w:r>
    </w:p>
    <w:p>
      <w:pPr>
        <w:spacing w:after="0" w:line="223" w:lineRule="exact"/>
        <w:rPr>
          <w:sz w:val="20"/>
          <w:szCs w:val="20"/>
          <w:color w:val="auto"/>
        </w:rPr>
      </w:pPr>
    </w:p>
    <w:p>
      <w:pPr>
        <w:jc w:val="both"/>
        <w:ind w:firstLine="706"/>
        <w:spacing w:after="0" w:line="250" w:lineRule="auto"/>
        <w:rPr>
          <w:sz w:val="20"/>
          <w:szCs w:val="20"/>
          <w:color w:val="auto"/>
        </w:rPr>
      </w:pPr>
      <w:r>
        <w:rPr>
          <w:rFonts w:ascii="Times New Roman" w:cs="Times New Roman" w:eastAsia="Times New Roman" w:hAnsi="Times New Roman"/>
          <w:sz w:val="20"/>
          <w:szCs w:val="20"/>
          <w:color w:val="auto"/>
        </w:rPr>
        <w:t>The consolidated financial statements include the accounts of the Company and all of its wholly-owned subsidiaries and are prepared in accordance with accounting principles generally accepted in the United States of America (GAAP). All intercompany balances and transactions have been eliminated in consolidation.</w:t>
      </w:r>
    </w:p>
    <w:p>
      <w:pPr>
        <w:spacing w:after="0" w:line="191" w:lineRule="exact"/>
        <w:rPr>
          <w:sz w:val="20"/>
          <w:szCs w:val="20"/>
          <w:color w:val="auto"/>
        </w:rPr>
      </w:pPr>
    </w:p>
    <w:p>
      <w:pPr>
        <w:ind w:left="720" w:hanging="703"/>
        <w:spacing w:after="0"/>
        <w:tabs>
          <w:tab w:leader="none" w:pos="72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Use of Estimates</w:t>
      </w:r>
    </w:p>
    <w:p>
      <w:pPr>
        <w:spacing w:after="0" w:line="223" w:lineRule="exact"/>
        <w:rPr>
          <w:sz w:val="20"/>
          <w:szCs w:val="20"/>
          <w:color w:val="auto"/>
        </w:rPr>
      </w:pPr>
    </w:p>
    <w:p>
      <w:pPr>
        <w:jc w:val="both"/>
        <w:ind w:firstLine="706"/>
        <w:spacing w:after="0" w:line="243" w:lineRule="auto"/>
        <w:rPr>
          <w:sz w:val="20"/>
          <w:szCs w:val="20"/>
          <w:color w:val="auto"/>
        </w:rPr>
      </w:pPr>
      <w:r>
        <w:rPr>
          <w:rFonts w:ascii="Times New Roman" w:cs="Times New Roman" w:eastAsia="Times New Roman" w:hAnsi="Times New Roman"/>
          <w:sz w:val="20"/>
          <w:szCs w:val="20"/>
          <w:color w:val="auto"/>
        </w:rPr>
        <w:t>The preparation of financial statements in conformity with GAAP requires management to make estimates and assumptions that affect the amounts reported. Actual results could differ from those estimates in the consolidated financial statements and accompanying notes. Significant estimates and assumptions that impact these financial statements relate to, among other things, allowance for doubtful accounts, inventory reserve, product warranty costs, share-based compensation expense, estimated useful lives of property and equipment, and taxes.</w:t>
      </w:r>
    </w:p>
    <w:p>
      <w:pPr>
        <w:spacing w:after="0" w:line="197" w:lineRule="exact"/>
        <w:rPr>
          <w:sz w:val="20"/>
          <w:szCs w:val="20"/>
          <w:color w:val="auto"/>
        </w:rPr>
      </w:pPr>
    </w:p>
    <w:p>
      <w:pPr>
        <w:ind w:left="720" w:hanging="703"/>
        <w:spacing w:after="0"/>
        <w:tabs>
          <w:tab w:leader="none" w:pos="72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Foreign Currency Translation</w:t>
      </w:r>
    </w:p>
    <w:p>
      <w:pPr>
        <w:spacing w:after="0" w:line="223" w:lineRule="exact"/>
        <w:rPr>
          <w:sz w:val="20"/>
          <w:szCs w:val="20"/>
          <w:color w:val="auto"/>
        </w:rPr>
      </w:pPr>
    </w:p>
    <w:p>
      <w:pPr>
        <w:jc w:val="both"/>
        <w:ind w:firstLine="706"/>
        <w:spacing w:after="0" w:line="239" w:lineRule="auto"/>
        <w:rPr>
          <w:sz w:val="20"/>
          <w:szCs w:val="20"/>
          <w:color w:val="auto"/>
        </w:rPr>
      </w:pPr>
      <w:r>
        <w:rPr>
          <w:rFonts w:ascii="Times New Roman" w:cs="Times New Roman" w:eastAsia="Times New Roman" w:hAnsi="Times New Roman"/>
          <w:sz w:val="20"/>
          <w:szCs w:val="20"/>
          <w:color w:val="auto"/>
        </w:rPr>
        <w:t>The functional currency for the Company’s foreign operations is the local currency. The assets and liabilities of these operations are translated at the rate of exchange in effect on the balance sheet date and sales and expenses are translated at monthly average rates. The resulting gains or losses from translation are included in a separate component of other comprehensive income. There is no tax effect on the foreign currency translation because it is management’s intent to reinvest the undistributed earnings of its foreign subsidiaries indefinitely. Transaction gains and losses resulting from re-measuring monetary asset and liability accounts that are denominated in a currency other than a subsidiary’s functional currency are included in net foreign exchange gain and loss and are included in net income except for those intercompany balances that are long-term investments in nature. The translation gain or losses from the long-term investment nature of intercompany balances are treated as translation adjustments and included in comprehensive income.</w:t>
      </w:r>
    </w:p>
    <w:p>
      <w:pPr>
        <w:spacing w:after="0" w:line="200" w:lineRule="exact"/>
        <w:rPr>
          <w:sz w:val="20"/>
          <w:szCs w:val="20"/>
          <w:color w:val="auto"/>
        </w:rPr>
      </w:pPr>
    </w:p>
    <w:p>
      <w:pPr>
        <w:ind w:left="720" w:hanging="703"/>
        <w:spacing w:after="0"/>
        <w:tabs>
          <w:tab w:leader="none" w:pos="72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Fair Value</w:t>
      </w:r>
    </w:p>
    <w:p>
      <w:pPr>
        <w:spacing w:after="0" w:line="223" w:lineRule="exact"/>
        <w:rPr>
          <w:sz w:val="20"/>
          <w:szCs w:val="20"/>
          <w:color w:val="auto"/>
        </w:rPr>
      </w:pPr>
    </w:p>
    <w:p>
      <w:pPr>
        <w:jc w:val="both"/>
        <w:ind w:firstLine="706"/>
        <w:spacing w:after="0" w:line="281" w:lineRule="auto"/>
        <w:rPr>
          <w:sz w:val="20"/>
          <w:szCs w:val="20"/>
          <w:color w:val="auto"/>
        </w:rPr>
      </w:pPr>
      <w:r>
        <w:rPr>
          <w:rFonts w:ascii="Times New Roman" w:cs="Times New Roman" w:eastAsia="Times New Roman" w:hAnsi="Times New Roman"/>
          <w:sz w:val="18"/>
          <w:szCs w:val="18"/>
          <w:color w:val="auto"/>
        </w:rPr>
        <w:t>The carrying value of cash, cash equivalents and short-term investments, accounts receivable, accounts payable, and note receivable approximate their historical fair values due to their short-term maturities. The carrying value of the debt and bank acceptance notes approximates its fair value due to the short-term nature of the debt since it renews frequently at current interest rates. Management believes that the interest rates in effect at each year end represent the current market rates for similar borrowings.</w:t>
      </w:r>
    </w:p>
    <w:p>
      <w:pPr>
        <w:spacing w:after="0" w:line="157" w:lineRule="exact"/>
        <w:rPr>
          <w:sz w:val="20"/>
          <w:szCs w:val="20"/>
          <w:color w:val="auto"/>
        </w:rPr>
      </w:pPr>
    </w:p>
    <w:p>
      <w:pPr>
        <w:jc w:val="both"/>
        <w:ind w:firstLine="706"/>
        <w:spacing w:after="0" w:line="245" w:lineRule="auto"/>
        <w:rPr>
          <w:sz w:val="20"/>
          <w:szCs w:val="20"/>
          <w:color w:val="auto"/>
        </w:rPr>
      </w:pPr>
      <w:r>
        <w:rPr>
          <w:rFonts w:ascii="Times New Roman" w:cs="Times New Roman" w:eastAsia="Times New Roman" w:hAnsi="Times New Roman"/>
          <w:sz w:val="20"/>
          <w:szCs w:val="20"/>
          <w:color w:val="auto"/>
        </w:rPr>
        <w:t>The fair value measurement standard defines fair value as the price that would be received to sell an asset or paid to transfer a liability in an orderly transaction between market participants at the measurement date. The standard characterizes inputs used in determining fair value according to a hierarchy that prioritized inputs based on the degree to which they are observable. The three levels of the fair value hierarchy are as follows:</w:t>
      </w:r>
    </w:p>
    <w:p>
      <w:pPr>
        <w:spacing w:after="0" w:line="18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0"/>
          <w:szCs w:val="20"/>
          <w:color w:val="auto"/>
        </w:rPr>
        <w:t>Level 1—Inputs represent quoted prices in active markets for identical assets or liabilities.</w:t>
      </w: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F-8</w:t>
      </w:r>
    </w:p>
    <w:p>
      <w:pPr>
        <w:sectPr>
          <w:pgSz w:w="11880" w:h="15480" w:orient="portrait"/>
          <w:cols w:equalWidth="0" w:num="1">
            <w:col w:w="10600"/>
          </w:cols>
          <w:pgMar w:left="640" w:top="403" w:right="640" w:bottom="0" w:gutter="0" w:footer="0" w:header="0"/>
        </w:sectPr>
      </w:pPr>
    </w:p>
    <w:bookmarkStart w:id="68" w:name="page69"/>
    <w:bookmarkEnd w:id="68"/>
    <w:p>
      <w:pPr>
        <w:jc w:val="both"/>
        <w:ind w:left="720" w:firstLine="706"/>
        <w:spacing w:after="0" w:line="250" w:lineRule="auto"/>
        <w:rPr>
          <w:sz w:val="20"/>
          <w:szCs w:val="20"/>
          <w:color w:val="auto"/>
        </w:rPr>
      </w:pPr>
      <w:r>
        <w:rPr>
          <w:rFonts w:ascii="Times New Roman" w:cs="Times New Roman" w:eastAsia="Times New Roman" w:hAnsi="Times New Roman"/>
          <w:sz w:val="20"/>
          <w:szCs w:val="20"/>
          <w:color w:val="auto"/>
        </w:rPr>
        <w:t>Level 2—Inputs other than quoted prices included within Level 1 that are observable for the asset or liability, either directly or indirectly. These include quoted prices for similar assets or liabilities in active markets and quoted prices for identical or similar assets or liabilities in markets that are not active.</w:t>
      </w:r>
    </w:p>
    <w:p>
      <w:pPr>
        <w:spacing w:after="0" w:line="182" w:lineRule="exact"/>
        <w:rPr>
          <w:sz w:val="20"/>
          <w:szCs w:val="20"/>
          <w:color w:val="auto"/>
        </w:rPr>
      </w:pPr>
    </w:p>
    <w:p>
      <w:pPr>
        <w:jc w:val="both"/>
        <w:ind w:left="720" w:firstLine="706"/>
        <w:spacing w:after="0" w:line="268" w:lineRule="auto"/>
        <w:rPr>
          <w:sz w:val="20"/>
          <w:szCs w:val="20"/>
          <w:color w:val="auto"/>
        </w:rPr>
      </w:pPr>
      <w:r>
        <w:rPr>
          <w:rFonts w:ascii="Times New Roman" w:cs="Times New Roman" w:eastAsia="Times New Roman" w:hAnsi="Times New Roman"/>
          <w:sz w:val="20"/>
          <w:szCs w:val="20"/>
          <w:color w:val="auto"/>
        </w:rPr>
        <w:t>Level 3—Inputs that are not observable from objective sources, such as management’s internally developed assumptions used in pricing an asset or liability.</w:t>
      </w:r>
    </w:p>
    <w:p>
      <w:pPr>
        <w:spacing w:after="0" w:line="164" w:lineRule="exact"/>
        <w:rPr>
          <w:sz w:val="20"/>
          <w:szCs w:val="20"/>
          <w:color w:val="auto"/>
        </w:rPr>
      </w:pPr>
    </w:p>
    <w:p>
      <w:pPr>
        <w:ind w:right="20" w:firstLine="706"/>
        <w:spacing w:after="0" w:line="265" w:lineRule="auto"/>
        <w:rPr>
          <w:sz w:val="20"/>
          <w:szCs w:val="20"/>
          <w:color w:val="auto"/>
        </w:rPr>
      </w:pPr>
      <w:r>
        <w:rPr>
          <w:rFonts w:ascii="Times New Roman" w:cs="Times New Roman" w:eastAsia="Times New Roman" w:hAnsi="Times New Roman"/>
          <w:sz w:val="20"/>
          <w:szCs w:val="20"/>
          <w:color w:val="auto"/>
        </w:rPr>
        <w:t>Assets and liabilities that are required to be fair valued on a recurring basis include money market funds, marketable securities, equity instruments and contingent consideration.</w:t>
      </w:r>
    </w:p>
    <w:p>
      <w:pPr>
        <w:spacing w:after="0" w:line="167" w:lineRule="exact"/>
        <w:rPr>
          <w:sz w:val="20"/>
          <w:szCs w:val="20"/>
          <w:color w:val="auto"/>
        </w:rPr>
      </w:pPr>
    </w:p>
    <w:p>
      <w:pPr>
        <w:ind w:firstLine="706"/>
        <w:spacing w:after="0" w:line="268" w:lineRule="auto"/>
        <w:rPr>
          <w:sz w:val="20"/>
          <w:szCs w:val="20"/>
          <w:color w:val="auto"/>
        </w:rPr>
      </w:pPr>
      <w:r>
        <w:rPr>
          <w:rFonts w:ascii="Times New Roman" w:cs="Times New Roman" w:eastAsia="Times New Roman" w:hAnsi="Times New Roman"/>
          <w:sz w:val="20"/>
          <w:szCs w:val="20"/>
          <w:color w:val="auto"/>
        </w:rPr>
        <w:t>Money market funds are valued with Level 1 inputs, using quoted market prices, and are included in cash and cash equivalents on the Company’s consolidated balance sheets.</w:t>
      </w:r>
    </w:p>
    <w:p>
      <w:pPr>
        <w:spacing w:after="0" w:line="172" w:lineRule="exact"/>
        <w:rPr>
          <w:sz w:val="20"/>
          <w:szCs w:val="20"/>
          <w:color w:val="auto"/>
        </w:rPr>
      </w:pPr>
    </w:p>
    <w:p>
      <w:pPr>
        <w:ind w:left="720" w:hanging="703"/>
        <w:spacing w:after="0"/>
        <w:tabs>
          <w:tab w:leader="none" w:pos="72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Cash and Cash Equivalents</w:t>
      </w:r>
    </w:p>
    <w:p>
      <w:pPr>
        <w:spacing w:after="0" w:line="220" w:lineRule="exact"/>
        <w:rPr>
          <w:sz w:val="20"/>
          <w:szCs w:val="20"/>
          <w:color w:val="auto"/>
        </w:rPr>
      </w:pPr>
    </w:p>
    <w:p>
      <w:pPr>
        <w:jc w:val="both"/>
        <w:ind w:firstLine="706"/>
        <w:spacing w:after="0" w:line="251" w:lineRule="auto"/>
        <w:rPr>
          <w:sz w:val="20"/>
          <w:szCs w:val="20"/>
          <w:color w:val="auto"/>
        </w:rPr>
      </w:pPr>
      <w:r>
        <w:rPr>
          <w:rFonts w:ascii="Times New Roman" w:cs="Times New Roman" w:eastAsia="Times New Roman" w:hAnsi="Times New Roman"/>
          <w:sz w:val="20"/>
          <w:szCs w:val="20"/>
          <w:color w:val="auto"/>
        </w:rPr>
        <w:t>The Company considers all highly liquid securities with an original maturity of ninety days or less from the date of purchase to be cash equivalents. Cash in foreign accounts was approximately $24.5 million and $28.5 million at December 31, 2025 and 2024, respectively.</w:t>
      </w:r>
    </w:p>
    <w:p>
      <w:pPr>
        <w:spacing w:after="0" w:line="182" w:lineRule="exact"/>
        <w:rPr>
          <w:sz w:val="20"/>
          <w:szCs w:val="20"/>
          <w:color w:val="auto"/>
        </w:rPr>
      </w:pPr>
    </w:p>
    <w:p>
      <w:pPr>
        <w:jc w:val="both"/>
        <w:ind w:firstLine="706"/>
        <w:spacing w:after="0" w:line="243" w:lineRule="auto"/>
        <w:rPr>
          <w:sz w:val="20"/>
          <w:szCs w:val="20"/>
          <w:color w:val="auto"/>
        </w:rPr>
      </w:pPr>
      <w:r>
        <w:rPr>
          <w:rFonts w:ascii="Times New Roman" w:cs="Times New Roman" w:eastAsia="Times New Roman" w:hAnsi="Times New Roman"/>
          <w:sz w:val="20"/>
          <w:szCs w:val="20"/>
          <w:color w:val="auto"/>
        </w:rPr>
        <w:t>The Company maintains cash and cash equivalents at U.S. financial institutions for which the combined account balances in individual institutions may exceed Federal Deposit Insurance Corporation ("FDIC") insurance coverage and, as a result, there is a concentration of credit risk related to amounts on deposit in excess of FDIC insurance coverage. As of December 31, 2025, approximately $190.5 million of U.S. deposits were not covered by FDIC insurance. The Company has not experienced any losses and believes it is not exposed to any significant risk with such accounts.</w:t>
      </w:r>
    </w:p>
    <w:p>
      <w:pPr>
        <w:spacing w:after="0" w:line="197" w:lineRule="exact"/>
        <w:rPr>
          <w:sz w:val="20"/>
          <w:szCs w:val="20"/>
          <w:color w:val="auto"/>
        </w:rPr>
      </w:pPr>
    </w:p>
    <w:p>
      <w:pPr>
        <w:ind w:left="720" w:hanging="703"/>
        <w:spacing w:after="0"/>
        <w:tabs>
          <w:tab w:leader="none" w:pos="72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Restricted Cash</w:t>
      </w:r>
    </w:p>
    <w:p>
      <w:pPr>
        <w:spacing w:after="0" w:line="220" w:lineRule="exact"/>
        <w:rPr>
          <w:sz w:val="20"/>
          <w:szCs w:val="20"/>
          <w:color w:val="auto"/>
        </w:rPr>
      </w:pPr>
    </w:p>
    <w:p>
      <w:pPr>
        <w:ind w:firstLine="706"/>
        <w:spacing w:after="0" w:line="268" w:lineRule="auto"/>
        <w:rPr>
          <w:sz w:val="20"/>
          <w:szCs w:val="20"/>
          <w:color w:val="auto"/>
        </w:rPr>
      </w:pPr>
      <w:r>
        <w:rPr>
          <w:rFonts w:ascii="Times New Roman" w:cs="Times New Roman" w:eastAsia="Times New Roman" w:hAnsi="Times New Roman"/>
          <w:sz w:val="20"/>
          <w:szCs w:val="20"/>
          <w:color w:val="auto"/>
        </w:rPr>
        <w:t>Restricted cash includes guarantee deposits for customs duties and deposits as collateral in order to secure bank acceptance notes issued to vendors.</w:t>
      </w:r>
    </w:p>
    <w:p>
      <w:pPr>
        <w:spacing w:after="0" w:line="172" w:lineRule="exact"/>
        <w:rPr>
          <w:sz w:val="20"/>
          <w:szCs w:val="20"/>
          <w:color w:val="auto"/>
        </w:rPr>
      </w:pPr>
    </w:p>
    <w:p>
      <w:pPr>
        <w:ind w:left="720" w:hanging="703"/>
        <w:spacing w:after="0"/>
        <w:tabs>
          <w:tab w:leader="none" w:pos="72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Accounts Receivable/Allowance for Doubtful Accounts</w:t>
      </w:r>
    </w:p>
    <w:p>
      <w:pPr>
        <w:spacing w:after="0" w:line="223" w:lineRule="exact"/>
        <w:rPr>
          <w:sz w:val="20"/>
          <w:szCs w:val="20"/>
          <w:color w:val="auto"/>
        </w:rPr>
      </w:pPr>
    </w:p>
    <w:p>
      <w:pPr>
        <w:jc w:val="both"/>
        <w:ind w:firstLine="706"/>
        <w:spacing w:after="0" w:line="243" w:lineRule="auto"/>
        <w:rPr>
          <w:sz w:val="20"/>
          <w:szCs w:val="20"/>
          <w:color w:val="auto"/>
        </w:rPr>
      </w:pPr>
      <w:r>
        <w:rPr>
          <w:rFonts w:ascii="Times New Roman" w:cs="Times New Roman" w:eastAsia="Times New Roman" w:hAnsi="Times New Roman"/>
          <w:sz w:val="20"/>
          <w:szCs w:val="20"/>
          <w:color w:val="auto"/>
        </w:rPr>
        <w:t>The Company carries its accounts receivable at the net amount that it estimates to be collectible. We have established an allowance for credit losses to estimate the risk of loss associated with our accounts receivable balances. The Company estimates its allowance for the credit losses based on historical collection, the age of outstanding receivables of the customer, existing economic conditions and reasonable forecasts. Different assumptions or changes in economic circumstances could result in changes to the allowance.</w:t>
      </w:r>
    </w:p>
    <w:p>
      <w:pPr>
        <w:spacing w:after="0" w:line="197" w:lineRule="exact"/>
        <w:rPr>
          <w:sz w:val="20"/>
          <w:szCs w:val="20"/>
          <w:color w:val="auto"/>
        </w:rPr>
      </w:pPr>
    </w:p>
    <w:p>
      <w:pPr>
        <w:ind w:left="720" w:hanging="703"/>
        <w:spacing w:after="0"/>
        <w:tabs>
          <w:tab w:leader="none" w:pos="72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Concentration of Credit Risk and Significant Customers</w:t>
      </w:r>
    </w:p>
    <w:p>
      <w:pPr>
        <w:spacing w:after="0" w:line="223" w:lineRule="exact"/>
        <w:rPr>
          <w:sz w:val="20"/>
          <w:szCs w:val="20"/>
          <w:color w:val="auto"/>
        </w:rPr>
      </w:pPr>
    </w:p>
    <w:p>
      <w:pPr>
        <w:jc w:val="both"/>
        <w:ind w:firstLine="706"/>
        <w:spacing w:after="0" w:line="265" w:lineRule="auto"/>
        <w:rPr>
          <w:sz w:val="20"/>
          <w:szCs w:val="20"/>
          <w:color w:val="auto"/>
        </w:rPr>
      </w:pPr>
      <w:r>
        <w:rPr>
          <w:rFonts w:ascii="Times New Roman" w:cs="Times New Roman" w:eastAsia="Times New Roman" w:hAnsi="Times New Roman"/>
          <w:sz w:val="20"/>
          <w:szCs w:val="20"/>
          <w:color w:val="auto"/>
        </w:rPr>
        <w:t>Financial instruments which potentially subject the Company to concentrations of credit risk include cash, cash equivalents and accounts receivable. The Company places all cash and cash equivalents with high-credit quality financial institutions.</w:t>
      </w:r>
    </w:p>
    <w:p>
      <w:pPr>
        <w:spacing w:after="0" w:line="167" w:lineRule="exact"/>
        <w:rPr>
          <w:sz w:val="20"/>
          <w:szCs w:val="20"/>
          <w:color w:val="auto"/>
        </w:rPr>
      </w:pPr>
    </w:p>
    <w:p>
      <w:pPr>
        <w:jc w:val="both"/>
        <w:ind w:firstLine="706"/>
        <w:spacing w:after="0" w:line="241" w:lineRule="auto"/>
        <w:rPr>
          <w:sz w:val="20"/>
          <w:szCs w:val="20"/>
          <w:color w:val="auto"/>
        </w:rPr>
      </w:pPr>
      <w:r>
        <w:rPr>
          <w:rFonts w:ascii="Times New Roman" w:cs="Times New Roman" w:eastAsia="Times New Roman" w:hAnsi="Times New Roman"/>
          <w:sz w:val="20"/>
          <w:szCs w:val="20"/>
          <w:color w:val="auto"/>
        </w:rPr>
        <w:t>The Company performs ongoing credit valuations of its customers’ financial condition whenever deemed necessary and generally does not require deposits or collateral to support customer receivables. The historical amount of losses on uncollectible accounts has been within the Company’s estimates. The Company generates much of its revenue from a limited number of customers. In 2025, 2024 and 2023, its top five customers represented 95.2%, 92.9% and 85.6% of its revenue, respectively. In 2025, Digicomm and Microsoft represented 53.1% and 28.8% of its revenue, respectively. In 2024, Microsoft, Digicomm and Oracle represented 43.7%, 35.1% and 12.4% of its revenue, respectively.</w:t>
      </w:r>
    </w:p>
    <w:p>
      <w:pPr>
        <w:spacing w:after="0" w:line="193" w:lineRule="exact"/>
        <w:rPr>
          <w:sz w:val="20"/>
          <w:szCs w:val="20"/>
          <w:color w:val="auto"/>
        </w:rPr>
      </w:pPr>
    </w:p>
    <w:p>
      <w:pPr>
        <w:jc w:val="both"/>
        <w:ind w:firstLine="706"/>
        <w:spacing w:after="0" w:line="243" w:lineRule="auto"/>
        <w:rPr>
          <w:sz w:val="20"/>
          <w:szCs w:val="20"/>
          <w:color w:val="auto"/>
        </w:rPr>
      </w:pPr>
      <w:r>
        <w:rPr>
          <w:rFonts w:ascii="Times New Roman" w:cs="Times New Roman" w:eastAsia="Times New Roman" w:hAnsi="Times New Roman"/>
          <w:sz w:val="20"/>
          <w:szCs w:val="20"/>
          <w:color w:val="auto"/>
        </w:rPr>
        <w:t>The five largest receivable balances for customers represented an aggregate of 94.0% and 95.5% of total accounts receivable at December 31, 2025 and 2024, respectively. As of December 31, 2025, Digicomm represented 71.6% of total accounts receivable and Microsoft represented 13.9% of total accounts receivable. As of December 31, 2024, Digicomm represented 66.6% of total accounts receivable and Microsoft represented 16.8% of total accounts receivable. No other customer represented greater than ten percent of revenue in 2025 or 2024 had greater than ten percent of total accounts receivable at December 31, 2025 or 2024.</w:t>
      </w:r>
    </w:p>
    <w:p>
      <w:pPr>
        <w:spacing w:after="0" w:line="197" w:lineRule="exact"/>
        <w:rPr>
          <w:sz w:val="20"/>
          <w:szCs w:val="20"/>
          <w:color w:val="auto"/>
        </w:rPr>
      </w:pPr>
    </w:p>
    <w:p>
      <w:pPr>
        <w:ind w:left="720" w:hanging="703"/>
        <w:spacing w:after="0"/>
        <w:tabs>
          <w:tab w:leader="none" w:pos="72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Inventories</w:t>
      </w:r>
    </w:p>
    <w:p>
      <w:pPr>
        <w:spacing w:after="0" w:line="223" w:lineRule="exact"/>
        <w:rPr>
          <w:sz w:val="20"/>
          <w:szCs w:val="20"/>
          <w:color w:val="auto"/>
        </w:rPr>
      </w:pPr>
    </w:p>
    <w:p>
      <w:pPr>
        <w:jc w:val="both"/>
        <w:ind w:firstLine="706"/>
        <w:spacing w:after="0" w:line="276" w:lineRule="auto"/>
        <w:rPr>
          <w:sz w:val="20"/>
          <w:szCs w:val="20"/>
          <w:color w:val="auto"/>
        </w:rPr>
      </w:pPr>
      <w:r>
        <w:rPr>
          <w:rFonts w:ascii="Times New Roman" w:cs="Times New Roman" w:eastAsia="Times New Roman" w:hAnsi="Times New Roman"/>
          <w:sz w:val="18"/>
          <w:szCs w:val="18"/>
          <w:color w:val="auto"/>
        </w:rPr>
        <w:t>Inventories are stated at the lower of cost (average-cost method) or net realizable value. Work in process and finished goods includes materials, labor and allocated overhead. The Company assesses the valuation of its inventory on a periodic basis and provides write-offs for the value of estimated excess and obsolete inventory based on estimates of future demand. Inventory reserves are recorded to account for the excess and obsolete inventory combined with the lower of cost or net realizable value assessments. To develop the reserve, the Company developed certain percentages that determine the extent of inventory reserve adjustments based on the age of the</w:t>
      </w:r>
    </w:p>
    <w:p>
      <w:pPr>
        <w:spacing w:after="0" w:line="1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F-9</w:t>
      </w:r>
    </w:p>
    <w:p>
      <w:pPr>
        <w:sectPr>
          <w:pgSz w:w="11880" w:h="15480" w:orient="portrait"/>
          <w:cols w:equalWidth="0" w:num="1">
            <w:col w:w="10600"/>
          </w:cols>
          <w:pgMar w:left="640" w:top="410" w:right="640" w:bottom="0" w:gutter="0" w:footer="0" w:header="0"/>
        </w:sectPr>
      </w:pPr>
    </w:p>
    <w:bookmarkStart w:id="69" w:name="page70"/>
    <w:bookmarkEnd w:id="69"/>
    <w:p>
      <w:pPr>
        <w:spacing w:after="0" w:line="324" w:lineRule="auto"/>
        <w:rPr>
          <w:sz w:val="20"/>
          <w:szCs w:val="20"/>
          <w:color w:val="auto"/>
        </w:rPr>
      </w:pPr>
      <w:r>
        <w:rPr>
          <w:rFonts w:ascii="Times New Roman" w:cs="Times New Roman" w:eastAsia="Times New Roman" w:hAnsi="Times New Roman"/>
          <w:sz w:val="18"/>
          <w:szCs w:val="18"/>
          <w:color w:val="auto"/>
        </w:rPr>
        <w:t>inventory. Such percentages were determined through analysis of the inventory to determine each product's lifespan, a review historical write-offs or scrapped inventory, and an assessment by product engineers of the possibility of obsolescence for each product.</w:t>
      </w:r>
    </w:p>
    <w:p>
      <w:pPr>
        <w:spacing w:after="0" w:line="125" w:lineRule="exact"/>
        <w:rPr>
          <w:sz w:val="20"/>
          <w:szCs w:val="20"/>
          <w:color w:val="auto"/>
        </w:rPr>
      </w:pPr>
    </w:p>
    <w:p>
      <w:pPr>
        <w:ind w:left="720" w:hanging="703"/>
        <w:spacing w:after="0"/>
        <w:tabs>
          <w:tab w:leader="none" w:pos="72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Property, Plant and Equipment</w:t>
      </w:r>
    </w:p>
    <w:p>
      <w:pPr>
        <w:spacing w:after="0" w:line="222" w:lineRule="exact"/>
        <w:rPr>
          <w:sz w:val="20"/>
          <w:szCs w:val="20"/>
          <w:color w:val="auto"/>
        </w:rPr>
      </w:pPr>
    </w:p>
    <w:p>
      <w:pPr>
        <w:jc w:val="both"/>
        <w:ind w:firstLine="706"/>
        <w:spacing w:after="0" w:line="268" w:lineRule="auto"/>
        <w:rPr>
          <w:sz w:val="20"/>
          <w:szCs w:val="20"/>
          <w:color w:val="auto"/>
        </w:rPr>
      </w:pPr>
      <w:r>
        <w:rPr>
          <w:rFonts w:ascii="Times New Roman" w:cs="Times New Roman" w:eastAsia="Times New Roman" w:hAnsi="Times New Roman"/>
          <w:sz w:val="20"/>
          <w:szCs w:val="20"/>
          <w:color w:val="auto"/>
        </w:rPr>
        <w:t>Property, plant and equipment are stated at cost, net of accumulated depreciation and amortization. The Company calculates depreciation using the straight-line method over the following estimated useful lives: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020" w:type="dxa"/>
            <w:vAlign w:val="bottom"/>
            <w:tcBorders>
              <w:bottom w:val="single" w:sz="8" w:color="DBDBDB"/>
            </w:tcBorders>
          </w:tcPr>
          <w:p>
            <w:pPr>
              <w:spacing w:after="0"/>
              <w:rPr>
                <w:sz w:val="22"/>
                <w:szCs w:val="22"/>
                <w:color w:val="auto"/>
              </w:rPr>
            </w:pPr>
          </w:p>
        </w:tc>
        <w:tc>
          <w:tcPr>
            <w:tcW w:w="220" w:type="dxa"/>
            <w:vAlign w:val="bottom"/>
            <w:tcBorders>
              <w:bottom w:val="single" w:sz="8" w:color="DBDBDB"/>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220" w:type="dxa"/>
            <w:vAlign w:val="bottom"/>
            <w:tcBorders>
              <w:bottom w:val="single" w:sz="8" w:color="auto"/>
            </w:tcBorders>
          </w:tcPr>
          <w:p>
            <w:pPr>
              <w:ind w:left="1600"/>
              <w:spacing w:after="0"/>
              <w:rPr>
                <w:sz w:val="20"/>
                <w:szCs w:val="20"/>
                <w:color w:val="auto"/>
              </w:rPr>
            </w:pPr>
            <w:r>
              <w:rPr>
                <w:rFonts w:ascii="Times New Roman" w:cs="Times New Roman" w:eastAsia="Times New Roman" w:hAnsi="Times New Roman"/>
                <w:sz w:val="20"/>
                <w:szCs w:val="20"/>
                <w:b w:val="1"/>
                <w:bCs w:val="1"/>
                <w:color w:val="auto"/>
              </w:rPr>
              <w:t>Useful lives (in years)</w:t>
            </w:r>
          </w:p>
        </w:tc>
      </w:tr>
      <w:tr>
        <w:trPr>
          <w:trHeight w:val="225"/>
        </w:trPr>
        <w:tc>
          <w:tcPr>
            <w:tcW w:w="5020" w:type="dxa"/>
            <w:vAlign w:val="bottom"/>
            <w:shd w:val="clear" w:color="auto" w:fill="DBDBDB"/>
          </w:tcPr>
          <w:p>
            <w:pPr>
              <w:ind w:left="20"/>
              <w:spacing w:after="0" w:line="225" w:lineRule="exact"/>
              <w:rPr>
                <w:sz w:val="20"/>
                <w:szCs w:val="20"/>
                <w:color w:val="auto"/>
              </w:rPr>
            </w:pPr>
            <w:r>
              <w:rPr>
                <w:rFonts w:ascii="Times New Roman" w:cs="Times New Roman" w:eastAsia="Times New Roman" w:hAnsi="Times New Roman"/>
                <w:sz w:val="20"/>
                <w:szCs w:val="20"/>
                <w:color w:val="auto"/>
              </w:rPr>
              <w:t>Buildings</w:t>
            </w:r>
          </w:p>
        </w:tc>
        <w:tc>
          <w:tcPr>
            <w:tcW w:w="220" w:type="dxa"/>
            <w:vAlign w:val="bottom"/>
            <w:shd w:val="clear" w:color="auto" w:fill="DBDBDB"/>
          </w:tcPr>
          <w:p>
            <w:pPr>
              <w:spacing w:after="0"/>
              <w:rPr>
                <w:sz w:val="19"/>
                <w:szCs w:val="19"/>
                <w:color w:val="auto"/>
              </w:rPr>
            </w:pPr>
          </w:p>
        </w:tc>
        <w:tc>
          <w:tcPr>
            <w:tcW w:w="5360" w:type="dxa"/>
            <w:vAlign w:val="bottom"/>
            <w:gridSpan w:val="2"/>
            <w:shd w:val="clear" w:color="auto" w:fill="DBDBDB"/>
          </w:tcPr>
          <w:p>
            <w:pPr>
              <w:ind w:left="20"/>
              <w:spacing w:after="0" w:line="225" w:lineRule="exact"/>
              <w:rPr>
                <w:sz w:val="20"/>
                <w:szCs w:val="20"/>
                <w:color w:val="auto"/>
              </w:rPr>
            </w:pPr>
            <w:r>
              <w:rPr>
                <w:rFonts w:ascii="Times New Roman" w:cs="Times New Roman" w:eastAsia="Times New Roman" w:hAnsi="Times New Roman"/>
                <w:sz w:val="20"/>
                <w:szCs w:val="20"/>
                <w:color w:val="auto"/>
              </w:rPr>
              <w:t>20 - 42</w:t>
            </w:r>
          </w:p>
        </w:tc>
      </w:tr>
      <w:tr>
        <w:trPr>
          <w:trHeight w:val="235"/>
        </w:trPr>
        <w:tc>
          <w:tcPr>
            <w:tcW w:w="50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Land improvements</w:t>
            </w:r>
          </w:p>
        </w:tc>
        <w:tc>
          <w:tcPr>
            <w:tcW w:w="558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10</w:t>
            </w:r>
          </w:p>
        </w:tc>
      </w:tr>
      <w:tr>
        <w:trPr>
          <w:trHeight w:val="235"/>
        </w:trPr>
        <w:tc>
          <w:tcPr>
            <w:tcW w:w="5020" w:type="dxa"/>
            <w:vAlign w:val="bottom"/>
            <w:shd w:val="clear" w:color="auto" w:fill="DBDBDB"/>
          </w:tcPr>
          <w:p>
            <w:pPr>
              <w:ind w:left="20"/>
              <w:spacing w:after="0"/>
              <w:rPr>
                <w:sz w:val="20"/>
                <w:szCs w:val="20"/>
                <w:color w:val="auto"/>
              </w:rPr>
            </w:pPr>
            <w:r>
              <w:rPr>
                <w:rFonts w:ascii="Times New Roman" w:cs="Times New Roman" w:eastAsia="Times New Roman" w:hAnsi="Times New Roman"/>
                <w:sz w:val="20"/>
                <w:szCs w:val="20"/>
                <w:color w:val="auto"/>
              </w:rPr>
              <w:t>Machinery and equipment</w:t>
            </w:r>
          </w:p>
        </w:tc>
        <w:tc>
          <w:tcPr>
            <w:tcW w:w="220" w:type="dxa"/>
            <w:vAlign w:val="bottom"/>
            <w:shd w:val="clear" w:color="auto" w:fill="DBDBDB"/>
          </w:tcPr>
          <w:p>
            <w:pPr>
              <w:spacing w:after="0"/>
              <w:rPr>
                <w:sz w:val="20"/>
                <w:szCs w:val="20"/>
                <w:color w:val="auto"/>
              </w:rPr>
            </w:pPr>
          </w:p>
        </w:tc>
        <w:tc>
          <w:tcPr>
            <w:tcW w:w="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w w:val="79"/>
              </w:rPr>
              <w:t>2</w:t>
            </w:r>
          </w:p>
        </w:tc>
        <w:tc>
          <w:tcPr>
            <w:tcW w:w="5220" w:type="dxa"/>
            <w:vAlign w:val="bottom"/>
            <w:shd w:val="clear" w:color="auto" w:fill="DBDBDB"/>
          </w:tcPr>
          <w:p>
            <w:pPr>
              <w:ind w:left="20"/>
              <w:spacing w:after="0"/>
              <w:rPr>
                <w:sz w:val="20"/>
                <w:szCs w:val="20"/>
                <w:color w:val="auto"/>
              </w:rPr>
            </w:pPr>
            <w:r>
              <w:rPr>
                <w:rFonts w:ascii="Times New Roman" w:cs="Times New Roman" w:eastAsia="Times New Roman" w:hAnsi="Times New Roman"/>
                <w:sz w:val="20"/>
                <w:szCs w:val="20"/>
                <w:color w:val="auto"/>
              </w:rPr>
              <w:t>- 20</w:t>
            </w:r>
          </w:p>
        </w:tc>
      </w:tr>
      <w:tr>
        <w:trPr>
          <w:trHeight w:val="235"/>
        </w:trPr>
        <w:tc>
          <w:tcPr>
            <w:tcW w:w="50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Furniture and fixtures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5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- 7</w:t>
            </w:r>
          </w:p>
        </w:tc>
      </w:tr>
      <w:tr>
        <w:trPr>
          <w:trHeight w:val="235"/>
        </w:trPr>
        <w:tc>
          <w:tcPr>
            <w:tcW w:w="5020" w:type="dxa"/>
            <w:vAlign w:val="bottom"/>
            <w:shd w:val="clear" w:color="auto" w:fill="DBDBDB"/>
          </w:tcPr>
          <w:p>
            <w:pPr>
              <w:ind w:left="20"/>
              <w:spacing w:after="0"/>
              <w:rPr>
                <w:sz w:val="20"/>
                <w:szCs w:val="20"/>
                <w:color w:val="auto"/>
              </w:rPr>
            </w:pPr>
            <w:r>
              <w:rPr>
                <w:rFonts w:ascii="Times New Roman" w:cs="Times New Roman" w:eastAsia="Times New Roman" w:hAnsi="Times New Roman"/>
                <w:sz w:val="20"/>
                <w:szCs w:val="20"/>
                <w:color w:val="auto"/>
              </w:rPr>
              <w:t>Computer equipment and software</w:t>
            </w:r>
          </w:p>
        </w:tc>
        <w:tc>
          <w:tcPr>
            <w:tcW w:w="220" w:type="dxa"/>
            <w:vAlign w:val="bottom"/>
            <w:shd w:val="clear" w:color="auto" w:fill="DBDBDB"/>
          </w:tcPr>
          <w:p>
            <w:pPr>
              <w:spacing w:after="0"/>
              <w:rPr>
                <w:sz w:val="20"/>
                <w:szCs w:val="20"/>
                <w:color w:val="auto"/>
              </w:rPr>
            </w:pPr>
          </w:p>
        </w:tc>
        <w:tc>
          <w:tcPr>
            <w:tcW w:w="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w w:val="79"/>
              </w:rPr>
              <w:t>3</w:t>
            </w:r>
          </w:p>
        </w:tc>
        <w:tc>
          <w:tcPr>
            <w:tcW w:w="5220" w:type="dxa"/>
            <w:vAlign w:val="bottom"/>
            <w:shd w:val="clear" w:color="auto" w:fill="DBDBDB"/>
          </w:tcPr>
          <w:p>
            <w:pPr>
              <w:ind w:left="20"/>
              <w:spacing w:after="0"/>
              <w:rPr>
                <w:sz w:val="20"/>
                <w:szCs w:val="20"/>
                <w:color w:val="auto"/>
              </w:rPr>
            </w:pPr>
            <w:r>
              <w:rPr>
                <w:rFonts w:ascii="Times New Roman" w:cs="Times New Roman" w:eastAsia="Times New Roman" w:hAnsi="Times New Roman"/>
                <w:sz w:val="20"/>
                <w:szCs w:val="20"/>
                <w:color w:val="auto"/>
              </w:rPr>
              <w:t>- 10</w:t>
            </w:r>
          </w:p>
        </w:tc>
      </w:tr>
      <w:tr>
        <w:trPr>
          <w:trHeight w:val="211"/>
        </w:trPr>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360" w:type="dxa"/>
            <w:vAlign w:val="bottom"/>
            <w:gridSpan w:val="2"/>
          </w:tcPr>
          <w:p>
            <w:pPr>
              <w:ind w:left="20"/>
              <w:spacing w:after="0" w:line="211" w:lineRule="exact"/>
              <w:rPr>
                <w:sz w:val="20"/>
                <w:szCs w:val="20"/>
                <w:color w:val="auto"/>
              </w:rPr>
            </w:pPr>
            <w:r>
              <w:rPr>
                <w:rFonts w:ascii="Times New Roman" w:cs="Times New Roman" w:eastAsia="Times New Roman" w:hAnsi="Times New Roman"/>
                <w:sz w:val="20"/>
                <w:szCs w:val="20"/>
                <w:color w:val="auto"/>
              </w:rPr>
              <w:t>The shorter of the life of the applicable lease or the useful life of</w:t>
            </w:r>
          </w:p>
        </w:tc>
      </w:tr>
      <w:tr>
        <w:trPr>
          <w:trHeight w:val="250"/>
        </w:trPr>
        <w:tc>
          <w:tcPr>
            <w:tcW w:w="50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Leasehold improvements</w:t>
            </w:r>
          </w:p>
        </w:tc>
        <w:tc>
          <w:tcPr>
            <w:tcW w:w="220" w:type="dxa"/>
            <w:vAlign w:val="bottom"/>
          </w:tcPr>
          <w:p>
            <w:pPr>
              <w:spacing w:after="0"/>
              <w:rPr>
                <w:sz w:val="21"/>
                <w:szCs w:val="21"/>
                <w:color w:val="auto"/>
              </w:rPr>
            </w:pP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the improvement</w:t>
            </w:r>
          </w:p>
        </w:tc>
      </w:tr>
      <w:tr>
        <w:trPr>
          <w:trHeight w:val="235"/>
        </w:trPr>
        <w:tc>
          <w:tcPr>
            <w:tcW w:w="5020" w:type="dxa"/>
            <w:vAlign w:val="bottom"/>
            <w:shd w:val="clear" w:color="auto" w:fill="DBDBDB"/>
          </w:tcPr>
          <w:p>
            <w:pPr>
              <w:ind w:left="20"/>
              <w:spacing w:after="0"/>
              <w:rPr>
                <w:sz w:val="20"/>
                <w:szCs w:val="20"/>
                <w:color w:val="auto"/>
              </w:rPr>
            </w:pPr>
            <w:r>
              <w:rPr>
                <w:rFonts w:ascii="Times New Roman" w:cs="Times New Roman" w:eastAsia="Times New Roman" w:hAnsi="Times New Roman"/>
                <w:sz w:val="20"/>
                <w:szCs w:val="20"/>
                <w:color w:val="auto"/>
              </w:rPr>
              <w:t>Transportation equipment</w:t>
            </w:r>
          </w:p>
        </w:tc>
        <w:tc>
          <w:tcPr>
            <w:tcW w:w="220" w:type="dxa"/>
            <w:vAlign w:val="bottom"/>
            <w:shd w:val="clear" w:color="auto" w:fill="DBDBDB"/>
          </w:tcPr>
          <w:p>
            <w:pPr>
              <w:spacing w:after="0"/>
              <w:rPr>
                <w:sz w:val="20"/>
                <w:szCs w:val="20"/>
                <w:color w:val="auto"/>
              </w:rPr>
            </w:pPr>
          </w:p>
        </w:tc>
        <w:tc>
          <w:tcPr>
            <w:tcW w:w="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w w:val="79"/>
              </w:rPr>
              <w:t>5</w:t>
            </w:r>
          </w:p>
        </w:tc>
        <w:tc>
          <w:tcPr>
            <w:tcW w:w="5220" w:type="dxa"/>
            <w:vAlign w:val="bottom"/>
            <w:shd w:val="clear" w:color="auto" w:fill="DBDBDB"/>
          </w:tcPr>
          <w:p>
            <w:pPr>
              <w:spacing w:after="0"/>
              <w:rPr>
                <w:sz w:val="20"/>
                <w:szCs w:val="20"/>
                <w:color w:val="auto"/>
              </w:rPr>
            </w:pPr>
          </w:p>
        </w:tc>
      </w:tr>
    </w:tbl>
    <w:p>
      <w:pPr>
        <w:spacing w:after="0" w:line="206" w:lineRule="exact"/>
        <w:rPr>
          <w:sz w:val="20"/>
          <w:szCs w:val="20"/>
          <w:color w:val="auto"/>
        </w:rPr>
      </w:pPr>
    </w:p>
    <w:p>
      <w:pPr>
        <w:jc w:val="both"/>
        <w:ind w:firstLine="706"/>
        <w:spacing w:after="0" w:line="243" w:lineRule="auto"/>
        <w:rPr>
          <w:sz w:val="20"/>
          <w:szCs w:val="20"/>
          <w:color w:val="auto"/>
        </w:rPr>
      </w:pPr>
      <w:r>
        <w:rPr>
          <w:rFonts w:ascii="Times New Roman" w:cs="Times New Roman" w:eastAsia="Times New Roman" w:hAnsi="Times New Roman"/>
          <w:sz w:val="20"/>
          <w:szCs w:val="20"/>
          <w:color w:val="auto"/>
        </w:rPr>
        <w:t>Major improvements are capitalized and expenditures for maintenance and repairs are expensed as incurred. Construction in progress represents property, plant and equipment under construction or being installed. Costs include original cost, installation, construction and other direct costs which include interest on borrowings used to finance the asset. Construction in progress is transferred to the appropriate fixed asset account and depreciation commences when the asset has been substantially completed and placed in service.</w:t>
      </w:r>
    </w:p>
    <w:p>
      <w:pPr>
        <w:spacing w:after="0" w:line="188" w:lineRule="exact"/>
        <w:rPr>
          <w:sz w:val="20"/>
          <w:szCs w:val="20"/>
          <w:color w:val="auto"/>
        </w:rPr>
      </w:pPr>
    </w:p>
    <w:p>
      <w:pPr>
        <w:jc w:val="both"/>
        <w:ind w:firstLine="706"/>
        <w:spacing w:after="0" w:line="245" w:lineRule="auto"/>
        <w:rPr>
          <w:sz w:val="20"/>
          <w:szCs w:val="20"/>
          <w:color w:val="auto"/>
        </w:rPr>
      </w:pPr>
      <w:r>
        <w:rPr>
          <w:rFonts w:ascii="Times New Roman" w:cs="Times New Roman" w:eastAsia="Times New Roman" w:hAnsi="Times New Roman"/>
          <w:sz w:val="20"/>
          <w:szCs w:val="20"/>
          <w:color w:val="auto"/>
        </w:rPr>
        <w:t>Land use rights allow the Company rights for 50 years to certain land in Ningbo, China on which the Company built a facility that included office space, manufacturing operations and employee dormitories. The land use rights are recorded at cost and are amortized on the straight-line basis over the useful life of the related contract. The land use rights expire on October 7, 2054 and December 28, 2067.</w:t>
      </w:r>
    </w:p>
    <w:p>
      <w:pPr>
        <w:spacing w:after="0" w:line="196" w:lineRule="exact"/>
        <w:rPr>
          <w:sz w:val="20"/>
          <w:szCs w:val="20"/>
          <w:color w:val="auto"/>
        </w:rPr>
      </w:pPr>
    </w:p>
    <w:p>
      <w:pPr>
        <w:ind w:left="720" w:hanging="703"/>
        <w:spacing w:after="0"/>
        <w:tabs>
          <w:tab w:leader="none" w:pos="72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Intangible Assets</w:t>
      </w:r>
    </w:p>
    <w:p>
      <w:pPr>
        <w:spacing w:after="0" w:line="220" w:lineRule="exact"/>
        <w:rPr>
          <w:sz w:val="20"/>
          <w:szCs w:val="20"/>
          <w:color w:val="auto"/>
        </w:rPr>
      </w:pPr>
    </w:p>
    <w:p>
      <w:pPr>
        <w:jc w:val="both"/>
        <w:ind w:firstLine="706"/>
        <w:spacing w:after="0" w:line="242" w:lineRule="auto"/>
        <w:rPr>
          <w:sz w:val="20"/>
          <w:szCs w:val="20"/>
          <w:color w:val="auto"/>
        </w:rPr>
      </w:pPr>
      <w:r>
        <w:rPr>
          <w:rFonts w:ascii="Times New Roman" w:cs="Times New Roman" w:eastAsia="Times New Roman" w:hAnsi="Times New Roman"/>
          <w:sz w:val="20"/>
          <w:szCs w:val="20"/>
          <w:color w:val="auto"/>
        </w:rPr>
        <w:t>Intangible assets consist of intellectual property that is stated at cost less accumulated amortization. As of December 31, 2025, the Company had 349 total patents issued. The costs incurred to obtain such patents have been capitalized and are being amortized over an estimated life between 10 and 20 years. The Company periodically evaluates its intangible assets to determine whether events or changes in circumstances indicate that a patent or trademark may not be applicable to the Company’s current products or is no longer in use. If such a determination is made, the intangible asset is impaired and the remaining value of the patent or trademark will be expensed at that time.</w:t>
      </w:r>
    </w:p>
    <w:p>
      <w:pPr>
        <w:spacing w:after="0" w:line="196" w:lineRule="exact"/>
        <w:rPr>
          <w:sz w:val="20"/>
          <w:szCs w:val="20"/>
          <w:color w:val="auto"/>
        </w:rPr>
      </w:pPr>
    </w:p>
    <w:p>
      <w:pPr>
        <w:ind w:left="720" w:hanging="703"/>
        <w:spacing w:after="0"/>
        <w:tabs>
          <w:tab w:leader="none" w:pos="72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Impairment of Long-Lived Assets</w:t>
      </w:r>
    </w:p>
    <w:p>
      <w:pPr>
        <w:spacing w:after="0" w:line="222" w:lineRule="exact"/>
        <w:rPr>
          <w:sz w:val="20"/>
          <w:szCs w:val="20"/>
          <w:color w:val="auto"/>
        </w:rPr>
      </w:pPr>
    </w:p>
    <w:p>
      <w:pPr>
        <w:jc w:val="both"/>
        <w:ind w:firstLine="706"/>
        <w:spacing w:after="0" w:line="266" w:lineRule="auto"/>
        <w:rPr>
          <w:sz w:val="20"/>
          <w:szCs w:val="20"/>
          <w:color w:val="auto"/>
        </w:rPr>
      </w:pPr>
      <w:r>
        <w:rPr>
          <w:rFonts w:ascii="Times New Roman" w:cs="Times New Roman" w:eastAsia="Times New Roman" w:hAnsi="Times New Roman"/>
          <w:sz w:val="18"/>
          <w:szCs w:val="18"/>
          <w:color w:val="auto"/>
        </w:rPr>
        <w:t>The Company accounts for impairment of long-lived assets in accordance with Accounting Standards Codification ("ASC") 360, Property, Plant and Equipment, ("ASC 360"). Long-lived assets consist primarily of property, plant and equipment, right-of-use assets and intangible assets. In accordance with ASC 360, the Company evaluates the carrying value of long-lived assets when it determines a triggering event has occurred, or whenever events or changes in circumstances indicate that the carrying amount of an asset may not be recoverable. When indicators exist, recoverability of assets is measured by a comparison of the carrying value of the asset group to the estimated undiscounted future net cash flows expected to be generated by the asset group. Examples of such triggering events include a significant disposal of a portion of such assets, an adverse change in the market involving the business employing the related asset, a significant decrease in the benefits realized from an acquired business, difficulties or delays in integrating the business, and a significant change in the operations of an acquired business. If such assets are determined not to be recoverable, the Company performs an analysis of the fair value of the asset group and will recognize an impairment loss when the fair value is less than the carrying amounts of such assets. The fair value, based on reasonable and supportable assumptions and projections, require subjective judgments. Depending on the assumptions and estimates used, the appraised fair value projected in the evaluation of long-lived assets can vary within a range of outcomes. The Company considers the likelihood of possible outcomes in determining the best estimate for the fair value of the assets. The Company did not record any asset impairment charges in 2025, 2024 or 2023.</w:t>
      </w:r>
    </w:p>
    <w:p>
      <w:pPr>
        <w:spacing w:after="0" w:line="200" w:lineRule="exact"/>
        <w:rPr>
          <w:sz w:val="20"/>
          <w:szCs w:val="20"/>
          <w:color w:val="auto"/>
        </w:rPr>
      </w:pPr>
    </w:p>
    <w:p>
      <w:pPr>
        <w:spacing w:after="0" w:line="253" w:lineRule="exact"/>
        <w:rPr>
          <w:sz w:val="20"/>
          <w:szCs w:val="20"/>
          <w:color w:val="auto"/>
        </w:rPr>
      </w:pPr>
    </w:p>
    <w:p>
      <w:pPr>
        <w:ind w:left="720" w:hanging="703"/>
        <w:spacing w:after="0"/>
        <w:tabs>
          <w:tab w:leader="none" w:pos="72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Comprehensive Income (Loss)</w:t>
      </w:r>
    </w:p>
    <w:p>
      <w:pPr>
        <w:spacing w:after="0" w:line="220" w:lineRule="exact"/>
        <w:rPr>
          <w:sz w:val="20"/>
          <w:szCs w:val="20"/>
          <w:color w:val="auto"/>
        </w:rPr>
      </w:pPr>
    </w:p>
    <w:p>
      <w:pPr>
        <w:jc w:val="both"/>
        <w:ind w:firstLine="706"/>
        <w:spacing w:after="0" w:line="251" w:lineRule="auto"/>
        <w:rPr>
          <w:sz w:val="20"/>
          <w:szCs w:val="20"/>
          <w:color w:val="auto"/>
        </w:rPr>
      </w:pPr>
      <w:r>
        <w:rPr>
          <w:rFonts w:ascii="Times New Roman" w:cs="Times New Roman" w:eastAsia="Times New Roman" w:hAnsi="Times New Roman"/>
          <w:sz w:val="20"/>
          <w:szCs w:val="20"/>
          <w:color w:val="auto"/>
        </w:rPr>
        <w:t>ASC 220, Comprehensive Income, ("ASC 220") establishes rules for reporting and display of comprehensive income (loss) and its components. ASC 220 requires that unrealized gains and losses on the Company’s foreign currency translation adjustments be included in comprehensive income (loss).</w:t>
      </w:r>
    </w:p>
    <w:p>
      <w:pPr>
        <w:sectPr>
          <w:pgSz w:w="11880" w:h="15480" w:orient="portrait"/>
          <w:cols w:equalWidth="0" w:num="1">
            <w:col w:w="10600"/>
          </w:cols>
          <w:pgMar w:left="640" w:top="410"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ectPr>
          <w:pgSz w:w="11880" w:h="15480" w:orient="portrait"/>
          <w:cols w:equalWidth="0" w:num="1">
            <w:col w:w="10600"/>
          </w:cols>
          <w:pgMar w:left="640" w:top="410" w:right="640" w:bottom="0" w:gutter="0" w:footer="0" w:header="0"/>
          <w:type w:val="continuous"/>
        </w:sectPr>
      </w:pPr>
    </w:p>
    <w:bookmarkStart w:id="70" w:name="page71"/>
    <w:bookmarkEnd w:id="70"/>
    <w:p>
      <w:pPr>
        <w:ind w:left="720" w:hanging="703"/>
        <w:spacing w:after="0"/>
        <w:tabs>
          <w:tab w:leader="none" w:pos="72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Share-based Compensation</w:t>
      </w:r>
    </w:p>
    <w:p>
      <w:pPr>
        <w:spacing w:after="0" w:line="223" w:lineRule="exact"/>
        <w:rPr>
          <w:sz w:val="20"/>
          <w:szCs w:val="20"/>
          <w:color w:val="auto"/>
        </w:rPr>
      </w:pPr>
    </w:p>
    <w:p>
      <w:pPr>
        <w:jc w:val="both"/>
        <w:ind w:firstLine="706"/>
        <w:spacing w:after="0" w:line="245" w:lineRule="auto"/>
        <w:rPr>
          <w:sz w:val="20"/>
          <w:szCs w:val="20"/>
          <w:color w:val="auto"/>
        </w:rPr>
      </w:pPr>
      <w:r>
        <w:rPr>
          <w:rFonts w:ascii="Times New Roman" w:cs="Times New Roman" w:eastAsia="Times New Roman" w:hAnsi="Times New Roman"/>
          <w:sz w:val="20"/>
          <w:szCs w:val="20"/>
          <w:color w:val="auto"/>
        </w:rPr>
        <w:t>The Company accounts for share-based compensation in accordance with the provisions of ASC 718, Compensation—Stock Compensation. Share-based compensation expense is recognized based on the grant date fair value in order to recognize compensation cost for those shares expected to vest. Compensation cost is recognized on a straight-line basis over the vesting period of the restricted stock units and adjusted as forfeitures occur.</w:t>
      </w:r>
    </w:p>
    <w:p>
      <w:pPr>
        <w:spacing w:after="0" w:line="196" w:lineRule="exact"/>
        <w:rPr>
          <w:sz w:val="20"/>
          <w:szCs w:val="20"/>
          <w:color w:val="auto"/>
        </w:rPr>
      </w:pPr>
    </w:p>
    <w:p>
      <w:pPr>
        <w:ind w:left="720" w:hanging="703"/>
        <w:spacing w:after="0"/>
        <w:tabs>
          <w:tab w:leader="none" w:pos="72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Revenue Recognition</w:t>
      </w:r>
    </w:p>
    <w:p>
      <w:pPr>
        <w:spacing w:after="0" w:line="223" w:lineRule="exact"/>
        <w:rPr>
          <w:sz w:val="20"/>
          <w:szCs w:val="20"/>
          <w:color w:val="auto"/>
        </w:rPr>
      </w:pPr>
    </w:p>
    <w:p>
      <w:pPr>
        <w:jc w:val="both"/>
        <w:ind w:firstLine="706"/>
        <w:spacing w:after="0" w:line="243" w:lineRule="auto"/>
        <w:rPr>
          <w:sz w:val="20"/>
          <w:szCs w:val="20"/>
          <w:color w:val="auto"/>
        </w:rPr>
      </w:pPr>
      <w:r>
        <w:rPr>
          <w:rFonts w:ascii="Times New Roman" w:cs="Times New Roman" w:eastAsia="Times New Roman" w:hAnsi="Times New Roman"/>
          <w:sz w:val="20"/>
          <w:szCs w:val="20"/>
          <w:color w:val="auto"/>
        </w:rPr>
        <w:t>The Company derives revenue from the manufacture and sale of fiber optic networking products. Revenue recognition follows the criteria of ASC 606, Revenue from Contracts with Customers. Specifically, the Company recognizes revenue when obligations under the terms of a contract with its customer are satisfied; generally this occurs with the transfer of control of products or services at point of time or over times. When the Company receives payments and its obligations to customers are not satisfied, the Company will recognize the payment as Unearned Revenue from customers.</w:t>
      </w:r>
    </w:p>
    <w:p>
      <w:pPr>
        <w:spacing w:after="0" w:line="197" w:lineRule="exact"/>
        <w:rPr>
          <w:sz w:val="20"/>
          <w:szCs w:val="20"/>
          <w:color w:val="auto"/>
        </w:rPr>
      </w:pPr>
    </w:p>
    <w:p>
      <w:pPr>
        <w:ind w:left="720" w:hanging="703"/>
        <w:spacing w:after="0"/>
        <w:tabs>
          <w:tab w:leader="none" w:pos="72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Product Warranty</w:t>
      </w:r>
    </w:p>
    <w:p>
      <w:pPr>
        <w:spacing w:after="0" w:line="220" w:lineRule="exact"/>
        <w:rPr>
          <w:sz w:val="20"/>
          <w:szCs w:val="20"/>
          <w:color w:val="auto"/>
        </w:rPr>
      </w:pPr>
    </w:p>
    <w:p>
      <w:pPr>
        <w:jc w:val="both"/>
        <w:ind w:firstLine="706"/>
        <w:spacing w:after="0"/>
        <w:rPr>
          <w:sz w:val="20"/>
          <w:szCs w:val="20"/>
          <w:color w:val="auto"/>
        </w:rPr>
      </w:pPr>
      <w:r>
        <w:rPr>
          <w:rFonts w:ascii="Times New Roman" w:cs="Times New Roman" w:eastAsia="Times New Roman" w:hAnsi="Times New Roman"/>
          <w:sz w:val="20"/>
          <w:szCs w:val="20"/>
          <w:color w:val="auto"/>
        </w:rPr>
        <w:t>The Company generally offers a one-year limited warranty for its products but it can extend for longer periods of three to five years for certain products sold to certain customers. The Company estimates the costs that may be incurred under its basic limited warranty and records a liability for the amount of such costs at the time when product defects occur. Factors that affect the Company’s warranty liability include the historical and anticipated rates of warranty claims and cost to repair. While the Company believes that its warranty accrual is adequate, the actual warranty costs may exceed the accrual, in which case the cost of sales will increase in the future. As of December 31, 2025 and 2024, the amount of accrued warranty was $0.48 million and $0.28 million, respectively. Changes in products warranty were as follows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380" w:type="dxa"/>
            <w:vAlign w:val="bottom"/>
            <w:tcBorders>
              <w:bottom w:val="single" w:sz="8" w:color="auto"/>
            </w:tcBorders>
          </w:tcPr>
          <w:p>
            <w:pPr>
              <w:spacing w:after="0"/>
              <w:rPr>
                <w:sz w:val="22"/>
                <w:szCs w:val="22"/>
                <w:color w:val="auto"/>
              </w:rPr>
            </w:pPr>
          </w:p>
        </w:tc>
      </w:tr>
      <w:tr>
        <w:trPr>
          <w:trHeight w:val="229"/>
        </w:trPr>
        <w:tc>
          <w:tcPr>
            <w:tcW w:w="7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400" w:type="dxa"/>
            <w:vAlign w:val="bottom"/>
          </w:tcPr>
          <w:p>
            <w:pPr>
              <w:spacing w:after="0"/>
              <w:rPr>
                <w:sz w:val="19"/>
                <w:szCs w:val="19"/>
                <w:color w:val="auto"/>
              </w:rPr>
            </w:pPr>
          </w:p>
        </w:tc>
        <w:tc>
          <w:tcPr>
            <w:tcW w:w="1240" w:type="dxa"/>
            <w:vAlign w:val="bottom"/>
            <w:gridSpan w:val="3"/>
          </w:tcPr>
          <w:p>
            <w:pPr>
              <w:jc w:val="right"/>
              <w:ind w:right="22"/>
              <w:spacing w:after="0"/>
              <w:rPr>
                <w:sz w:val="20"/>
                <w:szCs w:val="20"/>
                <w:color w:val="auto"/>
              </w:rPr>
            </w:pPr>
            <w:r>
              <w:rPr>
                <w:rFonts w:ascii="Times New Roman" w:cs="Times New Roman" w:eastAsia="Times New Roman" w:hAnsi="Times New Roman"/>
                <w:sz w:val="20"/>
                <w:szCs w:val="20"/>
                <w:b w:val="1"/>
                <w:bCs w:val="1"/>
                <w:color w:val="auto"/>
              </w:rPr>
              <w:t>2024</w:t>
            </w:r>
          </w:p>
        </w:tc>
        <w:tc>
          <w:tcPr>
            <w:tcW w:w="380" w:type="dxa"/>
            <w:vAlign w:val="bottom"/>
          </w:tcPr>
          <w:p>
            <w:pPr>
              <w:spacing w:after="0"/>
              <w:rPr>
                <w:sz w:val="19"/>
                <w:szCs w:val="19"/>
                <w:color w:val="auto"/>
              </w:rPr>
            </w:pPr>
          </w:p>
        </w:tc>
      </w:tr>
      <w:tr>
        <w:trPr>
          <w:trHeight w:val="225"/>
        </w:trPr>
        <w:tc>
          <w:tcPr>
            <w:tcW w:w="7500" w:type="dxa"/>
            <w:vAlign w:val="bottom"/>
            <w:tcBorders>
              <w:top w:val="single" w:sz="8" w:color="DBDBDB"/>
            </w:tcBorders>
            <w:shd w:val="clear" w:color="auto" w:fill="DBDBDB"/>
          </w:tcPr>
          <w:p>
            <w:pPr>
              <w:ind w:left="20"/>
              <w:spacing w:after="0" w:line="220" w:lineRule="exact"/>
              <w:rPr>
                <w:sz w:val="20"/>
                <w:szCs w:val="20"/>
                <w:color w:val="auto"/>
              </w:rPr>
            </w:pPr>
            <w:r>
              <w:rPr>
                <w:rFonts w:ascii="Times New Roman" w:cs="Times New Roman" w:eastAsia="Times New Roman" w:hAnsi="Times New Roman"/>
                <w:sz w:val="20"/>
                <w:szCs w:val="20"/>
                <w:color w:val="auto"/>
              </w:rPr>
              <w:t>Beginning Balance, January 1</w:t>
            </w:r>
          </w:p>
        </w:tc>
        <w:tc>
          <w:tcPr>
            <w:tcW w:w="80" w:type="dxa"/>
            <w:vAlign w:val="bottom"/>
            <w:tcBorders>
              <w:top w:val="single" w:sz="8" w:color="DBDBDB"/>
            </w:tcBorders>
            <w:shd w:val="clear" w:color="auto" w:fill="DBDBDB"/>
          </w:tcPr>
          <w:p>
            <w:pPr>
              <w:spacing w:after="0"/>
              <w:rPr>
                <w:sz w:val="19"/>
                <w:szCs w:val="19"/>
                <w:color w:val="auto"/>
              </w:rPr>
            </w:pPr>
          </w:p>
        </w:tc>
        <w:tc>
          <w:tcPr>
            <w:tcW w:w="20" w:type="dxa"/>
            <w:vAlign w:val="bottom"/>
            <w:tcBorders>
              <w:top w:val="single" w:sz="8" w:color="DBDBDB"/>
            </w:tcBorders>
            <w:shd w:val="clear" w:color="auto" w:fill="DBDBDB"/>
          </w:tcPr>
          <w:p>
            <w:pPr>
              <w:spacing w:after="0"/>
              <w:rPr>
                <w:sz w:val="19"/>
                <w:szCs w:val="19"/>
                <w:color w:val="auto"/>
              </w:rPr>
            </w:pPr>
          </w:p>
        </w:tc>
        <w:tc>
          <w:tcPr>
            <w:tcW w:w="120" w:type="dxa"/>
            <w:vAlign w:val="bottom"/>
            <w:tcBorders>
              <w:top w:val="single" w:sz="8" w:color="auto"/>
            </w:tcBorders>
            <w:shd w:val="clear" w:color="auto" w:fill="DBDBDB"/>
          </w:tcPr>
          <w:p>
            <w:pPr>
              <w:jc w:val="right"/>
              <w:spacing w:after="0" w:line="225"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860" w:type="dxa"/>
            <w:vAlign w:val="bottom"/>
            <w:tcBorders>
              <w:top w:val="single" w:sz="8" w:color="auto"/>
            </w:tcBorders>
            <w:shd w:val="clear" w:color="auto" w:fill="DBDBDB"/>
          </w:tcPr>
          <w:p>
            <w:pPr>
              <w:spacing w:after="0"/>
              <w:rPr>
                <w:sz w:val="19"/>
                <w:szCs w:val="19"/>
                <w:color w:val="auto"/>
              </w:rPr>
            </w:pPr>
          </w:p>
        </w:tc>
        <w:tc>
          <w:tcPr>
            <w:tcW w:w="400" w:type="dxa"/>
            <w:vAlign w:val="bottom"/>
            <w:tcBorders>
              <w:top w:val="single" w:sz="8" w:color="auto"/>
            </w:tcBorders>
            <w:shd w:val="clear" w:color="auto" w:fill="DBDBDB"/>
          </w:tcPr>
          <w:p>
            <w:pPr>
              <w:jc w:val="right"/>
              <w:spacing w:after="0" w:line="225" w:lineRule="exact"/>
              <w:rPr>
                <w:sz w:val="20"/>
                <w:szCs w:val="20"/>
                <w:color w:val="auto"/>
              </w:rPr>
            </w:pPr>
            <w:r>
              <w:rPr>
                <w:rFonts w:ascii="Times New Roman" w:cs="Times New Roman" w:eastAsia="Times New Roman" w:hAnsi="Times New Roman"/>
                <w:sz w:val="20"/>
                <w:szCs w:val="20"/>
                <w:color w:val="auto"/>
              </w:rPr>
              <w:t>277</w:t>
            </w:r>
          </w:p>
        </w:tc>
        <w:tc>
          <w:tcPr>
            <w:tcW w:w="200" w:type="dxa"/>
            <w:vAlign w:val="bottom"/>
            <w:tcBorders>
              <w:top w:val="single" w:sz="8" w:color="DBDBDB"/>
            </w:tcBorders>
            <w:shd w:val="clear" w:color="auto" w:fill="DBDBDB"/>
          </w:tcPr>
          <w:p>
            <w:pPr>
              <w:spacing w:after="0"/>
              <w:rPr>
                <w:sz w:val="19"/>
                <w:szCs w:val="19"/>
                <w:color w:val="auto"/>
              </w:rPr>
            </w:pPr>
          </w:p>
        </w:tc>
        <w:tc>
          <w:tcPr>
            <w:tcW w:w="20" w:type="dxa"/>
            <w:vAlign w:val="bottom"/>
            <w:tcBorders>
              <w:top w:val="single" w:sz="8" w:color="DBDBDB"/>
            </w:tcBorders>
            <w:shd w:val="clear" w:color="auto" w:fill="DBDBDB"/>
          </w:tcPr>
          <w:p>
            <w:pPr>
              <w:spacing w:after="0"/>
              <w:rPr>
                <w:sz w:val="19"/>
                <w:szCs w:val="19"/>
                <w:color w:val="auto"/>
              </w:rPr>
            </w:pPr>
          </w:p>
        </w:tc>
        <w:tc>
          <w:tcPr>
            <w:tcW w:w="1020" w:type="dxa"/>
            <w:vAlign w:val="bottom"/>
            <w:tcBorders>
              <w:top w:val="single" w:sz="8" w:color="auto"/>
            </w:tcBorders>
            <w:shd w:val="clear" w:color="auto" w:fill="DBDBDB"/>
          </w:tcPr>
          <w:p>
            <w:pPr>
              <w:jc w:val="right"/>
              <w:ind w:right="822"/>
              <w:spacing w:after="0" w:line="225"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380" w:type="dxa"/>
            <w:vAlign w:val="bottom"/>
            <w:tcBorders>
              <w:top w:val="single" w:sz="8" w:color="auto"/>
            </w:tcBorders>
            <w:shd w:val="clear" w:color="auto" w:fill="DBDBDB"/>
          </w:tcPr>
          <w:p>
            <w:pPr>
              <w:jc w:val="right"/>
              <w:spacing w:after="0" w:line="225" w:lineRule="exact"/>
              <w:rPr>
                <w:sz w:val="20"/>
                <w:szCs w:val="20"/>
                <w:color w:val="auto"/>
              </w:rPr>
            </w:pPr>
            <w:r>
              <w:rPr>
                <w:rFonts w:ascii="Times New Roman" w:cs="Times New Roman" w:eastAsia="Times New Roman" w:hAnsi="Times New Roman"/>
                <w:sz w:val="20"/>
                <w:szCs w:val="20"/>
                <w:color w:val="auto"/>
              </w:rPr>
              <w:t>255</w:t>
            </w:r>
          </w:p>
        </w:tc>
      </w:tr>
      <w:tr>
        <w:trPr>
          <w:trHeight w:val="235"/>
        </w:trPr>
        <w:tc>
          <w:tcPr>
            <w:tcW w:w="7600" w:type="dxa"/>
            <w:vAlign w:val="bottom"/>
            <w:tcBorders>
              <w:bottom w:val="single" w:sz="8" w:color="DBDBDB"/>
            </w:tcBorders>
            <w:gridSpan w:val="3"/>
          </w:tcPr>
          <w:p>
            <w:pPr>
              <w:ind w:left="20"/>
              <w:spacing w:after="0"/>
              <w:rPr>
                <w:sz w:val="20"/>
                <w:szCs w:val="20"/>
                <w:color w:val="auto"/>
              </w:rPr>
            </w:pPr>
            <w:r>
              <w:rPr>
                <w:rFonts w:ascii="Times New Roman" w:cs="Times New Roman" w:eastAsia="Times New Roman" w:hAnsi="Times New Roman"/>
                <w:sz w:val="20"/>
                <w:szCs w:val="20"/>
                <w:color w:val="auto"/>
              </w:rPr>
              <w:t>Warranty costs incurred</w:t>
            </w:r>
          </w:p>
        </w:tc>
        <w:tc>
          <w:tcPr>
            <w:tcW w:w="120" w:type="dxa"/>
            <w:vAlign w:val="bottom"/>
            <w:tcBorders>
              <w:bottom w:val="single" w:sz="8" w:color="DBDBDB"/>
            </w:tcBorders>
          </w:tcPr>
          <w:p>
            <w:pPr>
              <w:spacing w:after="0"/>
              <w:rPr>
                <w:sz w:val="20"/>
                <w:szCs w:val="20"/>
                <w:color w:val="auto"/>
              </w:rPr>
            </w:pPr>
          </w:p>
        </w:tc>
        <w:tc>
          <w:tcPr>
            <w:tcW w:w="860" w:type="dxa"/>
            <w:vAlign w:val="bottom"/>
            <w:tcBorders>
              <w:bottom w:val="single" w:sz="8" w:color="DBDBDB"/>
            </w:tcBorders>
          </w:tcPr>
          <w:p>
            <w:pPr>
              <w:spacing w:after="0"/>
              <w:rPr>
                <w:sz w:val="20"/>
                <w:szCs w:val="20"/>
                <w:color w:val="auto"/>
              </w:rPr>
            </w:pPr>
          </w:p>
        </w:tc>
        <w:tc>
          <w:tcPr>
            <w:tcW w:w="400" w:type="dxa"/>
            <w:vAlign w:val="bottom"/>
            <w:tcBorders>
              <w:bottom w:val="single" w:sz="8" w:color="DBDBDB"/>
            </w:tcBorders>
          </w:tcPr>
          <w:p>
            <w:pPr>
              <w:jc w:val="right"/>
              <w:spacing w:after="0"/>
              <w:rPr>
                <w:sz w:val="20"/>
                <w:szCs w:val="20"/>
                <w:color w:val="auto"/>
              </w:rPr>
            </w:pPr>
            <w:r>
              <w:rPr>
                <w:rFonts w:ascii="Times New Roman" w:cs="Times New Roman" w:eastAsia="Times New Roman" w:hAnsi="Times New Roman"/>
                <w:sz w:val="20"/>
                <w:szCs w:val="20"/>
                <w:color w:val="auto"/>
              </w:rPr>
              <w:t>(54)</w:t>
            </w:r>
          </w:p>
        </w:tc>
        <w:tc>
          <w:tcPr>
            <w:tcW w:w="200" w:type="dxa"/>
            <w:vAlign w:val="bottom"/>
            <w:tcBorders>
              <w:bottom w:val="single" w:sz="8" w:color="DBDBDB"/>
            </w:tcBorders>
          </w:tcPr>
          <w:p>
            <w:pPr>
              <w:spacing w:after="0"/>
              <w:rPr>
                <w:sz w:val="20"/>
                <w:szCs w:val="20"/>
                <w:color w:val="auto"/>
              </w:rPr>
            </w:pPr>
          </w:p>
        </w:tc>
        <w:tc>
          <w:tcPr>
            <w:tcW w:w="20" w:type="dxa"/>
            <w:vAlign w:val="bottom"/>
            <w:tcBorders>
              <w:bottom w:val="single" w:sz="8" w:color="DBDBDB"/>
            </w:tcBorders>
          </w:tcPr>
          <w:p>
            <w:pPr>
              <w:spacing w:after="0"/>
              <w:rPr>
                <w:sz w:val="20"/>
                <w:szCs w:val="20"/>
                <w:color w:val="auto"/>
              </w:rPr>
            </w:pPr>
          </w:p>
        </w:tc>
        <w:tc>
          <w:tcPr>
            <w:tcW w:w="1020" w:type="dxa"/>
            <w:vAlign w:val="bottom"/>
            <w:tcBorders>
              <w:bottom w:val="single" w:sz="8" w:color="DBDBDB"/>
            </w:tcBorders>
          </w:tcPr>
          <w:p>
            <w:pPr>
              <w:spacing w:after="0"/>
              <w:rPr>
                <w:sz w:val="20"/>
                <w:szCs w:val="20"/>
                <w:color w:val="auto"/>
              </w:rPr>
            </w:pPr>
          </w:p>
        </w:tc>
        <w:tc>
          <w:tcPr>
            <w:tcW w:w="380" w:type="dxa"/>
            <w:vAlign w:val="bottom"/>
            <w:tcBorders>
              <w:bottom w:val="single" w:sz="8" w:color="DBDBDB"/>
            </w:tcBorders>
          </w:tcPr>
          <w:p>
            <w:pPr>
              <w:jc w:val="right"/>
              <w:spacing w:after="0"/>
              <w:rPr>
                <w:sz w:val="20"/>
                <w:szCs w:val="20"/>
                <w:color w:val="auto"/>
              </w:rPr>
            </w:pPr>
            <w:r>
              <w:rPr>
                <w:rFonts w:ascii="Times New Roman" w:cs="Times New Roman" w:eastAsia="Times New Roman" w:hAnsi="Times New Roman"/>
                <w:sz w:val="20"/>
                <w:szCs w:val="20"/>
                <w:color w:val="auto"/>
              </w:rPr>
              <w:t>(63)</w:t>
            </w:r>
          </w:p>
        </w:tc>
      </w:tr>
      <w:tr>
        <w:trPr>
          <w:trHeight w:val="228"/>
        </w:trPr>
        <w:tc>
          <w:tcPr>
            <w:tcW w:w="7500" w:type="dxa"/>
            <w:vAlign w:val="bottom"/>
            <w:tcBorders>
              <w:bottom w:val="single" w:sz="8" w:color="DBDBDB"/>
            </w:tcBorders>
            <w:shd w:val="clear" w:color="auto" w:fill="DBDBDB"/>
          </w:tcPr>
          <w:p>
            <w:pPr>
              <w:ind w:left="20"/>
              <w:spacing w:after="0" w:line="208" w:lineRule="exact"/>
              <w:rPr>
                <w:sz w:val="20"/>
                <w:szCs w:val="20"/>
                <w:color w:val="auto"/>
              </w:rPr>
            </w:pPr>
            <w:r>
              <w:rPr>
                <w:rFonts w:ascii="Times New Roman" w:cs="Times New Roman" w:eastAsia="Times New Roman" w:hAnsi="Times New Roman"/>
                <w:sz w:val="20"/>
                <w:szCs w:val="20"/>
                <w:color w:val="auto"/>
              </w:rPr>
              <w:t>Provision for warranty</w:t>
            </w:r>
          </w:p>
        </w:tc>
        <w:tc>
          <w:tcPr>
            <w:tcW w:w="80" w:type="dxa"/>
            <w:vAlign w:val="bottom"/>
            <w:tcBorders>
              <w:bottom w:val="single" w:sz="8" w:color="DBDBDB"/>
            </w:tcBorders>
            <w:shd w:val="clear" w:color="auto" w:fill="DBDBDB"/>
          </w:tcPr>
          <w:p>
            <w:pPr>
              <w:spacing w:after="0"/>
              <w:rPr>
                <w:sz w:val="19"/>
                <w:szCs w:val="19"/>
                <w:color w:val="auto"/>
              </w:rPr>
            </w:pPr>
          </w:p>
        </w:tc>
        <w:tc>
          <w:tcPr>
            <w:tcW w:w="20" w:type="dxa"/>
            <w:vAlign w:val="bottom"/>
            <w:tcBorders>
              <w:bottom w:val="single" w:sz="8" w:color="DBDBDB"/>
            </w:tcBorders>
            <w:shd w:val="clear" w:color="auto" w:fill="DBDBDB"/>
          </w:tcPr>
          <w:p>
            <w:pPr>
              <w:spacing w:after="0"/>
              <w:rPr>
                <w:sz w:val="19"/>
                <w:szCs w:val="19"/>
                <w:color w:val="auto"/>
              </w:rPr>
            </w:pPr>
          </w:p>
        </w:tc>
        <w:tc>
          <w:tcPr>
            <w:tcW w:w="120" w:type="dxa"/>
            <w:vAlign w:val="bottom"/>
            <w:tcBorders>
              <w:bottom w:val="single" w:sz="8" w:color="auto"/>
            </w:tcBorders>
            <w:shd w:val="clear" w:color="auto" w:fill="DBDBDB"/>
          </w:tcPr>
          <w:p>
            <w:pPr>
              <w:spacing w:after="0"/>
              <w:rPr>
                <w:sz w:val="19"/>
                <w:szCs w:val="19"/>
                <w:color w:val="auto"/>
              </w:rPr>
            </w:pPr>
          </w:p>
        </w:tc>
        <w:tc>
          <w:tcPr>
            <w:tcW w:w="860" w:type="dxa"/>
            <w:vAlign w:val="bottom"/>
            <w:tcBorders>
              <w:bottom w:val="single" w:sz="8" w:color="auto"/>
            </w:tcBorders>
            <w:shd w:val="clear" w:color="auto" w:fill="DBDBDB"/>
          </w:tcPr>
          <w:p>
            <w:pPr>
              <w:spacing w:after="0"/>
              <w:rPr>
                <w:sz w:val="19"/>
                <w:szCs w:val="19"/>
                <w:color w:val="auto"/>
              </w:rPr>
            </w:pPr>
          </w:p>
        </w:tc>
        <w:tc>
          <w:tcPr>
            <w:tcW w:w="400" w:type="dxa"/>
            <w:vAlign w:val="bottom"/>
            <w:tcBorders>
              <w:bottom w:val="single" w:sz="8" w:color="auto"/>
            </w:tcBorders>
            <w:shd w:val="clear" w:color="auto" w:fill="DBDBDB"/>
          </w:tcPr>
          <w:p>
            <w:pPr>
              <w:jc w:val="right"/>
              <w:spacing w:after="0" w:line="208" w:lineRule="exact"/>
              <w:rPr>
                <w:sz w:val="20"/>
                <w:szCs w:val="20"/>
                <w:color w:val="auto"/>
              </w:rPr>
            </w:pPr>
            <w:r>
              <w:rPr>
                <w:rFonts w:ascii="Times New Roman" w:cs="Times New Roman" w:eastAsia="Times New Roman" w:hAnsi="Times New Roman"/>
                <w:sz w:val="20"/>
                <w:szCs w:val="20"/>
                <w:color w:val="auto"/>
              </w:rPr>
              <w:t>257</w:t>
            </w:r>
          </w:p>
        </w:tc>
        <w:tc>
          <w:tcPr>
            <w:tcW w:w="200" w:type="dxa"/>
            <w:vAlign w:val="bottom"/>
            <w:tcBorders>
              <w:bottom w:val="single" w:sz="8" w:color="DBDBDB"/>
            </w:tcBorders>
            <w:shd w:val="clear" w:color="auto" w:fill="DBDBDB"/>
          </w:tcPr>
          <w:p>
            <w:pPr>
              <w:spacing w:after="0"/>
              <w:rPr>
                <w:sz w:val="19"/>
                <w:szCs w:val="19"/>
                <w:color w:val="auto"/>
              </w:rPr>
            </w:pPr>
          </w:p>
        </w:tc>
        <w:tc>
          <w:tcPr>
            <w:tcW w:w="20" w:type="dxa"/>
            <w:vAlign w:val="bottom"/>
            <w:tcBorders>
              <w:bottom w:val="single" w:sz="8" w:color="DBDBDB"/>
            </w:tcBorders>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jc w:val="right"/>
              <w:spacing w:after="0" w:line="208" w:lineRule="exact"/>
              <w:rPr>
                <w:sz w:val="20"/>
                <w:szCs w:val="20"/>
                <w:color w:val="auto"/>
              </w:rPr>
            </w:pPr>
            <w:r>
              <w:rPr>
                <w:rFonts w:ascii="Times New Roman" w:cs="Times New Roman" w:eastAsia="Times New Roman" w:hAnsi="Times New Roman"/>
                <w:sz w:val="20"/>
                <w:szCs w:val="20"/>
                <w:color w:val="auto"/>
              </w:rPr>
              <w:t>85</w:t>
            </w:r>
          </w:p>
        </w:tc>
      </w:tr>
      <w:tr>
        <w:trPr>
          <w:trHeight w:val="233"/>
        </w:trPr>
        <w:tc>
          <w:tcPr>
            <w:tcW w:w="75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Ending Balance, December 31</w:t>
            </w: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480</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822"/>
              <w:spacing w:after="0"/>
              <w:rPr>
                <w:sz w:val="20"/>
                <w:szCs w:val="20"/>
                <w:color w:val="auto"/>
              </w:rPr>
            </w:pPr>
            <w:r>
              <w:rPr>
                <w:rFonts w:ascii="Times New Roman" w:cs="Times New Roman" w:eastAsia="Times New Roman" w:hAnsi="Times New Roman"/>
                <w:sz w:val="20"/>
                <w:szCs w:val="20"/>
                <w:color w:val="auto"/>
                <w:w w:val="79"/>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277</w:t>
            </w:r>
          </w:p>
        </w:tc>
      </w:tr>
      <w:tr>
        <w:trPr>
          <w:trHeight w:val="20"/>
        </w:trPr>
        <w:tc>
          <w:tcPr>
            <w:tcW w:w="7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720" w:hanging="703"/>
        <w:spacing w:after="0"/>
        <w:tabs>
          <w:tab w:leader="none" w:pos="72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Advertising Costs</w:t>
      </w:r>
    </w:p>
    <w:p>
      <w:pPr>
        <w:spacing w:after="0" w:line="223" w:lineRule="exact"/>
        <w:rPr>
          <w:sz w:val="20"/>
          <w:szCs w:val="20"/>
          <w:color w:val="auto"/>
        </w:rPr>
      </w:pPr>
    </w:p>
    <w:p>
      <w:pPr>
        <w:ind w:firstLine="706"/>
        <w:spacing w:after="0" w:line="265" w:lineRule="auto"/>
        <w:rPr>
          <w:sz w:val="20"/>
          <w:szCs w:val="20"/>
          <w:color w:val="auto"/>
        </w:rPr>
      </w:pPr>
      <w:r>
        <w:rPr>
          <w:rFonts w:ascii="Times New Roman" w:cs="Times New Roman" w:eastAsia="Times New Roman" w:hAnsi="Times New Roman"/>
          <w:sz w:val="20"/>
          <w:szCs w:val="20"/>
          <w:color w:val="auto"/>
        </w:rPr>
        <w:t>Advertising costs are charged to operations as incurred and amounted to approximately $1.9 million, $1.1 million and $0.8 million for the years ended December 31, 2025, 2024 and 2023, respectively.</w:t>
      </w:r>
    </w:p>
    <w:p>
      <w:pPr>
        <w:spacing w:after="0" w:line="176" w:lineRule="exact"/>
        <w:rPr>
          <w:sz w:val="20"/>
          <w:szCs w:val="20"/>
          <w:color w:val="auto"/>
        </w:rPr>
      </w:pPr>
    </w:p>
    <w:p>
      <w:pPr>
        <w:ind w:left="720" w:hanging="703"/>
        <w:spacing w:after="0"/>
        <w:tabs>
          <w:tab w:leader="none" w:pos="72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Research and Development</w:t>
      </w:r>
    </w:p>
    <w:p>
      <w:pPr>
        <w:spacing w:after="0" w:line="223" w:lineRule="exact"/>
        <w:rPr>
          <w:sz w:val="20"/>
          <w:szCs w:val="20"/>
          <w:color w:val="auto"/>
        </w:rPr>
      </w:pPr>
    </w:p>
    <w:p>
      <w:pPr>
        <w:ind w:firstLine="706"/>
        <w:spacing w:after="0" w:line="268" w:lineRule="auto"/>
        <w:rPr>
          <w:sz w:val="20"/>
          <w:szCs w:val="20"/>
          <w:color w:val="auto"/>
        </w:rPr>
      </w:pPr>
      <w:r>
        <w:rPr>
          <w:rFonts w:ascii="Times New Roman" w:cs="Times New Roman" w:eastAsia="Times New Roman" w:hAnsi="Times New Roman"/>
          <w:sz w:val="20"/>
          <w:szCs w:val="20"/>
          <w:color w:val="auto"/>
        </w:rPr>
        <w:t>Research and development costs are charged to operations as incurred. The Company receives reimbursement for certain development costs, which offset with expense up to the reimbursable amount.</w:t>
      </w:r>
    </w:p>
    <w:p>
      <w:pPr>
        <w:spacing w:after="0" w:line="170" w:lineRule="exact"/>
        <w:rPr>
          <w:sz w:val="20"/>
          <w:szCs w:val="20"/>
          <w:color w:val="auto"/>
        </w:rPr>
      </w:pPr>
    </w:p>
    <w:p>
      <w:pPr>
        <w:ind w:left="720" w:hanging="703"/>
        <w:spacing w:after="0"/>
        <w:tabs>
          <w:tab w:leader="none" w:pos="72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Shipping and Handling Costs</w:t>
      </w:r>
    </w:p>
    <w:p>
      <w:pPr>
        <w:spacing w:after="0" w:line="222" w:lineRule="exact"/>
        <w:rPr>
          <w:sz w:val="20"/>
          <w:szCs w:val="20"/>
          <w:color w:val="auto"/>
        </w:rPr>
      </w:pPr>
    </w:p>
    <w:p>
      <w:pPr>
        <w:jc w:val="both"/>
        <w:ind w:firstLine="706"/>
        <w:spacing w:after="0" w:line="251" w:lineRule="auto"/>
        <w:rPr>
          <w:sz w:val="20"/>
          <w:szCs w:val="20"/>
          <w:color w:val="auto"/>
        </w:rPr>
      </w:pPr>
      <w:r>
        <w:rPr>
          <w:rFonts w:ascii="Times New Roman" w:cs="Times New Roman" w:eastAsia="Times New Roman" w:hAnsi="Times New Roman"/>
          <w:sz w:val="20"/>
          <w:szCs w:val="20"/>
          <w:color w:val="auto"/>
        </w:rPr>
        <w:t>Shipping and handling costs are included in operating expenses as fulfillment costs unless we bill our customers for shipping and handling charges, which are included in net sales for the applicable period, and the corresponding shipping and handling expense is reported in cost of sales.</w:t>
      </w:r>
    </w:p>
    <w:p>
      <w:pPr>
        <w:spacing w:after="0" w:line="190" w:lineRule="exact"/>
        <w:rPr>
          <w:sz w:val="20"/>
          <w:szCs w:val="20"/>
          <w:color w:val="auto"/>
        </w:rPr>
      </w:pPr>
    </w:p>
    <w:p>
      <w:pPr>
        <w:ind w:left="720" w:hanging="703"/>
        <w:spacing w:after="0"/>
        <w:tabs>
          <w:tab w:leader="none" w:pos="72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Income Taxes</w:t>
      </w:r>
    </w:p>
    <w:p>
      <w:pPr>
        <w:spacing w:after="0" w:line="220" w:lineRule="exact"/>
        <w:rPr>
          <w:sz w:val="20"/>
          <w:szCs w:val="20"/>
          <w:color w:val="auto"/>
        </w:rPr>
      </w:pPr>
    </w:p>
    <w:p>
      <w:pPr>
        <w:jc w:val="both"/>
        <w:ind w:firstLine="706"/>
        <w:spacing w:after="0" w:line="243" w:lineRule="auto"/>
        <w:rPr>
          <w:sz w:val="20"/>
          <w:szCs w:val="20"/>
          <w:color w:val="auto"/>
        </w:rPr>
      </w:pPr>
      <w:r>
        <w:rPr>
          <w:rFonts w:ascii="Times New Roman" w:cs="Times New Roman" w:eastAsia="Times New Roman" w:hAnsi="Times New Roman"/>
          <w:sz w:val="20"/>
          <w:szCs w:val="20"/>
          <w:color w:val="auto"/>
        </w:rPr>
        <w:t>The Company accounts for income taxes in accordance with the provisions of ASC 740, Income Taxes. The liability method is used to account for deferred income taxes. Under the liability method, deferred tax assets and liabilities are measured using the enacted tax rates and laws that will be in effect when the differences are expected to reverse. The ability to realize deferred tax assets is evaluated annually and a valuation allowance is provided if it is unlikely that the deferred tax assets will not give rise to future benefits in the Company’s tax returns.</w:t>
      </w:r>
    </w:p>
    <w:p>
      <w:pPr>
        <w:spacing w:after="0" w:line="188" w:lineRule="exact"/>
        <w:rPr>
          <w:sz w:val="20"/>
          <w:szCs w:val="20"/>
          <w:color w:val="auto"/>
        </w:rPr>
      </w:pPr>
    </w:p>
    <w:p>
      <w:pPr>
        <w:jc w:val="both"/>
        <w:ind w:firstLine="706"/>
        <w:spacing w:after="0" w:line="246" w:lineRule="auto"/>
        <w:rPr>
          <w:sz w:val="20"/>
          <w:szCs w:val="20"/>
          <w:color w:val="auto"/>
        </w:rPr>
      </w:pPr>
      <w:r>
        <w:rPr>
          <w:rFonts w:ascii="Times New Roman" w:cs="Times New Roman" w:eastAsia="Times New Roman" w:hAnsi="Times New Roman"/>
          <w:sz w:val="20"/>
          <w:szCs w:val="20"/>
          <w:color w:val="auto"/>
        </w:rPr>
        <w:t>The Company records uncertain tax positions in accordance with ASC 740 on the basis of a two-step process in which (1) it determines whether it is more likely than not that the tax positions will be sustained on the basis of the technical merits of the position and (2) for those tax positions that meet the more-likely- than-not recognition threshold, it recognizes the largest amount of tax benefit that is more than 50% likely to be realized upon ultimate settlement with the related tax authority.</w:t>
      </w:r>
    </w:p>
    <w:p>
      <w:pPr>
        <w:sectPr>
          <w:pgSz w:w="11880" w:h="15480" w:orient="portrait"/>
          <w:cols w:equalWidth="0" w:num="1">
            <w:col w:w="10600"/>
          </w:cols>
          <w:pgMar w:left="640" w:top="419"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ectPr>
          <w:pgSz w:w="11880" w:h="15480" w:orient="portrait"/>
          <w:cols w:equalWidth="0" w:num="1">
            <w:col w:w="10600"/>
          </w:cols>
          <w:pgMar w:left="640" w:top="419" w:right="640" w:bottom="0" w:gutter="0" w:footer="0" w:header="0"/>
          <w:type w:val="continuous"/>
        </w:sectPr>
      </w:pPr>
    </w:p>
    <w:bookmarkStart w:id="71" w:name="page72"/>
    <w:bookmarkEnd w:id="71"/>
    <w:p>
      <w:pPr>
        <w:jc w:val="both"/>
        <w:ind w:firstLine="706"/>
        <w:spacing w:after="0" w:line="250" w:lineRule="auto"/>
        <w:rPr>
          <w:sz w:val="20"/>
          <w:szCs w:val="20"/>
          <w:color w:val="auto"/>
        </w:rPr>
      </w:pPr>
      <w:r>
        <w:rPr>
          <w:rFonts w:ascii="Times New Roman" w:cs="Times New Roman" w:eastAsia="Times New Roman" w:hAnsi="Times New Roman"/>
          <w:sz w:val="20"/>
          <w:szCs w:val="20"/>
          <w:color w:val="auto"/>
        </w:rPr>
        <w:t>The Company recognizes interest and penalties related to unrecognized tax benefits on the income tax expense line in the accompanying consolidated statement of operations. Accrued interest and penalties are included on the related tax liability line in the consolidated balance sheet.</w:t>
      </w:r>
    </w:p>
    <w:p>
      <w:pPr>
        <w:spacing w:after="0" w:line="191" w:lineRule="exact"/>
        <w:rPr>
          <w:sz w:val="20"/>
          <w:szCs w:val="20"/>
          <w:color w:val="auto"/>
        </w:rPr>
      </w:pPr>
    </w:p>
    <w:p>
      <w:pPr>
        <w:ind w:left="720" w:hanging="703"/>
        <w:spacing w:after="0"/>
        <w:tabs>
          <w:tab w:leader="none" w:pos="72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Government Grant</w:t>
      </w:r>
    </w:p>
    <w:p>
      <w:pPr>
        <w:spacing w:after="0" w:line="223" w:lineRule="exact"/>
        <w:rPr>
          <w:sz w:val="20"/>
          <w:szCs w:val="20"/>
          <w:color w:val="auto"/>
        </w:rPr>
      </w:pPr>
    </w:p>
    <w:p>
      <w:pPr>
        <w:jc w:val="both"/>
        <w:ind w:firstLine="706"/>
        <w:spacing w:after="0" w:line="241" w:lineRule="auto"/>
        <w:rPr>
          <w:sz w:val="20"/>
          <w:szCs w:val="20"/>
          <w:color w:val="auto"/>
        </w:rPr>
      </w:pPr>
      <w:r>
        <w:rPr>
          <w:rFonts w:ascii="Times New Roman" w:cs="Times New Roman" w:eastAsia="Times New Roman" w:hAnsi="Times New Roman"/>
          <w:sz w:val="20"/>
          <w:szCs w:val="20"/>
          <w:color w:val="auto"/>
        </w:rPr>
        <w:t>The Company receives incentives from local governments in China that encourage us to establish, maintain, or increase investment, employment, or production in the region. Because there is no direct applicable U.S. GAAP guidance that addresses the recognition and measurement of government assistance received by a business entity, U.S. GAAP allows for the adoption of other analogous accounting guidance under ASC 958-605 (Not-for-Profit Entities – Revenue Recognition). The Company accounts for the grant as other income based on the substance of the incentive received when the conditions associated with the grant are substantially met and collection is reasonably assured.</w:t>
      </w:r>
    </w:p>
    <w:p>
      <w:pPr>
        <w:spacing w:after="0" w:line="201" w:lineRule="exact"/>
        <w:rPr>
          <w:sz w:val="20"/>
          <w:szCs w:val="20"/>
          <w:color w:val="auto"/>
        </w:rPr>
      </w:pPr>
    </w:p>
    <w:p>
      <w:pPr>
        <w:ind w:left="720" w:hanging="703"/>
        <w:spacing w:after="0"/>
        <w:tabs>
          <w:tab w:leader="none" w:pos="72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Global Intangible Low-taxed Income Provisions ("GILTI")</w:t>
      </w:r>
    </w:p>
    <w:p>
      <w:pPr>
        <w:spacing w:after="0" w:line="223" w:lineRule="exact"/>
        <w:rPr>
          <w:sz w:val="20"/>
          <w:szCs w:val="20"/>
          <w:color w:val="auto"/>
        </w:rPr>
      </w:pPr>
    </w:p>
    <w:p>
      <w:pPr>
        <w:jc w:val="both"/>
        <w:ind w:firstLine="706"/>
        <w:spacing w:after="0" w:line="243" w:lineRule="auto"/>
        <w:rPr>
          <w:sz w:val="20"/>
          <w:szCs w:val="20"/>
          <w:color w:val="auto"/>
        </w:rPr>
      </w:pPr>
      <w:r>
        <w:rPr>
          <w:rFonts w:ascii="Times New Roman" w:cs="Times New Roman" w:eastAsia="Times New Roman" w:hAnsi="Times New Roman"/>
          <w:sz w:val="20"/>
          <w:szCs w:val="20"/>
          <w:color w:val="auto"/>
        </w:rPr>
        <w:t>One of the base broadening provisions of the U.S. Tax Cuts and Jobs Act of 2017 ("the 2017 Act") is the global intangible low-taxed income provisions ("GILTI"). In accordance with guidance issued by the FASB staff, the Company has adopted an accounting policy to treat any GILTI inclusions as a period cost if and when incurred. Thus, for the fiscal years ended December 31, 2025, December 31, 2024, and December 31, 2023, deferred taxes were computed without consideration of the possible future impact of the GILTI provisions, and any current year impact was recorded as a part of the current portion of income tax expense.</w:t>
      </w:r>
    </w:p>
    <w:p>
      <w:pPr>
        <w:spacing w:after="0" w:line="197" w:lineRule="exact"/>
        <w:rPr>
          <w:sz w:val="20"/>
          <w:szCs w:val="20"/>
          <w:color w:val="auto"/>
        </w:rPr>
      </w:pPr>
    </w:p>
    <w:p>
      <w:pPr>
        <w:ind w:left="720" w:hanging="703"/>
        <w:spacing w:after="0"/>
        <w:tabs>
          <w:tab w:leader="none" w:pos="72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Recent Accounting Pronouncements</w:t>
      </w:r>
    </w:p>
    <w:p>
      <w:pPr>
        <w:spacing w:after="0" w:line="217" w:lineRule="exact"/>
        <w:rPr>
          <w:rFonts w:ascii="Times New Roman" w:cs="Times New Roman" w:eastAsia="Times New Roman" w:hAnsi="Times New Roman"/>
          <w:sz w:val="20"/>
          <w:szCs w:val="20"/>
          <w:color w:val="auto"/>
        </w:rPr>
      </w:pPr>
    </w:p>
    <w:p>
      <w:pPr>
        <w:ind w:left="7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Recent Accounting Pronouncements Adopted in 2025</w:t>
      </w:r>
    </w:p>
    <w:p>
      <w:pPr>
        <w:spacing w:after="0" w:line="225" w:lineRule="exact"/>
        <w:rPr>
          <w:sz w:val="20"/>
          <w:szCs w:val="20"/>
          <w:color w:val="auto"/>
        </w:rPr>
      </w:pPr>
    </w:p>
    <w:p>
      <w:pPr>
        <w:jc w:val="both"/>
        <w:ind w:firstLine="706"/>
        <w:spacing w:after="0" w:line="241" w:lineRule="auto"/>
        <w:rPr>
          <w:sz w:val="20"/>
          <w:szCs w:val="20"/>
          <w:color w:val="auto"/>
        </w:rPr>
      </w:pPr>
      <w:r>
        <w:rPr>
          <w:rFonts w:ascii="Times New Roman" w:cs="Times New Roman" w:eastAsia="Times New Roman" w:hAnsi="Times New Roman"/>
          <w:sz w:val="20"/>
          <w:szCs w:val="20"/>
          <w:color w:val="auto"/>
        </w:rPr>
        <w:t>In December 2023, the FASB issued ASU 2023-09, Income Taxes (Topic 740): Improvements to Income Tax Disclosures, which requires the Company to disclose disaggregated jurisdictional and categorical information for the tax rate reconciliation, income taxes paid and other income tax related amounts. This guidance is effective for annual periods beginning after December 15, 2024, with early adoption permitted. The adoption is expected to enhance the Company's Notes to the Consolidated Financial Statements. We adopted this ASU on a prospective basis effective January 1, 2025. Refer to Note O, Income Taxes for the inclusion of new disclosures required.</w:t>
      </w:r>
    </w:p>
    <w:p>
      <w:pPr>
        <w:spacing w:after="0" w:line="19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Recent Accounting Pronouncements Yet to be Adopted</w:t>
      </w:r>
    </w:p>
    <w:p>
      <w:pPr>
        <w:spacing w:after="0" w:line="223" w:lineRule="exact"/>
        <w:rPr>
          <w:sz w:val="20"/>
          <w:szCs w:val="20"/>
          <w:color w:val="auto"/>
        </w:rPr>
      </w:pPr>
    </w:p>
    <w:p>
      <w:pPr>
        <w:jc w:val="both"/>
        <w:ind w:firstLine="706"/>
        <w:spacing w:after="0" w:line="243" w:lineRule="auto"/>
        <w:rPr>
          <w:sz w:val="20"/>
          <w:szCs w:val="20"/>
          <w:color w:val="auto"/>
        </w:rPr>
      </w:pPr>
      <w:r>
        <w:rPr>
          <w:rFonts w:ascii="Times New Roman" w:cs="Times New Roman" w:eastAsia="Times New Roman" w:hAnsi="Times New Roman"/>
          <w:sz w:val="20"/>
          <w:szCs w:val="20"/>
          <w:color w:val="auto"/>
        </w:rPr>
        <w:t>In November 2024, the FASB issued ASU 2024-03, Income Statement: Reporting Comprehensive Income/Expense Disaggregation Disclosures (Subtopic 220-40), to improve the disclosures about an entity's expenses. Upon adoption, we will be required to disclose in the notes a disaggregation of certain expense categories included within the expense captions of the income statement. The standard is effective for our 2027 annual period, and our interim periods beginning in 2028. The Company is currently evaluating the impact of the new standard will have on its financial statements and related disclosures.</w:t>
      </w:r>
    </w:p>
    <w:p>
      <w:pPr>
        <w:spacing w:after="0" w:line="189" w:lineRule="exact"/>
        <w:rPr>
          <w:sz w:val="20"/>
          <w:szCs w:val="20"/>
          <w:color w:val="auto"/>
        </w:rPr>
      </w:pPr>
    </w:p>
    <w:p>
      <w:pPr>
        <w:jc w:val="both"/>
        <w:ind w:firstLine="706"/>
        <w:spacing w:after="0" w:line="246" w:lineRule="auto"/>
        <w:rPr>
          <w:sz w:val="20"/>
          <w:szCs w:val="20"/>
          <w:color w:val="auto"/>
        </w:rPr>
      </w:pPr>
      <w:r>
        <w:rPr>
          <w:rFonts w:ascii="Times New Roman" w:cs="Times New Roman" w:eastAsia="Times New Roman" w:hAnsi="Times New Roman"/>
          <w:sz w:val="20"/>
          <w:szCs w:val="20"/>
          <w:color w:val="auto"/>
        </w:rPr>
        <w:t>In September 2025, the FASB issued ASU No. 2025-06, Intangibles—Goodwill and Other—Internal-Use Software, which modernizes the accounting for internal-use software and clarifies capitalization criteria. The updated standard is effective for us beginning with our interim and annual reporting periods of fiscal 2029. Early adoption is permitted. We are currently evaluating the impact that the updated standard will have on our Consolidated Financial Statements.</w:t>
      </w:r>
    </w:p>
    <w:p>
      <w:pPr>
        <w:spacing w:after="0" w:line="183" w:lineRule="exact"/>
        <w:rPr>
          <w:sz w:val="20"/>
          <w:szCs w:val="20"/>
          <w:color w:val="auto"/>
        </w:rPr>
      </w:pPr>
    </w:p>
    <w:p>
      <w:pPr>
        <w:jc w:val="both"/>
        <w:ind w:firstLine="706"/>
        <w:spacing w:after="0" w:line="243" w:lineRule="auto"/>
        <w:rPr>
          <w:sz w:val="20"/>
          <w:szCs w:val="20"/>
          <w:color w:val="auto"/>
        </w:rPr>
      </w:pPr>
      <w:r>
        <w:rPr>
          <w:rFonts w:ascii="Times New Roman" w:cs="Times New Roman" w:eastAsia="Times New Roman" w:hAnsi="Times New Roman"/>
          <w:sz w:val="20"/>
          <w:szCs w:val="20"/>
          <w:color w:val="auto"/>
        </w:rPr>
        <w:t>In December 2025, the FASB issued ASU 2025-10 to establish the accounting for a government grant received by a business entity including guidance for (1) a grant related to an asset and (2) a grant related to income. For public business entities, the provisions of ASU 2025-10 are effective for fiscal years beginning after December 15, 2028. Early adoption is permitted. Management is currently evaluating the requirements under this new standard and does not expect the adoption to have a material impact on the Company's results of operations or financial condition.</w:t>
      </w:r>
    </w:p>
    <w:p>
      <w:pPr>
        <w:spacing w:after="0" w:line="188" w:lineRule="exact"/>
        <w:rPr>
          <w:sz w:val="20"/>
          <w:szCs w:val="20"/>
          <w:color w:val="auto"/>
        </w:rPr>
      </w:pPr>
    </w:p>
    <w:p>
      <w:pPr>
        <w:jc w:val="both"/>
        <w:ind w:firstLine="706"/>
        <w:spacing w:after="0" w:line="242" w:lineRule="auto"/>
        <w:rPr>
          <w:sz w:val="20"/>
          <w:szCs w:val="20"/>
          <w:color w:val="auto"/>
        </w:rPr>
      </w:pPr>
      <w:r>
        <w:rPr>
          <w:rFonts w:ascii="Times New Roman" w:cs="Times New Roman" w:eastAsia="Times New Roman" w:hAnsi="Times New Roman"/>
          <w:sz w:val="20"/>
          <w:szCs w:val="20"/>
          <w:color w:val="auto"/>
        </w:rPr>
        <w:t>In December 2025, the FASB issued ASU No. 2025-11, Interim Reporting (Topic 270): Narrow-Scope Improvements. The ASU clarifies interim disclosure requirements and the applicability of Topic 270. The objective of the amendments is to provide further clarity about the current interim disclosure requirements. The ASU is effective for interim reporting periods within annual reporting periods beginning after December 15, 2027. Adoption of this ASU can be applied either a prospective or a retrospective approach. Early adoption is permitted. We are currently evaluating the provisions of this ASU and do not expect this ASU to have a material impact on our consolidated financial statements.</w:t>
      </w:r>
    </w:p>
    <w:p>
      <w:pPr>
        <w:spacing w:after="0" w:line="188" w:lineRule="exact"/>
        <w:rPr>
          <w:sz w:val="20"/>
          <w:szCs w:val="20"/>
          <w:color w:val="auto"/>
        </w:rPr>
      </w:pPr>
    </w:p>
    <w:p>
      <w:pPr>
        <w:jc w:val="both"/>
        <w:ind w:firstLine="706"/>
        <w:spacing w:after="0" w:line="282" w:lineRule="auto"/>
        <w:rPr>
          <w:sz w:val="20"/>
          <w:szCs w:val="20"/>
          <w:color w:val="auto"/>
        </w:rPr>
      </w:pPr>
      <w:r>
        <w:rPr>
          <w:rFonts w:ascii="Times New Roman" w:cs="Times New Roman" w:eastAsia="Times New Roman" w:hAnsi="Times New Roman"/>
          <w:sz w:val="18"/>
          <w:szCs w:val="18"/>
          <w:color w:val="auto"/>
        </w:rPr>
        <w:t>In December 2025, the FASB issued ASU No. 2025-12, Codification Improvements. The ASU addresses thirty-three items, representing the changes to the Codification that (1) clarify, (2) correct errors, or (3) make minor improvements. Generally, the amendments in this Update are not intended to result in significant changes for most entities. The ASU is effective for interim reporting periods within annual reporting periods beginning after December 15, 2026. The adoption method of this ASU may vary, on an issue-</w:t>
      </w:r>
    </w:p>
    <w:p>
      <w:pPr>
        <w:spacing w:after="0" w:line="3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F-12</w:t>
      </w:r>
    </w:p>
    <w:p>
      <w:pPr>
        <w:sectPr>
          <w:pgSz w:w="11880" w:h="15480" w:orient="portrait"/>
          <w:cols w:equalWidth="0" w:num="1">
            <w:col w:w="10600"/>
          </w:cols>
          <w:pgMar w:left="640" w:top="410" w:right="640" w:bottom="0" w:gutter="0" w:footer="0" w:header="0"/>
        </w:sectPr>
      </w:pPr>
    </w:p>
    <w:bookmarkStart w:id="72" w:name="page73"/>
    <w:bookmarkEnd w:id="72"/>
    <w:p>
      <w:pPr>
        <w:jc w:val="both"/>
        <w:ind w:right="20"/>
        <w:spacing w:after="0" w:line="268" w:lineRule="auto"/>
        <w:rPr>
          <w:sz w:val="20"/>
          <w:szCs w:val="20"/>
          <w:color w:val="auto"/>
        </w:rPr>
      </w:pPr>
      <w:r>
        <w:rPr>
          <w:rFonts w:ascii="Times New Roman" w:cs="Times New Roman" w:eastAsia="Times New Roman" w:hAnsi="Times New Roman"/>
          <w:sz w:val="20"/>
          <w:szCs w:val="20"/>
          <w:color w:val="auto"/>
        </w:rPr>
        <w:t>by-issue basis. Early adoption is permitted. We are currently evaluating the provisions of this ASU and do not expect this ASU to have a material impact on our consolidated financial statements.</w:t>
      </w:r>
    </w:p>
    <w:p>
      <w:pPr>
        <w:spacing w:after="0" w:line="162" w:lineRule="exact"/>
        <w:rPr>
          <w:sz w:val="20"/>
          <w:szCs w:val="20"/>
          <w:color w:val="auto"/>
        </w:rPr>
      </w:pPr>
    </w:p>
    <w:p>
      <w:pPr>
        <w:jc w:val="both"/>
        <w:ind w:firstLine="706"/>
        <w:spacing w:after="0" w:line="268" w:lineRule="auto"/>
        <w:rPr>
          <w:sz w:val="20"/>
          <w:szCs w:val="20"/>
          <w:color w:val="auto"/>
        </w:rPr>
      </w:pPr>
      <w:r>
        <w:rPr>
          <w:rFonts w:ascii="Times New Roman" w:cs="Times New Roman" w:eastAsia="Times New Roman" w:hAnsi="Times New Roman"/>
          <w:sz w:val="20"/>
          <w:szCs w:val="20"/>
          <w:color w:val="auto"/>
        </w:rPr>
        <w:t>There have been no other recent accounting pronouncements or changes in accounting pronouncements during fiscal 2025 that are of significance or potential significance to us.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C—REVENUE RECOGNITION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Revenue from Contracts with Customers</w:t>
      </w:r>
    </w:p>
    <w:p>
      <w:pPr>
        <w:spacing w:after="0" w:line="218" w:lineRule="exact"/>
        <w:rPr>
          <w:sz w:val="20"/>
          <w:szCs w:val="20"/>
          <w:color w:val="auto"/>
        </w:rPr>
      </w:pPr>
    </w:p>
    <w:p>
      <w:pPr>
        <w:jc w:val="both"/>
        <w:ind w:firstLine="706"/>
        <w:spacing w:after="0" w:line="243" w:lineRule="auto"/>
        <w:rPr>
          <w:sz w:val="20"/>
          <w:szCs w:val="20"/>
          <w:color w:val="auto"/>
        </w:rPr>
      </w:pPr>
      <w:r>
        <w:rPr>
          <w:rFonts w:ascii="Times New Roman" w:cs="Times New Roman" w:eastAsia="Times New Roman" w:hAnsi="Times New Roman"/>
          <w:sz w:val="20"/>
          <w:szCs w:val="20"/>
          <w:color w:val="auto"/>
        </w:rPr>
        <w:t>The Company derives revenue from the manufacture and sale of fiber optic networking products. Revenue is recognized when obligations under the terms of a contract with its customer are satisfied; generally this occurs with the transfer of control of products or services. Revenue is measured as the amount of consideration the Company expects to receive in exchange for transferring products or providing services. Certain customers may receive cash and/or non-cash incentives, which are accounted for as variable consideration. To achieve this core principle, the Company applies the following five steps: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1. Identify the contract with a customer</w:t>
      </w:r>
    </w:p>
    <w:p>
      <w:pPr>
        <w:spacing w:after="0" w:line="222" w:lineRule="exact"/>
        <w:rPr>
          <w:sz w:val="20"/>
          <w:szCs w:val="20"/>
          <w:color w:val="auto"/>
        </w:rPr>
      </w:pPr>
    </w:p>
    <w:p>
      <w:pPr>
        <w:jc w:val="both"/>
        <w:ind w:firstLine="706"/>
        <w:spacing w:after="0"/>
        <w:rPr>
          <w:sz w:val="20"/>
          <w:szCs w:val="20"/>
          <w:color w:val="auto"/>
        </w:rPr>
      </w:pPr>
      <w:r>
        <w:rPr>
          <w:rFonts w:ascii="Times New Roman" w:cs="Times New Roman" w:eastAsia="Times New Roman" w:hAnsi="Times New Roman"/>
          <w:sz w:val="20"/>
          <w:szCs w:val="20"/>
          <w:color w:val="auto"/>
        </w:rPr>
        <w:t>A contract with a customer exists when (i) the Company enters into an agreement with a customer that defines each party's rights regarding the products or services to be transferred and identifies the payment terms related to these products or services, (ii) both parties to the contract are committed to perform their respective obligations, (iii) the contract has commercial substance, and (iv) the Company determines that collection of substantially all consideration for products or services that are transferred is probable based on the customer's intent and ability to pay the promised consideration. The Company applies judgment in determining the customer's ability and intention to pay, which is based on a variety of factors including the customer's payment history or, in the case of a new customer, published credit and financial information pertaining to the customer.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2. Identify the performance obligations in the contract</w:t>
      </w:r>
    </w:p>
    <w:p>
      <w:pPr>
        <w:spacing w:after="0" w:line="222" w:lineRule="exact"/>
        <w:rPr>
          <w:sz w:val="20"/>
          <w:szCs w:val="20"/>
          <w:color w:val="auto"/>
        </w:rPr>
      </w:pPr>
    </w:p>
    <w:p>
      <w:pPr>
        <w:jc w:val="both"/>
        <w:ind w:firstLine="706"/>
        <w:spacing w:after="0" w:line="239" w:lineRule="auto"/>
        <w:rPr>
          <w:sz w:val="20"/>
          <w:szCs w:val="20"/>
          <w:color w:val="auto"/>
        </w:rPr>
      </w:pPr>
      <w:r>
        <w:rPr>
          <w:rFonts w:ascii="Times New Roman" w:cs="Times New Roman" w:eastAsia="Times New Roman" w:hAnsi="Times New Roman"/>
          <w:sz w:val="20"/>
          <w:szCs w:val="20"/>
          <w:color w:val="auto"/>
        </w:rPr>
        <w:t>Performance obligations promised in a contract are identified based on the products or services that will be transferred to the customer that are both capable of being distinct, whereby the customer can benefit from the product or service either on its own or together with other resources that are readily available from third parties or from the Company, and are distinct in the context of the contract, whereby the transfer of the products or services is separately identifiable from other promises in the contract. To the extent a contract includes multiple promised products or services, the Company must apply judgment to determine whether promised products or services are capable of being distinct and distinct in the context of the contract. If these criteria are not met, the promised products or services are accounted for as a combined performance obligation. The Company has elected to account for shipping and handling activities as a fulfillment cost as permitted by the standard.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3. Determine the transaction price</w:t>
      </w:r>
    </w:p>
    <w:p>
      <w:pPr>
        <w:spacing w:after="0" w:line="222" w:lineRule="exact"/>
        <w:rPr>
          <w:sz w:val="20"/>
          <w:szCs w:val="20"/>
          <w:color w:val="auto"/>
        </w:rPr>
      </w:pPr>
    </w:p>
    <w:p>
      <w:pPr>
        <w:jc w:val="both"/>
        <w:ind w:firstLine="706"/>
        <w:spacing w:after="0" w:line="241" w:lineRule="auto"/>
        <w:rPr>
          <w:sz w:val="20"/>
          <w:szCs w:val="20"/>
          <w:color w:val="auto"/>
        </w:rPr>
      </w:pPr>
      <w:r>
        <w:rPr>
          <w:rFonts w:ascii="Times New Roman" w:cs="Times New Roman" w:eastAsia="Times New Roman" w:hAnsi="Times New Roman"/>
          <w:sz w:val="20"/>
          <w:szCs w:val="20"/>
          <w:color w:val="auto"/>
        </w:rPr>
        <w:t>The transaction price is determined based on the consideration to which the Company will be entitled in exchange for transferring products or services to the customer. To the extent the transaction price is variable, revenue is recognized at an amount equal to the consideration to which the Company expects to be entitled. This estimate includes customer sales incentives which are accounted for as a reduction to revenue and estimated using either the expected value method or the most likely amount method, depending on the nature of the program. The Company will adjust its consideration for any rebates if it is more likely than not that the rebate conditions will be met.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4. Allocate the transaction price to performance obligations in the contract</w:t>
      </w:r>
    </w:p>
    <w:p>
      <w:pPr>
        <w:spacing w:after="0" w:line="219" w:lineRule="exact"/>
        <w:rPr>
          <w:sz w:val="20"/>
          <w:szCs w:val="20"/>
          <w:color w:val="auto"/>
        </w:rPr>
      </w:pPr>
    </w:p>
    <w:p>
      <w:pPr>
        <w:jc w:val="both"/>
        <w:ind w:firstLine="706"/>
        <w:spacing w:after="0" w:line="246" w:lineRule="auto"/>
        <w:rPr>
          <w:sz w:val="20"/>
          <w:szCs w:val="20"/>
          <w:color w:val="auto"/>
        </w:rPr>
      </w:pPr>
      <w:r>
        <w:rPr>
          <w:rFonts w:ascii="Times New Roman" w:cs="Times New Roman" w:eastAsia="Times New Roman" w:hAnsi="Times New Roman"/>
          <w:sz w:val="20"/>
          <w:szCs w:val="20"/>
          <w:color w:val="auto"/>
        </w:rPr>
        <w:t>If the contract contains a single performance obligation, the entire transaction price is allocated to the single performance obligation. Contracts that contain multiple performance obligations require an allocation of the transaction price to each performance obligation based on a relative standalone selling price for each performance obligation. The Company determines standalone selling price based on the price at which the performance obligation is sold separately.</w:t>
      </w:r>
    </w:p>
    <w:p>
      <w:pPr>
        <w:spacing w:after="0" w:line="186" w:lineRule="exact"/>
        <w:rPr>
          <w:sz w:val="20"/>
          <w:szCs w:val="20"/>
          <w:color w:val="auto"/>
        </w:rPr>
      </w:pPr>
    </w:p>
    <w:p>
      <w:pPr>
        <w:jc w:val="both"/>
        <w:ind w:firstLine="706"/>
        <w:spacing w:after="0" w:line="250" w:lineRule="auto"/>
        <w:rPr>
          <w:sz w:val="20"/>
          <w:szCs w:val="20"/>
          <w:color w:val="auto"/>
        </w:rPr>
      </w:pPr>
      <w:r>
        <w:rPr>
          <w:rFonts w:ascii="Times New Roman" w:cs="Times New Roman" w:eastAsia="Times New Roman" w:hAnsi="Times New Roman"/>
          <w:sz w:val="20"/>
          <w:szCs w:val="20"/>
          <w:color w:val="auto"/>
        </w:rPr>
        <w:t>In cases where there is no directly observable stand alone selling price, allowable estimation methods are used. For example for contracts involving non-recurring engineering, an expected cost plus margin approach has typically been adopted to estimate the standalone selling price.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5. Recognize revenue when or as the Company satisfies a performance obligation</w:t>
      </w:r>
    </w:p>
    <w:p>
      <w:pPr>
        <w:spacing w:after="0" w:line="222" w:lineRule="exact"/>
        <w:rPr>
          <w:sz w:val="20"/>
          <w:szCs w:val="20"/>
          <w:color w:val="auto"/>
        </w:rPr>
      </w:pPr>
    </w:p>
    <w:p>
      <w:pPr>
        <w:jc w:val="both"/>
        <w:ind w:right="20" w:firstLine="706"/>
        <w:spacing w:after="0" w:line="250" w:lineRule="auto"/>
        <w:rPr>
          <w:sz w:val="20"/>
          <w:szCs w:val="20"/>
          <w:color w:val="auto"/>
        </w:rPr>
      </w:pPr>
      <w:r>
        <w:rPr>
          <w:rFonts w:ascii="Times New Roman" w:cs="Times New Roman" w:eastAsia="Times New Roman" w:hAnsi="Times New Roman"/>
          <w:sz w:val="20"/>
          <w:szCs w:val="20"/>
          <w:color w:val="auto"/>
        </w:rPr>
        <w:t>For product sales, the Company generally satisfies performance obligations at a point in time, most often upon shipment of a product to the customer or delivery of the product to the customer. In the case of such point in time satisfaction of a performance obligation, revenue is recognized based on the transaction price at the time the related performance obligation is satisfied.</w:t>
      </w: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F-13</w:t>
      </w:r>
    </w:p>
    <w:p>
      <w:pPr>
        <w:sectPr>
          <w:pgSz w:w="11880" w:h="15480" w:orient="portrait"/>
          <w:cols w:equalWidth="0" w:num="1">
            <w:col w:w="10600"/>
          </w:cols>
          <w:pgMar w:left="640" w:top="410" w:right="640" w:bottom="0" w:gutter="0" w:footer="0" w:header="0"/>
        </w:sectPr>
      </w:pPr>
    </w:p>
    <w:bookmarkStart w:id="73" w:name="page74"/>
    <w:bookmarkEnd w:id="73"/>
    <w:p>
      <w:pPr>
        <w:jc w:val="both"/>
        <w:ind w:firstLine="706"/>
        <w:spacing w:after="0" w:line="243" w:lineRule="auto"/>
        <w:rPr>
          <w:sz w:val="20"/>
          <w:szCs w:val="20"/>
          <w:color w:val="auto"/>
        </w:rPr>
      </w:pPr>
      <w:r>
        <w:rPr>
          <w:rFonts w:ascii="Times New Roman" w:cs="Times New Roman" w:eastAsia="Times New Roman" w:hAnsi="Times New Roman"/>
          <w:sz w:val="20"/>
          <w:szCs w:val="20"/>
          <w:color w:val="auto"/>
        </w:rPr>
        <w:t>For service obligations, the Company generally recognizes revenue over time. The most common type of service obligation encountered by the Company is an arrangement involving non-recurring engineering in which service revenue is typically recognized over time under either the time and material practical expedient, as the Company has a right to consideration from a customer, in an amount that corresponds directly with the value to the customer of the Company's performance completed to date, or under the output method, for example using contract-specific milestones or other objective measures of progress.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Disaggregation of Revenue</w:t>
      </w:r>
    </w:p>
    <w:p>
      <w:pPr>
        <w:spacing w:after="0" w:line="216" w:lineRule="exact"/>
        <w:rPr>
          <w:sz w:val="20"/>
          <w:szCs w:val="20"/>
          <w:color w:val="auto"/>
        </w:rPr>
      </w:pPr>
    </w:p>
    <w:p>
      <w:pPr>
        <w:jc w:val="both"/>
        <w:ind w:firstLine="706"/>
        <w:spacing w:after="0" w:line="268" w:lineRule="auto"/>
        <w:rPr>
          <w:sz w:val="20"/>
          <w:szCs w:val="20"/>
          <w:color w:val="auto"/>
        </w:rPr>
      </w:pPr>
      <w:r>
        <w:rPr>
          <w:rFonts w:ascii="Times New Roman" w:cs="Times New Roman" w:eastAsia="Times New Roman" w:hAnsi="Times New Roman"/>
          <w:sz w:val="20"/>
          <w:szCs w:val="20"/>
          <w:color w:val="auto"/>
        </w:rPr>
        <w:t>Revenue is classified based on the location of where the product is manufactured. For additional information on the disaggregated revenues by geographical region, see Note R, "Segments and Geographic Information."</w:t>
      </w:r>
    </w:p>
    <w:p>
      <w:pPr>
        <w:spacing w:after="0" w:line="16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Revenue is also classified by major product category and is presented below (in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90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20"/>
                <w:szCs w:val="20"/>
                <w:b w:val="1"/>
                <w:bCs w:val="1"/>
                <w:color w:val="auto"/>
              </w:rPr>
              <w:t>Years ended December 31,</w:t>
            </w:r>
          </w:p>
        </w:tc>
        <w:tc>
          <w:tcPr>
            <w:tcW w:w="1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r>
      <w:tr>
        <w:trPr>
          <w:trHeight w:val="207"/>
        </w:trPr>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jc w:val="right"/>
              <w:ind w:right="322"/>
              <w:spacing w:after="0" w:line="207" w:lineRule="exact"/>
              <w:rPr>
                <w:sz w:val="20"/>
                <w:szCs w:val="20"/>
                <w:color w:val="auto"/>
              </w:rPr>
            </w:pPr>
            <w:r>
              <w:rPr>
                <w:rFonts w:ascii="Times New Roman" w:cs="Times New Roman" w:eastAsia="Times New Roman" w:hAnsi="Times New Roman"/>
                <w:sz w:val="20"/>
                <w:szCs w:val="20"/>
                <w:b w:val="1"/>
                <w:bCs w:val="1"/>
                <w:color w:val="auto"/>
              </w:rPr>
              <w:t>% of</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380"/>
              <w:spacing w:after="0" w:line="207" w:lineRule="exact"/>
              <w:rPr>
                <w:sz w:val="20"/>
                <w:szCs w:val="20"/>
                <w:color w:val="auto"/>
              </w:rPr>
            </w:pPr>
            <w:r>
              <w:rPr>
                <w:rFonts w:ascii="Times New Roman" w:cs="Times New Roman" w:eastAsia="Times New Roman" w:hAnsi="Times New Roman"/>
                <w:sz w:val="20"/>
                <w:szCs w:val="20"/>
                <w:b w:val="1"/>
                <w:bCs w:val="1"/>
                <w:color w:val="auto"/>
                <w:w w:val="95"/>
              </w:rPr>
              <w:t>% of</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ind w:right="342"/>
              <w:spacing w:after="0" w:line="207" w:lineRule="exact"/>
              <w:rPr>
                <w:sz w:val="20"/>
                <w:szCs w:val="20"/>
                <w:color w:val="auto"/>
              </w:rPr>
            </w:pPr>
            <w:r>
              <w:rPr>
                <w:rFonts w:ascii="Times New Roman" w:cs="Times New Roman" w:eastAsia="Times New Roman" w:hAnsi="Times New Roman"/>
                <w:sz w:val="20"/>
                <w:szCs w:val="20"/>
                <w:b w:val="1"/>
                <w:bCs w:val="1"/>
                <w:color w:val="auto"/>
              </w:rPr>
              <w:t>% of</w:t>
            </w:r>
          </w:p>
        </w:tc>
      </w:tr>
      <w:tr>
        <w:trPr>
          <w:trHeight w:val="255"/>
        </w:trPr>
        <w:tc>
          <w:tcPr>
            <w:tcW w:w="1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jc w:val="right"/>
              <w:ind w:right="342"/>
              <w:spacing w:after="0"/>
              <w:rPr>
                <w:sz w:val="20"/>
                <w:szCs w:val="20"/>
                <w:color w:val="auto"/>
              </w:rPr>
            </w:pPr>
            <w:r>
              <w:rPr>
                <w:rFonts w:ascii="Times New Roman" w:cs="Times New Roman" w:eastAsia="Times New Roman" w:hAnsi="Times New Roman"/>
                <w:sz w:val="20"/>
                <w:szCs w:val="20"/>
                <w:b w:val="1"/>
                <w:bCs w:val="1"/>
                <w:color w:val="auto"/>
              </w:rPr>
              <w:t>2025</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40" w:type="dxa"/>
            <w:vAlign w:val="bottom"/>
          </w:tcPr>
          <w:p>
            <w:pPr>
              <w:jc w:val="right"/>
              <w:ind w:right="162"/>
              <w:spacing w:after="0"/>
              <w:rPr>
                <w:sz w:val="20"/>
                <w:szCs w:val="20"/>
                <w:color w:val="auto"/>
              </w:rPr>
            </w:pPr>
            <w:r>
              <w:rPr>
                <w:rFonts w:ascii="Times New Roman" w:cs="Times New Roman" w:eastAsia="Times New Roman" w:hAnsi="Times New Roman"/>
                <w:sz w:val="20"/>
                <w:szCs w:val="20"/>
                <w:b w:val="1"/>
                <w:bCs w:val="1"/>
                <w:color w:val="auto"/>
              </w:rPr>
              <w:t>Revenue</w:t>
            </w: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jc w:val="right"/>
              <w:ind w:right="342"/>
              <w:spacing w:after="0"/>
              <w:rPr>
                <w:sz w:val="20"/>
                <w:szCs w:val="20"/>
                <w:color w:val="auto"/>
              </w:rPr>
            </w:pPr>
            <w:r>
              <w:rPr>
                <w:rFonts w:ascii="Times New Roman" w:cs="Times New Roman" w:eastAsia="Times New Roman" w:hAnsi="Times New Roman"/>
                <w:sz w:val="20"/>
                <w:szCs w:val="20"/>
                <w:b w:val="1"/>
                <w:bCs w:val="1"/>
                <w:color w:val="auto"/>
              </w:rPr>
              <w:t>2024</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gridSpan w:val="2"/>
          </w:tcPr>
          <w:p>
            <w:pPr>
              <w:jc w:val="center"/>
              <w:ind w:right="380"/>
              <w:spacing w:after="0"/>
              <w:rPr>
                <w:sz w:val="20"/>
                <w:szCs w:val="20"/>
                <w:color w:val="auto"/>
              </w:rPr>
            </w:pPr>
            <w:r>
              <w:rPr>
                <w:rFonts w:ascii="Times New Roman" w:cs="Times New Roman" w:eastAsia="Times New Roman" w:hAnsi="Times New Roman"/>
                <w:sz w:val="20"/>
                <w:szCs w:val="20"/>
                <w:b w:val="1"/>
                <w:bCs w:val="1"/>
                <w:color w:val="auto"/>
                <w:w w:val="98"/>
              </w:rPr>
              <w:t>Revenue</w:t>
            </w:r>
          </w:p>
        </w:tc>
        <w:tc>
          <w:tcPr>
            <w:tcW w:w="120" w:type="dxa"/>
            <w:vAlign w:val="bottom"/>
          </w:tcPr>
          <w:p>
            <w:pPr>
              <w:spacing w:after="0"/>
              <w:rPr>
                <w:sz w:val="22"/>
                <w:szCs w:val="22"/>
                <w:color w:val="auto"/>
              </w:rPr>
            </w:pPr>
          </w:p>
        </w:tc>
        <w:tc>
          <w:tcPr>
            <w:tcW w:w="1180" w:type="dxa"/>
            <w:vAlign w:val="bottom"/>
          </w:tcPr>
          <w:p>
            <w:pPr>
              <w:jc w:val="right"/>
              <w:ind w:right="362"/>
              <w:spacing w:after="0"/>
              <w:rPr>
                <w:sz w:val="20"/>
                <w:szCs w:val="20"/>
                <w:color w:val="auto"/>
              </w:rPr>
            </w:pPr>
            <w:r>
              <w:rPr>
                <w:rFonts w:ascii="Times New Roman" w:cs="Times New Roman" w:eastAsia="Times New Roman" w:hAnsi="Times New Roman"/>
                <w:sz w:val="20"/>
                <w:szCs w:val="20"/>
                <w:b w:val="1"/>
                <w:bCs w:val="1"/>
                <w:color w:val="auto"/>
              </w:rPr>
              <w:t>2023</w:t>
            </w: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tcPr>
          <w:p>
            <w:pPr>
              <w:jc w:val="right"/>
              <w:ind w:right="182"/>
              <w:spacing w:after="0"/>
              <w:rPr>
                <w:sz w:val="20"/>
                <w:szCs w:val="20"/>
                <w:color w:val="auto"/>
              </w:rPr>
            </w:pPr>
            <w:r>
              <w:rPr>
                <w:rFonts w:ascii="Times New Roman" w:cs="Times New Roman" w:eastAsia="Times New Roman" w:hAnsi="Times New Roman"/>
                <w:sz w:val="20"/>
                <w:szCs w:val="20"/>
                <w:b w:val="1"/>
                <w:bCs w:val="1"/>
                <w:color w:val="auto"/>
              </w:rPr>
              <w:t>Revenue</w:t>
            </w:r>
          </w:p>
        </w:tc>
      </w:tr>
      <w:tr>
        <w:trPr>
          <w:trHeight w:val="245"/>
        </w:trPr>
        <w:tc>
          <w:tcPr>
            <w:tcW w:w="1720" w:type="dxa"/>
            <w:vAlign w:val="bottom"/>
            <w:tcBorders>
              <w:top w:val="single" w:sz="8" w:color="DBDBDB"/>
              <w:bottom w:val="single" w:sz="8" w:color="DBDBDB"/>
            </w:tcBorders>
            <w:shd w:val="clear" w:color="auto" w:fill="DBDBDB"/>
          </w:tcPr>
          <w:p>
            <w:pPr>
              <w:ind w:left="20"/>
              <w:spacing w:after="0" w:line="225" w:lineRule="exact"/>
              <w:rPr>
                <w:sz w:val="20"/>
                <w:szCs w:val="20"/>
                <w:color w:val="auto"/>
              </w:rPr>
            </w:pPr>
            <w:r>
              <w:rPr>
                <w:rFonts w:ascii="Times New Roman" w:cs="Times New Roman" w:eastAsia="Times New Roman" w:hAnsi="Times New Roman"/>
                <w:sz w:val="20"/>
                <w:szCs w:val="20"/>
                <w:color w:val="auto"/>
              </w:rPr>
              <w:t>CATV</w:t>
            </w:r>
          </w:p>
        </w:tc>
        <w:tc>
          <w:tcPr>
            <w:tcW w:w="20" w:type="dxa"/>
            <w:vAlign w:val="bottom"/>
            <w:tcBorders>
              <w:top w:val="single" w:sz="8" w:color="DBDBDB"/>
            </w:tcBorders>
            <w:shd w:val="clear" w:color="auto" w:fill="DBDBDB"/>
          </w:tcPr>
          <w:p>
            <w:pPr>
              <w:spacing w:after="0"/>
              <w:rPr>
                <w:sz w:val="21"/>
                <w:szCs w:val="21"/>
                <w:color w:val="auto"/>
              </w:rPr>
            </w:pPr>
          </w:p>
        </w:tc>
        <w:tc>
          <w:tcPr>
            <w:tcW w:w="80" w:type="dxa"/>
            <w:vAlign w:val="bottom"/>
            <w:tcBorders>
              <w:top w:val="single" w:sz="8" w:color="DBDBDB"/>
              <w:bottom w:val="single" w:sz="8" w:color="DBDBDB"/>
              <w:right w:val="single" w:sz="8" w:color="DBDBDB"/>
            </w:tcBorders>
            <w:shd w:val="clear" w:color="auto" w:fill="DBDBDB"/>
          </w:tcPr>
          <w:p>
            <w:pPr>
              <w:spacing w:after="0"/>
              <w:rPr>
                <w:sz w:val="21"/>
                <w:szCs w:val="21"/>
                <w:color w:val="auto"/>
              </w:rPr>
            </w:pPr>
          </w:p>
        </w:tc>
        <w:tc>
          <w:tcPr>
            <w:tcW w:w="120" w:type="dxa"/>
            <w:vAlign w:val="bottom"/>
            <w:tcBorders>
              <w:top w:val="single" w:sz="8" w:color="auto"/>
              <w:bottom w:val="single" w:sz="8" w:color="DBDBDB"/>
            </w:tcBorders>
            <w:shd w:val="clear" w:color="auto" w:fill="DBDBDB"/>
          </w:tcPr>
          <w:p>
            <w:pPr>
              <w:jc w:val="right"/>
              <w:spacing w:after="0" w:line="225"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160" w:type="dxa"/>
            <w:vAlign w:val="bottom"/>
            <w:tcBorders>
              <w:top w:val="single" w:sz="8" w:color="auto"/>
              <w:bottom w:val="single" w:sz="8" w:color="DBDBDB"/>
            </w:tcBorders>
            <w:shd w:val="clear" w:color="auto" w:fill="DBDBDB"/>
          </w:tcPr>
          <w:p>
            <w:pPr>
              <w:jc w:val="right"/>
              <w:spacing w:after="0" w:line="225" w:lineRule="exact"/>
              <w:rPr>
                <w:sz w:val="20"/>
                <w:szCs w:val="20"/>
                <w:color w:val="auto"/>
              </w:rPr>
            </w:pPr>
            <w:r>
              <w:rPr>
                <w:rFonts w:ascii="Times New Roman" w:cs="Times New Roman" w:eastAsia="Times New Roman" w:hAnsi="Times New Roman"/>
                <w:sz w:val="20"/>
                <w:szCs w:val="20"/>
                <w:color w:val="auto"/>
              </w:rPr>
              <w:t>245,124</w:t>
            </w:r>
          </w:p>
        </w:tc>
        <w:tc>
          <w:tcPr>
            <w:tcW w:w="180" w:type="dxa"/>
            <w:vAlign w:val="bottom"/>
            <w:tcBorders>
              <w:top w:val="single" w:sz="8" w:color="DBDBDB"/>
              <w:bottom w:val="single" w:sz="8" w:color="DBDBDB"/>
            </w:tcBorders>
            <w:shd w:val="clear" w:color="auto" w:fill="DBDBDB"/>
          </w:tcPr>
          <w:p>
            <w:pPr>
              <w:spacing w:after="0"/>
              <w:rPr>
                <w:sz w:val="21"/>
                <w:szCs w:val="21"/>
                <w:color w:val="auto"/>
              </w:rPr>
            </w:pPr>
          </w:p>
        </w:tc>
        <w:tc>
          <w:tcPr>
            <w:tcW w:w="100" w:type="dxa"/>
            <w:vAlign w:val="bottom"/>
            <w:tcBorders>
              <w:top w:val="single" w:sz="8" w:color="auto"/>
              <w:bottom w:val="single" w:sz="8" w:color="DBDBDB"/>
            </w:tcBorders>
            <w:shd w:val="clear" w:color="auto" w:fill="DBDBDB"/>
          </w:tcPr>
          <w:p>
            <w:pPr>
              <w:spacing w:after="0"/>
              <w:rPr>
                <w:sz w:val="21"/>
                <w:szCs w:val="21"/>
                <w:color w:val="auto"/>
              </w:rPr>
            </w:pPr>
          </w:p>
        </w:tc>
        <w:tc>
          <w:tcPr>
            <w:tcW w:w="20" w:type="dxa"/>
            <w:vAlign w:val="bottom"/>
            <w:tcBorders>
              <w:top w:val="single" w:sz="8" w:color="auto"/>
            </w:tcBorders>
            <w:shd w:val="clear" w:color="auto" w:fill="DBDBDB"/>
          </w:tcPr>
          <w:p>
            <w:pPr>
              <w:spacing w:after="0"/>
              <w:rPr>
                <w:sz w:val="21"/>
                <w:szCs w:val="21"/>
                <w:color w:val="auto"/>
              </w:rPr>
            </w:pPr>
          </w:p>
        </w:tc>
        <w:tc>
          <w:tcPr>
            <w:tcW w:w="1140" w:type="dxa"/>
            <w:vAlign w:val="bottom"/>
            <w:tcBorders>
              <w:top w:val="single" w:sz="8" w:color="auto"/>
              <w:bottom w:val="single" w:sz="8" w:color="DBDBDB"/>
            </w:tcBorders>
            <w:shd w:val="clear" w:color="auto" w:fill="DBDBDB"/>
          </w:tcPr>
          <w:p>
            <w:pPr>
              <w:jc w:val="right"/>
              <w:spacing w:after="0" w:line="225" w:lineRule="exact"/>
              <w:rPr>
                <w:sz w:val="20"/>
                <w:szCs w:val="20"/>
                <w:color w:val="auto"/>
              </w:rPr>
            </w:pPr>
            <w:r>
              <w:rPr>
                <w:rFonts w:ascii="Times New Roman" w:cs="Times New Roman" w:eastAsia="Times New Roman" w:hAnsi="Times New Roman"/>
                <w:sz w:val="20"/>
                <w:szCs w:val="20"/>
                <w:color w:val="auto"/>
              </w:rPr>
              <w:t>53.8%</w:t>
            </w:r>
          </w:p>
        </w:tc>
        <w:tc>
          <w:tcPr>
            <w:tcW w:w="300" w:type="dxa"/>
            <w:vAlign w:val="bottom"/>
            <w:tcBorders>
              <w:top w:val="single" w:sz="8" w:color="DBDBDB"/>
              <w:bottom w:val="single" w:sz="8" w:color="DBDBDB"/>
              <w:right w:val="single" w:sz="8" w:color="DBDBDB"/>
            </w:tcBorders>
            <w:shd w:val="clear" w:color="auto" w:fill="DBDBDB"/>
          </w:tcPr>
          <w:p>
            <w:pPr>
              <w:spacing w:after="0"/>
              <w:rPr>
                <w:sz w:val="21"/>
                <w:szCs w:val="21"/>
                <w:color w:val="auto"/>
              </w:rPr>
            </w:pPr>
          </w:p>
        </w:tc>
        <w:tc>
          <w:tcPr>
            <w:tcW w:w="120" w:type="dxa"/>
            <w:vAlign w:val="bottom"/>
            <w:tcBorders>
              <w:top w:val="single" w:sz="8" w:color="auto"/>
              <w:bottom w:val="single" w:sz="8" w:color="DBDBDB"/>
            </w:tcBorders>
            <w:shd w:val="clear" w:color="auto" w:fill="DBDBDB"/>
          </w:tcPr>
          <w:p>
            <w:pPr>
              <w:jc w:val="right"/>
              <w:spacing w:after="0" w:line="225"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160" w:type="dxa"/>
            <w:vAlign w:val="bottom"/>
            <w:tcBorders>
              <w:top w:val="single" w:sz="8" w:color="auto"/>
              <w:bottom w:val="single" w:sz="8" w:color="DBDBDB"/>
            </w:tcBorders>
            <w:shd w:val="clear" w:color="auto" w:fill="DBDBDB"/>
          </w:tcPr>
          <w:p>
            <w:pPr>
              <w:jc w:val="right"/>
              <w:spacing w:after="0" w:line="225" w:lineRule="exact"/>
              <w:rPr>
                <w:sz w:val="20"/>
                <w:szCs w:val="20"/>
                <w:color w:val="auto"/>
              </w:rPr>
            </w:pPr>
            <w:r>
              <w:rPr>
                <w:rFonts w:ascii="Times New Roman" w:cs="Times New Roman" w:eastAsia="Times New Roman" w:hAnsi="Times New Roman"/>
                <w:sz w:val="20"/>
                <w:szCs w:val="20"/>
                <w:color w:val="auto"/>
              </w:rPr>
              <w:t>87,713</w:t>
            </w:r>
          </w:p>
        </w:tc>
        <w:tc>
          <w:tcPr>
            <w:tcW w:w="180" w:type="dxa"/>
            <w:vAlign w:val="bottom"/>
            <w:tcBorders>
              <w:top w:val="single" w:sz="8" w:color="DBDBDB"/>
              <w:bottom w:val="single" w:sz="8" w:color="DBDBDB"/>
            </w:tcBorders>
            <w:shd w:val="clear" w:color="auto" w:fill="DBDBDB"/>
          </w:tcPr>
          <w:p>
            <w:pPr>
              <w:spacing w:after="0"/>
              <w:rPr>
                <w:sz w:val="21"/>
                <w:szCs w:val="21"/>
                <w:color w:val="auto"/>
              </w:rPr>
            </w:pPr>
          </w:p>
        </w:tc>
        <w:tc>
          <w:tcPr>
            <w:tcW w:w="100" w:type="dxa"/>
            <w:vAlign w:val="bottom"/>
            <w:tcBorders>
              <w:top w:val="single" w:sz="8" w:color="auto"/>
              <w:bottom w:val="single" w:sz="8" w:color="DBDBDB"/>
            </w:tcBorders>
            <w:shd w:val="clear" w:color="auto" w:fill="DBDBDB"/>
          </w:tcPr>
          <w:p>
            <w:pPr>
              <w:spacing w:after="0"/>
              <w:rPr>
                <w:sz w:val="21"/>
                <w:szCs w:val="21"/>
                <w:color w:val="auto"/>
              </w:rPr>
            </w:pPr>
          </w:p>
        </w:tc>
        <w:tc>
          <w:tcPr>
            <w:tcW w:w="1160" w:type="dxa"/>
            <w:vAlign w:val="bottom"/>
            <w:tcBorders>
              <w:top w:val="single" w:sz="8" w:color="auto"/>
              <w:bottom w:val="single" w:sz="8" w:color="DBDBDB"/>
            </w:tcBorders>
            <w:shd w:val="clear" w:color="auto" w:fill="DBDBDB"/>
          </w:tcPr>
          <w:p>
            <w:pPr>
              <w:jc w:val="right"/>
              <w:spacing w:after="0" w:line="225" w:lineRule="exact"/>
              <w:rPr>
                <w:sz w:val="20"/>
                <w:szCs w:val="20"/>
                <w:color w:val="auto"/>
              </w:rPr>
            </w:pPr>
            <w:r>
              <w:rPr>
                <w:rFonts w:ascii="Times New Roman" w:cs="Times New Roman" w:eastAsia="Times New Roman" w:hAnsi="Times New Roman"/>
                <w:sz w:val="20"/>
                <w:szCs w:val="20"/>
                <w:color w:val="auto"/>
              </w:rPr>
              <w:t>35.2%</w:t>
            </w:r>
          </w:p>
        </w:tc>
        <w:tc>
          <w:tcPr>
            <w:tcW w:w="300" w:type="dxa"/>
            <w:vAlign w:val="bottom"/>
            <w:tcBorders>
              <w:top w:val="single" w:sz="8" w:color="DBDBDB"/>
              <w:bottom w:val="single" w:sz="8" w:color="DBDBDB"/>
              <w:right w:val="single" w:sz="8" w:color="DBDBDB"/>
            </w:tcBorders>
            <w:shd w:val="clear" w:color="auto" w:fill="DBDBDB"/>
          </w:tcPr>
          <w:p>
            <w:pPr>
              <w:spacing w:after="0"/>
              <w:rPr>
                <w:sz w:val="21"/>
                <w:szCs w:val="21"/>
                <w:color w:val="auto"/>
              </w:rPr>
            </w:pPr>
          </w:p>
        </w:tc>
        <w:tc>
          <w:tcPr>
            <w:tcW w:w="120" w:type="dxa"/>
            <w:vAlign w:val="bottom"/>
            <w:tcBorders>
              <w:top w:val="single" w:sz="8" w:color="auto"/>
              <w:bottom w:val="single" w:sz="8" w:color="DBDBDB"/>
            </w:tcBorders>
            <w:shd w:val="clear" w:color="auto" w:fill="DBDBDB"/>
          </w:tcPr>
          <w:p>
            <w:pPr>
              <w:jc w:val="right"/>
              <w:spacing w:after="0" w:line="225"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180" w:type="dxa"/>
            <w:vAlign w:val="bottom"/>
            <w:tcBorders>
              <w:top w:val="single" w:sz="8" w:color="auto"/>
              <w:bottom w:val="single" w:sz="8" w:color="DBDBDB"/>
            </w:tcBorders>
            <w:shd w:val="clear" w:color="auto" w:fill="DBDBDB"/>
          </w:tcPr>
          <w:p>
            <w:pPr>
              <w:jc w:val="right"/>
              <w:spacing w:after="0" w:line="225" w:lineRule="exact"/>
              <w:rPr>
                <w:sz w:val="20"/>
                <w:szCs w:val="20"/>
                <w:color w:val="auto"/>
              </w:rPr>
            </w:pPr>
            <w:r>
              <w:rPr>
                <w:rFonts w:ascii="Times New Roman" w:cs="Times New Roman" w:eastAsia="Times New Roman" w:hAnsi="Times New Roman"/>
                <w:sz w:val="20"/>
                <w:szCs w:val="20"/>
                <w:color w:val="auto"/>
              </w:rPr>
              <w:t>59,942</w:t>
            </w:r>
          </w:p>
        </w:tc>
        <w:tc>
          <w:tcPr>
            <w:tcW w:w="180" w:type="dxa"/>
            <w:vAlign w:val="bottom"/>
            <w:tcBorders>
              <w:top w:val="single" w:sz="8" w:color="DBDBDB"/>
              <w:bottom w:val="single" w:sz="8" w:color="DBDBDB"/>
              <w:right w:val="single" w:sz="8" w:color="DBDBDB"/>
            </w:tcBorders>
            <w:shd w:val="clear" w:color="auto" w:fill="DBDBDB"/>
          </w:tcPr>
          <w:p>
            <w:pPr>
              <w:spacing w:after="0"/>
              <w:rPr>
                <w:sz w:val="21"/>
                <w:szCs w:val="21"/>
                <w:color w:val="auto"/>
              </w:rPr>
            </w:pPr>
          </w:p>
        </w:tc>
        <w:tc>
          <w:tcPr>
            <w:tcW w:w="80" w:type="dxa"/>
            <w:vAlign w:val="bottom"/>
            <w:tcBorders>
              <w:top w:val="single" w:sz="8" w:color="auto"/>
              <w:bottom w:val="single" w:sz="8" w:color="DBDBDB"/>
            </w:tcBorders>
            <w:shd w:val="clear" w:color="auto" w:fill="DBDBDB"/>
          </w:tcPr>
          <w:p>
            <w:pPr>
              <w:spacing w:after="0"/>
              <w:rPr>
                <w:sz w:val="21"/>
                <w:szCs w:val="21"/>
                <w:color w:val="auto"/>
              </w:rPr>
            </w:pPr>
          </w:p>
        </w:tc>
        <w:tc>
          <w:tcPr>
            <w:tcW w:w="1180" w:type="dxa"/>
            <w:vAlign w:val="bottom"/>
            <w:tcBorders>
              <w:top w:val="single" w:sz="8" w:color="auto"/>
              <w:bottom w:val="single" w:sz="8" w:color="DBDBDB"/>
            </w:tcBorders>
            <w:shd w:val="clear" w:color="auto" w:fill="DBDBDB"/>
          </w:tcPr>
          <w:p>
            <w:pPr>
              <w:jc w:val="right"/>
              <w:spacing w:after="0" w:line="225" w:lineRule="exact"/>
              <w:rPr>
                <w:sz w:val="20"/>
                <w:szCs w:val="20"/>
                <w:color w:val="auto"/>
              </w:rPr>
            </w:pPr>
            <w:r>
              <w:rPr>
                <w:rFonts w:ascii="Times New Roman" w:cs="Times New Roman" w:eastAsia="Times New Roman" w:hAnsi="Times New Roman"/>
                <w:sz w:val="20"/>
                <w:szCs w:val="20"/>
                <w:color w:val="auto"/>
              </w:rPr>
              <w:t>27.5%</w:t>
            </w:r>
          </w:p>
        </w:tc>
      </w:tr>
      <w:tr>
        <w:trPr>
          <w:trHeight w:val="198"/>
        </w:trPr>
        <w:tc>
          <w:tcPr>
            <w:tcW w:w="1720" w:type="dxa"/>
            <w:vAlign w:val="bottom"/>
            <w:tcBorders>
              <w:bottom w:val="single" w:sz="8" w:color="DBDBDB"/>
            </w:tcBorders>
          </w:tcPr>
          <w:p>
            <w:pPr>
              <w:ind w:left="20"/>
              <w:spacing w:after="0" w:line="198" w:lineRule="exact"/>
              <w:rPr>
                <w:sz w:val="20"/>
                <w:szCs w:val="20"/>
                <w:color w:val="auto"/>
              </w:rPr>
            </w:pPr>
            <w:r>
              <w:rPr>
                <w:rFonts w:ascii="Times New Roman" w:cs="Times New Roman" w:eastAsia="Times New Roman" w:hAnsi="Times New Roman"/>
                <w:sz w:val="20"/>
                <w:szCs w:val="20"/>
                <w:color w:val="auto"/>
              </w:rPr>
              <w:t>Data Center</w:t>
            </w:r>
          </w:p>
        </w:tc>
        <w:tc>
          <w:tcPr>
            <w:tcW w:w="20" w:type="dxa"/>
            <w:vAlign w:val="bottom"/>
            <w:tcBorders>
              <w:bottom w:val="single" w:sz="8" w:color="DBDBDB"/>
            </w:tcBorders>
          </w:tcPr>
          <w:p>
            <w:pPr>
              <w:spacing w:after="0"/>
              <w:rPr>
                <w:sz w:val="17"/>
                <w:szCs w:val="17"/>
                <w:color w:val="auto"/>
              </w:rPr>
            </w:pPr>
          </w:p>
        </w:tc>
        <w:tc>
          <w:tcPr>
            <w:tcW w:w="80" w:type="dxa"/>
            <w:vAlign w:val="bottom"/>
            <w:tcBorders>
              <w:bottom w:val="single" w:sz="8" w:color="DBDBDB"/>
            </w:tcBorders>
          </w:tcPr>
          <w:p>
            <w:pPr>
              <w:spacing w:after="0"/>
              <w:rPr>
                <w:sz w:val="17"/>
                <w:szCs w:val="17"/>
                <w:color w:val="auto"/>
              </w:rPr>
            </w:pPr>
          </w:p>
        </w:tc>
        <w:tc>
          <w:tcPr>
            <w:tcW w:w="120" w:type="dxa"/>
            <w:vAlign w:val="bottom"/>
            <w:tcBorders>
              <w:bottom w:val="single" w:sz="8" w:color="DBDBDB"/>
            </w:tcBorders>
          </w:tcPr>
          <w:p>
            <w:pPr>
              <w:spacing w:after="0"/>
              <w:rPr>
                <w:sz w:val="17"/>
                <w:szCs w:val="17"/>
                <w:color w:val="auto"/>
              </w:rPr>
            </w:pPr>
          </w:p>
        </w:tc>
        <w:tc>
          <w:tcPr>
            <w:tcW w:w="1160" w:type="dxa"/>
            <w:vAlign w:val="bottom"/>
            <w:tcBorders>
              <w:bottom w:val="single" w:sz="8" w:color="DBDBDB"/>
            </w:tcBorders>
          </w:tcPr>
          <w:p>
            <w:pPr>
              <w:jc w:val="right"/>
              <w:spacing w:after="0" w:line="198" w:lineRule="exact"/>
              <w:rPr>
                <w:sz w:val="20"/>
                <w:szCs w:val="20"/>
                <w:color w:val="auto"/>
              </w:rPr>
            </w:pPr>
            <w:r>
              <w:rPr>
                <w:rFonts w:ascii="Times New Roman" w:cs="Times New Roman" w:eastAsia="Times New Roman" w:hAnsi="Times New Roman"/>
                <w:sz w:val="20"/>
                <w:szCs w:val="20"/>
                <w:color w:val="auto"/>
              </w:rPr>
              <w:t>195,651</w:t>
            </w:r>
          </w:p>
        </w:tc>
        <w:tc>
          <w:tcPr>
            <w:tcW w:w="180" w:type="dxa"/>
            <w:vAlign w:val="bottom"/>
            <w:tcBorders>
              <w:bottom w:val="single" w:sz="8" w:color="DBDBDB"/>
            </w:tcBorders>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20" w:type="dxa"/>
            <w:vAlign w:val="bottom"/>
            <w:tcBorders>
              <w:bottom w:val="single" w:sz="8" w:color="DBDBDB"/>
            </w:tcBorders>
          </w:tcPr>
          <w:p>
            <w:pPr>
              <w:spacing w:after="0"/>
              <w:rPr>
                <w:sz w:val="17"/>
                <w:szCs w:val="17"/>
                <w:color w:val="auto"/>
              </w:rPr>
            </w:pPr>
          </w:p>
        </w:tc>
        <w:tc>
          <w:tcPr>
            <w:tcW w:w="1140" w:type="dxa"/>
            <w:vAlign w:val="bottom"/>
            <w:tcBorders>
              <w:bottom w:val="single" w:sz="8" w:color="DBDBDB"/>
            </w:tcBorders>
          </w:tcPr>
          <w:p>
            <w:pPr>
              <w:jc w:val="right"/>
              <w:spacing w:after="0" w:line="198" w:lineRule="exact"/>
              <w:rPr>
                <w:sz w:val="20"/>
                <w:szCs w:val="20"/>
                <w:color w:val="auto"/>
              </w:rPr>
            </w:pPr>
            <w:r>
              <w:rPr>
                <w:rFonts w:ascii="Times New Roman" w:cs="Times New Roman" w:eastAsia="Times New Roman" w:hAnsi="Times New Roman"/>
                <w:sz w:val="20"/>
                <w:szCs w:val="20"/>
                <w:color w:val="auto"/>
              </w:rPr>
              <w:t>42.9%</w:t>
            </w:r>
          </w:p>
        </w:tc>
        <w:tc>
          <w:tcPr>
            <w:tcW w:w="300" w:type="dxa"/>
            <w:vAlign w:val="bottom"/>
            <w:tcBorders>
              <w:bottom w:val="single" w:sz="8" w:color="DBDBDB"/>
            </w:tcBorders>
          </w:tcPr>
          <w:p>
            <w:pPr>
              <w:spacing w:after="0"/>
              <w:rPr>
                <w:sz w:val="17"/>
                <w:szCs w:val="17"/>
                <w:color w:val="auto"/>
              </w:rPr>
            </w:pPr>
          </w:p>
        </w:tc>
        <w:tc>
          <w:tcPr>
            <w:tcW w:w="120" w:type="dxa"/>
            <w:vAlign w:val="bottom"/>
            <w:tcBorders>
              <w:bottom w:val="single" w:sz="8" w:color="DBDBDB"/>
            </w:tcBorders>
          </w:tcPr>
          <w:p>
            <w:pPr>
              <w:spacing w:after="0"/>
              <w:rPr>
                <w:sz w:val="17"/>
                <w:szCs w:val="17"/>
                <w:color w:val="auto"/>
              </w:rPr>
            </w:pPr>
          </w:p>
        </w:tc>
        <w:tc>
          <w:tcPr>
            <w:tcW w:w="1160" w:type="dxa"/>
            <w:vAlign w:val="bottom"/>
            <w:tcBorders>
              <w:bottom w:val="single" w:sz="8" w:color="DBDBDB"/>
            </w:tcBorders>
          </w:tcPr>
          <w:p>
            <w:pPr>
              <w:jc w:val="right"/>
              <w:spacing w:after="0" w:line="198" w:lineRule="exact"/>
              <w:rPr>
                <w:sz w:val="20"/>
                <w:szCs w:val="20"/>
                <w:color w:val="auto"/>
              </w:rPr>
            </w:pPr>
            <w:r>
              <w:rPr>
                <w:rFonts w:ascii="Times New Roman" w:cs="Times New Roman" w:eastAsia="Times New Roman" w:hAnsi="Times New Roman"/>
                <w:sz w:val="20"/>
                <w:szCs w:val="20"/>
                <w:color w:val="auto"/>
              </w:rPr>
              <w:t>148,525</w:t>
            </w:r>
          </w:p>
        </w:tc>
        <w:tc>
          <w:tcPr>
            <w:tcW w:w="180" w:type="dxa"/>
            <w:vAlign w:val="bottom"/>
            <w:tcBorders>
              <w:bottom w:val="single" w:sz="8" w:color="DBDBDB"/>
            </w:tcBorders>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1160" w:type="dxa"/>
            <w:vAlign w:val="bottom"/>
            <w:tcBorders>
              <w:bottom w:val="single" w:sz="8" w:color="DBDBDB"/>
            </w:tcBorders>
          </w:tcPr>
          <w:p>
            <w:pPr>
              <w:jc w:val="right"/>
              <w:spacing w:after="0" w:line="198" w:lineRule="exact"/>
              <w:rPr>
                <w:sz w:val="20"/>
                <w:szCs w:val="20"/>
                <w:color w:val="auto"/>
              </w:rPr>
            </w:pPr>
            <w:r>
              <w:rPr>
                <w:rFonts w:ascii="Times New Roman" w:cs="Times New Roman" w:eastAsia="Times New Roman" w:hAnsi="Times New Roman"/>
                <w:sz w:val="20"/>
                <w:szCs w:val="20"/>
                <w:color w:val="auto"/>
              </w:rPr>
              <w:t>59.5%</w:t>
            </w:r>
          </w:p>
        </w:tc>
        <w:tc>
          <w:tcPr>
            <w:tcW w:w="300" w:type="dxa"/>
            <w:vAlign w:val="bottom"/>
            <w:tcBorders>
              <w:bottom w:val="single" w:sz="8" w:color="DBDBDB"/>
            </w:tcBorders>
          </w:tcPr>
          <w:p>
            <w:pPr>
              <w:spacing w:after="0"/>
              <w:rPr>
                <w:sz w:val="17"/>
                <w:szCs w:val="17"/>
                <w:color w:val="auto"/>
              </w:rPr>
            </w:pPr>
          </w:p>
        </w:tc>
        <w:tc>
          <w:tcPr>
            <w:tcW w:w="120" w:type="dxa"/>
            <w:vAlign w:val="bottom"/>
            <w:tcBorders>
              <w:bottom w:val="single" w:sz="8" w:color="DBDBDB"/>
            </w:tcBorders>
          </w:tcPr>
          <w:p>
            <w:pPr>
              <w:spacing w:after="0"/>
              <w:rPr>
                <w:sz w:val="17"/>
                <w:szCs w:val="17"/>
                <w:color w:val="auto"/>
              </w:rPr>
            </w:pPr>
          </w:p>
        </w:tc>
        <w:tc>
          <w:tcPr>
            <w:tcW w:w="1180" w:type="dxa"/>
            <w:vAlign w:val="bottom"/>
            <w:tcBorders>
              <w:bottom w:val="single" w:sz="8" w:color="DBDBDB"/>
            </w:tcBorders>
          </w:tcPr>
          <w:p>
            <w:pPr>
              <w:jc w:val="right"/>
              <w:spacing w:after="0" w:line="198" w:lineRule="exact"/>
              <w:rPr>
                <w:sz w:val="20"/>
                <w:szCs w:val="20"/>
                <w:color w:val="auto"/>
              </w:rPr>
            </w:pPr>
            <w:r>
              <w:rPr>
                <w:rFonts w:ascii="Times New Roman" w:cs="Times New Roman" w:eastAsia="Times New Roman" w:hAnsi="Times New Roman"/>
                <w:sz w:val="20"/>
                <w:szCs w:val="20"/>
                <w:color w:val="auto"/>
              </w:rPr>
              <w:t>141,213</w:t>
            </w:r>
          </w:p>
        </w:tc>
        <w:tc>
          <w:tcPr>
            <w:tcW w:w="1440" w:type="dxa"/>
            <w:vAlign w:val="bottom"/>
            <w:tcBorders>
              <w:bottom w:val="single" w:sz="8" w:color="DBDBDB"/>
            </w:tcBorders>
            <w:gridSpan w:val="3"/>
          </w:tcPr>
          <w:p>
            <w:pPr>
              <w:jc w:val="right"/>
              <w:spacing w:after="0" w:line="198" w:lineRule="exact"/>
              <w:rPr>
                <w:sz w:val="20"/>
                <w:szCs w:val="20"/>
                <w:color w:val="auto"/>
              </w:rPr>
            </w:pPr>
            <w:r>
              <w:rPr>
                <w:rFonts w:ascii="Times New Roman" w:cs="Times New Roman" w:eastAsia="Times New Roman" w:hAnsi="Times New Roman"/>
                <w:sz w:val="20"/>
                <w:szCs w:val="20"/>
                <w:color w:val="auto"/>
              </w:rPr>
              <w:t>64.9%</w:t>
            </w:r>
          </w:p>
        </w:tc>
      </w:tr>
      <w:tr>
        <w:trPr>
          <w:trHeight w:val="213"/>
        </w:trPr>
        <w:tc>
          <w:tcPr>
            <w:tcW w:w="1720" w:type="dxa"/>
            <w:vAlign w:val="bottom"/>
            <w:tcBorders>
              <w:bottom w:val="single" w:sz="8" w:color="DBDBDB"/>
            </w:tcBorders>
            <w:shd w:val="clear" w:color="auto" w:fill="DBDBDB"/>
          </w:tcPr>
          <w:p>
            <w:pPr>
              <w:ind w:left="20"/>
              <w:spacing w:after="0" w:line="208" w:lineRule="exact"/>
              <w:rPr>
                <w:sz w:val="20"/>
                <w:szCs w:val="20"/>
                <w:color w:val="auto"/>
              </w:rPr>
            </w:pPr>
            <w:r>
              <w:rPr>
                <w:rFonts w:ascii="Times New Roman" w:cs="Times New Roman" w:eastAsia="Times New Roman" w:hAnsi="Times New Roman"/>
                <w:sz w:val="20"/>
                <w:szCs w:val="20"/>
                <w:color w:val="auto"/>
              </w:rPr>
              <w:t>Telecom</w:t>
            </w:r>
          </w:p>
        </w:tc>
        <w:tc>
          <w:tcPr>
            <w:tcW w:w="20" w:type="dxa"/>
            <w:vAlign w:val="bottom"/>
            <w:shd w:val="clear" w:color="auto" w:fill="DBDBDB"/>
          </w:tcPr>
          <w:p>
            <w:pPr>
              <w:spacing w:after="0"/>
              <w:rPr>
                <w:sz w:val="18"/>
                <w:szCs w:val="18"/>
                <w:color w:val="auto"/>
              </w:rPr>
            </w:pPr>
          </w:p>
        </w:tc>
        <w:tc>
          <w:tcPr>
            <w:tcW w:w="80" w:type="dxa"/>
            <w:vAlign w:val="bottom"/>
            <w:tcBorders>
              <w:bottom w:val="single" w:sz="8" w:color="DBDBDB"/>
              <w:right w:val="single" w:sz="8" w:color="DBDBDB"/>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1160" w:type="dxa"/>
            <w:vAlign w:val="bottom"/>
            <w:tcBorders>
              <w:bottom w:val="single" w:sz="8" w:color="DBDBDB"/>
            </w:tcBorders>
            <w:shd w:val="clear" w:color="auto" w:fill="DBDBDB"/>
          </w:tcPr>
          <w:p>
            <w:pPr>
              <w:jc w:val="right"/>
              <w:spacing w:after="0" w:line="208" w:lineRule="exact"/>
              <w:rPr>
                <w:sz w:val="20"/>
                <w:szCs w:val="20"/>
                <w:color w:val="auto"/>
              </w:rPr>
            </w:pPr>
            <w:r>
              <w:rPr>
                <w:rFonts w:ascii="Times New Roman" w:cs="Times New Roman" w:eastAsia="Times New Roman" w:hAnsi="Times New Roman"/>
                <w:sz w:val="20"/>
                <w:szCs w:val="20"/>
                <w:color w:val="auto"/>
              </w:rPr>
              <w:t>13,729</w:t>
            </w:r>
          </w:p>
        </w:tc>
        <w:tc>
          <w:tcPr>
            <w:tcW w:w="18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1140" w:type="dxa"/>
            <w:vAlign w:val="bottom"/>
            <w:tcBorders>
              <w:bottom w:val="single" w:sz="8" w:color="DBDBDB"/>
            </w:tcBorders>
            <w:shd w:val="clear" w:color="auto" w:fill="DBDBDB"/>
          </w:tcPr>
          <w:p>
            <w:pPr>
              <w:jc w:val="right"/>
              <w:spacing w:after="0" w:line="208" w:lineRule="exact"/>
              <w:rPr>
                <w:sz w:val="20"/>
                <w:szCs w:val="20"/>
                <w:color w:val="auto"/>
              </w:rPr>
            </w:pPr>
            <w:r>
              <w:rPr>
                <w:rFonts w:ascii="Times New Roman" w:cs="Times New Roman" w:eastAsia="Times New Roman" w:hAnsi="Times New Roman"/>
                <w:sz w:val="20"/>
                <w:szCs w:val="20"/>
                <w:color w:val="auto"/>
              </w:rPr>
              <w:t>3.0%</w:t>
            </w:r>
          </w:p>
        </w:tc>
        <w:tc>
          <w:tcPr>
            <w:tcW w:w="300" w:type="dxa"/>
            <w:vAlign w:val="bottom"/>
            <w:tcBorders>
              <w:bottom w:val="single" w:sz="8" w:color="DBDBDB"/>
              <w:right w:val="single" w:sz="8" w:color="DBDBDB"/>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1160" w:type="dxa"/>
            <w:vAlign w:val="bottom"/>
            <w:tcBorders>
              <w:bottom w:val="single" w:sz="8" w:color="DBDBDB"/>
            </w:tcBorders>
            <w:shd w:val="clear" w:color="auto" w:fill="DBDBDB"/>
          </w:tcPr>
          <w:p>
            <w:pPr>
              <w:jc w:val="right"/>
              <w:spacing w:after="0" w:line="208" w:lineRule="exact"/>
              <w:rPr>
                <w:sz w:val="20"/>
                <w:szCs w:val="20"/>
                <w:color w:val="auto"/>
              </w:rPr>
            </w:pPr>
            <w:r>
              <w:rPr>
                <w:rFonts w:ascii="Times New Roman" w:cs="Times New Roman" w:eastAsia="Times New Roman" w:hAnsi="Times New Roman"/>
                <w:sz w:val="20"/>
                <w:szCs w:val="20"/>
                <w:color w:val="auto"/>
              </w:rPr>
              <w:t>10,980</w:t>
            </w:r>
          </w:p>
        </w:tc>
        <w:tc>
          <w:tcPr>
            <w:tcW w:w="18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1160" w:type="dxa"/>
            <w:vAlign w:val="bottom"/>
            <w:tcBorders>
              <w:bottom w:val="single" w:sz="8" w:color="DBDBDB"/>
            </w:tcBorders>
            <w:shd w:val="clear" w:color="auto" w:fill="DBDBDB"/>
          </w:tcPr>
          <w:p>
            <w:pPr>
              <w:jc w:val="right"/>
              <w:spacing w:after="0" w:line="208" w:lineRule="exact"/>
              <w:rPr>
                <w:sz w:val="20"/>
                <w:szCs w:val="20"/>
                <w:color w:val="auto"/>
              </w:rPr>
            </w:pPr>
            <w:r>
              <w:rPr>
                <w:rFonts w:ascii="Times New Roman" w:cs="Times New Roman" w:eastAsia="Times New Roman" w:hAnsi="Times New Roman"/>
                <w:sz w:val="20"/>
                <w:szCs w:val="20"/>
                <w:color w:val="auto"/>
              </w:rPr>
              <w:t>4.4%</w:t>
            </w:r>
          </w:p>
        </w:tc>
        <w:tc>
          <w:tcPr>
            <w:tcW w:w="300" w:type="dxa"/>
            <w:vAlign w:val="bottom"/>
            <w:tcBorders>
              <w:bottom w:val="single" w:sz="8" w:color="DBDBDB"/>
              <w:right w:val="single" w:sz="8" w:color="DBDBDB"/>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1180" w:type="dxa"/>
            <w:vAlign w:val="bottom"/>
            <w:tcBorders>
              <w:bottom w:val="single" w:sz="8" w:color="DBDBDB"/>
            </w:tcBorders>
            <w:shd w:val="clear" w:color="auto" w:fill="DBDBDB"/>
          </w:tcPr>
          <w:p>
            <w:pPr>
              <w:jc w:val="right"/>
              <w:spacing w:after="0" w:line="208" w:lineRule="exact"/>
              <w:rPr>
                <w:sz w:val="20"/>
                <w:szCs w:val="20"/>
                <w:color w:val="auto"/>
              </w:rPr>
            </w:pPr>
            <w:r>
              <w:rPr>
                <w:rFonts w:ascii="Times New Roman" w:cs="Times New Roman" w:eastAsia="Times New Roman" w:hAnsi="Times New Roman"/>
                <w:sz w:val="20"/>
                <w:szCs w:val="20"/>
                <w:color w:val="auto"/>
              </w:rPr>
              <w:t>13,831</w:t>
            </w:r>
          </w:p>
        </w:tc>
        <w:tc>
          <w:tcPr>
            <w:tcW w:w="180" w:type="dxa"/>
            <w:vAlign w:val="bottom"/>
            <w:tcBorders>
              <w:bottom w:val="single" w:sz="8" w:color="DBDBDB"/>
              <w:right w:val="single" w:sz="8" w:color="DBDBDB"/>
            </w:tcBorders>
            <w:shd w:val="clear" w:color="auto" w:fill="DBDBDB"/>
          </w:tcPr>
          <w:p>
            <w:pPr>
              <w:spacing w:after="0"/>
              <w:rPr>
                <w:sz w:val="18"/>
                <w:szCs w:val="18"/>
                <w:color w:val="auto"/>
              </w:rPr>
            </w:pPr>
          </w:p>
        </w:tc>
        <w:tc>
          <w:tcPr>
            <w:tcW w:w="80" w:type="dxa"/>
            <w:vAlign w:val="bottom"/>
            <w:tcBorders>
              <w:bottom w:val="single" w:sz="8" w:color="DBDBDB"/>
            </w:tcBorders>
            <w:shd w:val="clear" w:color="auto" w:fill="DBDBDB"/>
          </w:tcPr>
          <w:p>
            <w:pPr>
              <w:spacing w:after="0"/>
              <w:rPr>
                <w:sz w:val="18"/>
                <w:szCs w:val="18"/>
                <w:color w:val="auto"/>
              </w:rPr>
            </w:pPr>
          </w:p>
        </w:tc>
        <w:tc>
          <w:tcPr>
            <w:tcW w:w="1180" w:type="dxa"/>
            <w:vAlign w:val="bottom"/>
            <w:tcBorders>
              <w:bottom w:val="single" w:sz="8" w:color="DBDBDB"/>
            </w:tcBorders>
            <w:shd w:val="clear" w:color="auto" w:fill="DBDBDB"/>
          </w:tcPr>
          <w:p>
            <w:pPr>
              <w:jc w:val="right"/>
              <w:spacing w:after="0" w:line="208" w:lineRule="exact"/>
              <w:rPr>
                <w:sz w:val="20"/>
                <w:szCs w:val="20"/>
                <w:color w:val="auto"/>
              </w:rPr>
            </w:pPr>
            <w:r>
              <w:rPr>
                <w:rFonts w:ascii="Times New Roman" w:cs="Times New Roman" w:eastAsia="Times New Roman" w:hAnsi="Times New Roman"/>
                <w:sz w:val="20"/>
                <w:szCs w:val="20"/>
                <w:color w:val="auto"/>
              </w:rPr>
              <w:t>6.4%</w:t>
            </w:r>
          </w:p>
        </w:tc>
      </w:tr>
      <w:tr>
        <w:trPr>
          <w:trHeight w:val="220"/>
        </w:trPr>
        <w:tc>
          <w:tcPr>
            <w:tcW w:w="1720" w:type="dxa"/>
            <w:vAlign w:val="bottom"/>
          </w:tcPr>
          <w:p>
            <w:pPr>
              <w:ind w:left="20"/>
              <w:spacing w:after="0" w:line="220" w:lineRule="exact"/>
              <w:rPr>
                <w:sz w:val="20"/>
                <w:szCs w:val="20"/>
                <w:color w:val="auto"/>
              </w:rPr>
            </w:pPr>
            <w:r>
              <w:rPr>
                <w:rFonts w:ascii="Times New Roman" w:cs="Times New Roman" w:eastAsia="Times New Roman" w:hAnsi="Times New Roman"/>
                <w:sz w:val="20"/>
                <w:szCs w:val="20"/>
                <w:color w:val="auto"/>
              </w:rPr>
              <w:t>FTTH and other</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1,211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0.3%</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2,147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0.9%</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2,660</w:t>
            </w:r>
          </w:p>
        </w:tc>
        <w:tc>
          <w:tcPr>
            <w:tcW w:w="1440" w:type="dxa"/>
            <w:vAlign w:val="bottom"/>
            <w:gridSpan w:val="3"/>
          </w:tcPr>
          <w:p>
            <w:pPr>
              <w:jc w:val="right"/>
              <w:spacing w:after="0" w:line="220" w:lineRule="exact"/>
              <w:rPr>
                <w:sz w:val="20"/>
                <w:szCs w:val="20"/>
                <w:color w:val="auto"/>
              </w:rPr>
            </w:pPr>
            <w:r>
              <w:rPr>
                <w:rFonts w:ascii="Times New Roman" w:cs="Times New Roman" w:eastAsia="Times New Roman" w:hAnsi="Times New Roman"/>
                <w:sz w:val="20"/>
                <w:szCs w:val="20"/>
                <w:color w:val="auto"/>
              </w:rPr>
              <w:t>1.2%</w:t>
            </w:r>
          </w:p>
        </w:tc>
      </w:tr>
      <w:tr>
        <w:trPr>
          <w:trHeight w:val="263"/>
        </w:trPr>
        <w:tc>
          <w:tcPr>
            <w:tcW w:w="1720" w:type="dxa"/>
            <w:vAlign w:val="bottom"/>
            <w:tcBorders>
              <w:top w:val="single" w:sz="8" w:color="DBDBDB"/>
              <w:bottom w:val="single" w:sz="8" w:color="DBDBDB"/>
            </w:tcBorders>
            <w:shd w:val="clear" w:color="auto" w:fill="DBDBDB"/>
          </w:tcPr>
          <w:p>
            <w:pPr>
              <w:ind w:left="180"/>
              <w:spacing w:after="0" w:line="220" w:lineRule="exact"/>
              <w:rPr>
                <w:sz w:val="20"/>
                <w:szCs w:val="20"/>
                <w:color w:val="auto"/>
              </w:rPr>
            </w:pPr>
            <w:r>
              <w:rPr>
                <w:rFonts w:ascii="Times New Roman" w:cs="Times New Roman" w:eastAsia="Times New Roman" w:hAnsi="Times New Roman"/>
                <w:sz w:val="20"/>
                <w:szCs w:val="20"/>
                <w:color w:val="auto"/>
              </w:rPr>
              <w:t>Total Revenue</w:t>
            </w:r>
          </w:p>
        </w:tc>
        <w:tc>
          <w:tcPr>
            <w:tcW w:w="20" w:type="dxa"/>
            <w:vAlign w:val="bottom"/>
            <w:tcBorders>
              <w:top w:val="single" w:sz="8" w:color="DBDBDB"/>
            </w:tcBorders>
            <w:shd w:val="clear" w:color="auto" w:fill="DBDBDB"/>
          </w:tcPr>
          <w:p>
            <w:pPr>
              <w:spacing w:after="0"/>
              <w:rPr>
                <w:sz w:val="22"/>
                <w:szCs w:val="22"/>
                <w:color w:val="auto"/>
              </w:rPr>
            </w:pPr>
          </w:p>
        </w:tc>
        <w:tc>
          <w:tcPr>
            <w:tcW w:w="80" w:type="dxa"/>
            <w:vAlign w:val="bottom"/>
            <w:tcBorders>
              <w:top w:val="single" w:sz="8" w:color="DBDBDB"/>
              <w:bottom w:val="single" w:sz="8" w:color="DBDBDB"/>
              <w:right w:val="single" w:sz="8" w:color="DBDBDB"/>
            </w:tcBorders>
            <w:shd w:val="clear" w:color="auto" w:fill="DBDBDB"/>
          </w:tcPr>
          <w:p>
            <w:pPr>
              <w:spacing w:after="0"/>
              <w:rPr>
                <w:sz w:val="22"/>
                <w:szCs w:val="22"/>
                <w:color w:val="auto"/>
              </w:rPr>
            </w:pPr>
          </w:p>
        </w:tc>
        <w:tc>
          <w:tcPr>
            <w:tcW w:w="120" w:type="dxa"/>
            <w:vAlign w:val="bottom"/>
            <w:tcBorders>
              <w:top w:val="single" w:sz="8" w:color="auto"/>
              <w:bottom w:val="single" w:sz="8" w:color="DBDBDB"/>
            </w:tcBorders>
            <w:shd w:val="clear" w:color="auto" w:fill="DBDBDB"/>
          </w:tcPr>
          <w:p>
            <w:pPr>
              <w:jc w:val="right"/>
              <w:spacing w:after="0" w:line="226"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160" w:type="dxa"/>
            <w:vAlign w:val="bottom"/>
            <w:tcBorders>
              <w:top w:val="single" w:sz="8" w:color="auto"/>
              <w:bottom w:val="single" w:sz="8" w:color="DBDBDB"/>
            </w:tcBorders>
            <w:shd w:val="clear" w:color="auto" w:fill="DBDBDB"/>
          </w:tcPr>
          <w:p>
            <w:pPr>
              <w:jc w:val="right"/>
              <w:spacing w:after="0" w:line="226" w:lineRule="exact"/>
              <w:rPr>
                <w:sz w:val="20"/>
                <w:szCs w:val="20"/>
                <w:color w:val="auto"/>
              </w:rPr>
            </w:pPr>
            <w:r>
              <w:rPr>
                <w:rFonts w:ascii="Times New Roman" w:cs="Times New Roman" w:eastAsia="Times New Roman" w:hAnsi="Times New Roman"/>
                <w:sz w:val="20"/>
                <w:szCs w:val="20"/>
                <w:color w:val="auto"/>
              </w:rPr>
              <w:t>455,715</w:t>
            </w:r>
          </w:p>
        </w:tc>
        <w:tc>
          <w:tcPr>
            <w:tcW w:w="180" w:type="dxa"/>
            <w:vAlign w:val="bottom"/>
            <w:tcBorders>
              <w:top w:val="single" w:sz="8" w:color="DBDBDB"/>
              <w:bottom w:val="single" w:sz="8" w:color="DBDBDB"/>
            </w:tcBorders>
            <w:shd w:val="clear" w:color="auto" w:fill="DBDBDB"/>
          </w:tcPr>
          <w:p>
            <w:pPr>
              <w:spacing w:after="0"/>
              <w:rPr>
                <w:sz w:val="22"/>
                <w:szCs w:val="22"/>
                <w:color w:val="auto"/>
              </w:rPr>
            </w:pPr>
          </w:p>
        </w:tc>
        <w:tc>
          <w:tcPr>
            <w:tcW w:w="100" w:type="dxa"/>
            <w:vAlign w:val="bottom"/>
            <w:tcBorders>
              <w:top w:val="single" w:sz="8" w:color="auto"/>
              <w:bottom w:val="single" w:sz="8" w:color="auto"/>
            </w:tcBorders>
            <w:shd w:val="clear" w:color="auto" w:fill="DBDBDB"/>
          </w:tcPr>
          <w:p>
            <w:pPr>
              <w:spacing w:after="0"/>
              <w:rPr>
                <w:sz w:val="22"/>
                <w:szCs w:val="22"/>
                <w:color w:val="auto"/>
              </w:rPr>
            </w:pPr>
          </w:p>
        </w:tc>
        <w:tc>
          <w:tcPr>
            <w:tcW w:w="20" w:type="dxa"/>
            <w:vAlign w:val="bottom"/>
            <w:tcBorders>
              <w:top w:val="single" w:sz="8" w:color="auto"/>
              <w:bottom w:val="single" w:sz="8" w:color="auto"/>
            </w:tcBorders>
            <w:shd w:val="clear" w:color="auto" w:fill="DBDBDB"/>
          </w:tcPr>
          <w:p>
            <w:pPr>
              <w:spacing w:after="0"/>
              <w:rPr>
                <w:sz w:val="22"/>
                <w:szCs w:val="22"/>
                <w:color w:val="auto"/>
              </w:rPr>
            </w:pPr>
          </w:p>
        </w:tc>
        <w:tc>
          <w:tcPr>
            <w:tcW w:w="1140" w:type="dxa"/>
            <w:vAlign w:val="bottom"/>
            <w:tcBorders>
              <w:top w:val="single" w:sz="8" w:color="auto"/>
              <w:bottom w:val="single" w:sz="8" w:color="auto"/>
            </w:tcBorders>
            <w:shd w:val="clear" w:color="auto" w:fill="DBDBDB"/>
          </w:tcPr>
          <w:p>
            <w:pPr>
              <w:jc w:val="right"/>
              <w:spacing w:after="0" w:line="226" w:lineRule="exact"/>
              <w:rPr>
                <w:sz w:val="20"/>
                <w:szCs w:val="20"/>
                <w:color w:val="auto"/>
              </w:rPr>
            </w:pPr>
            <w:r>
              <w:rPr>
                <w:rFonts w:ascii="Times New Roman" w:cs="Times New Roman" w:eastAsia="Times New Roman" w:hAnsi="Times New Roman"/>
                <w:sz w:val="20"/>
                <w:szCs w:val="20"/>
                <w:color w:val="auto"/>
              </w:rPr>
              <w:t>100.0%</w:t>
            </w:r>
          </w:p>
        </w:tc>
        <w:tc>
          <w:tcPr>
            <w:tcW w:w="300" w:type="dxa"/>
            <w:vAlign w:val="bottom"/>
            <w:tcBorders>
              <w:top w:val="single" w:sz="8" w:color="DBDBDB"/>
              <w:bottom w:val="single" w:sz="8" w:color="DBDBDB"/>
              <w:right w:val="single" w:sz="8" w:color="DBDBDB"/>
            </w:tcBorders>
            <w:shd w:val="clear" w:color="auto" w:fill="DBDBDB"/>
          </w:tcPr>
          <w:p>
            <w:pPr>
              <w:spacing w:after="0"/>
              <w:rPr>
                <w:sz w:val="22"/>
                <w:szCs w:val="22"/>
                <w:color w:val="auto"/>
              </w:rPr>
            </w:pPr>
          </w:p>
        </w:tc>
        <w:tc>
          <w:tcPr>
            <w:tcW w:w="120" w:type="dxa"/>
            <w:vAlign w:val="bottom"/>
            <w:tcBorders>
              <w:top w:val="single" w:sz="8" w:color="auto"/>
              <w:bottom w:val="single" w:sz="8" w:color="auto"/>
            </w:tcBorders>
            <w:shd w:val="clear" w:color="auto" w:fill="DBDBDB"/>
          </w:tcPr>
          <w:p>
            <w:pPr>
              <w:jc w:val="right"/>
              <w:spacing w:after="0" w:line="226"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160" w:type="dxa"/>
            <w:vAlign w:val="bottom"/>
            <w:tcBorders>
              <w:top w:val="single" w:sz="8" w:color="auto"/>
              <w:bottom w:val="single" w:sz="8" w:color="auto"/>
            </w:tcBorders>
            <w:shd w:val="clear" w:color="auto" w:fill="DBDBDB"/>
          </w:tcPr>
          <w:p>
            <w:pPr>
              <w:jc w:val="right"/>
              <w:spacing w:after="0" w:line="226" w:lineRule="exact"/>
              <w:rPr>
                <w:sz w:val="20"/>
                <w:szCs w:val="20"/>
                <w:color w:val="auto"/>
              </w:rPr>
            </w:pPr>
            <w:r>
              <w:rPr>
                <w:rFonts w:ascii="Times New Roman" w:cs="Times New Roman" w:eastAsia="Times New Roman" w:hAnsi="Times New Roman"/>
                <w:sz w:val="20"/>
                <w:szCs w:val="20"/>
                <w:color w:val="auto"/>
              </w:rPr>
              <w:t>249,365</w:t>
            </w:r>
          </w:p>
        </w:tc>
        <w:tc>
          <w:tcPr>
            <w:tcW w:w="180" w:type="dxa"/>
            <w:vAlign w:val="bottom"/>
            <w:tcBorders>
              <w:top w:val="single" w:sz="8" w:color="DBDBDB"/>
              <w:bottom w:val="single" w:sz="8" w:color="DBDBDB"/>
            </w:tcBorders>
            <w:shd w:val="clear" w:color="auto" w:fill="DBDBDB"/>
          </w:tcPr>
          <w:p>
            <w:pPr>
              <w:spacing w:after="0"/>
              <w:rPr>
                <w:sz w:val="22"/>
                <w:szCs w:val="22"/>
                <w:color w:val="auto"/>
              </w:rPr>
            </w:pPr>
          </w:p>
        </w:tc>
        <w:tc>
          <w:tcPr>
            <w:tcW w:w="100" w:type="dxa"/>
            <w:vAlign w:val="bottom"/>
            <w:tcBorders>
              <w:top w:val="single" w:sz="8" w:color="auto"/>
              <w:bottom w:val="single" w:sz="8" w:color="auto"/>
            </w:tcBorders>
            <w:shd w:val="clear" w:color="auto" w:fill="DBDBDB"/>
          </w:tcPr>
          <w:p>
            <w:pPr>
              <w:spacing w:after="0"/>
              <w:rPr>
                <w:sz w:val="22"/>
                <w:szCs w:val="22"/>
                <w:color w:val="auto"/>
              </w:rPr>
            </w:pPr>
          </w:p>
        </w:tc>
        <w:tc>
          <w:tcPr>
            <w:tcW w:w="1160" w:type="dxa"/>
            <w:vAlign w:val="bottom"/>
            <w:tcBorders>
              <w:top w:val="single" w:sz="8" w:color="auto"/>
              <w:bottom w:val="single" w:sz="8" w:color="auto"/>
            </w:tcBorders>
            <w:shd w:val="clear" w:color="auto" w:fill="DBDBDB"/>
          </w:tcPr>
          <w:p>
            <w:pPr>
              <w:jc w:val="right"/>
              <w:spacing w:after="0" w:line="226" w:lineRule="exact"/>
              <w:rPr>
                <w:sz w:val="20"/>
                <w:szCs w:val="20"/>
                <w:color w:val="auto"/>
              </w:rPr>
            </w:pPr>
            <w:r>
              <w:rPr>
                <w:rFonts w:ascii="Times New Roman" w:cs="Times New Roman" w:eastAsia="Times New Roman" w:hAnsi="Times New Roman"/>
                <w:sz w:val="20"/>
                <w:szCs w:val="20"/>
                <w:color w:val="auto"/>
              </w:rPr>
              <w:t>100.0%</w:t>
            </w:r>
          </w:p>
        </w:tc>
        <w:tc>
          <w:tcPr>
            <w:tcW w:w="300" w:type="dxa"/>
            <w:vAlign w:val="bottom"/>
            <w:tcBorders>
              <w:top w:val="single" w:sz="8" w:color="DBDBDB"/>
              <w:bottom w:val="single" w:sz="8" w:color="DBDBDB"/>
              <w:right w:val="single" w:sz="8" w:color="DBDBDB"/>
            </w:tcBorders>
            <w:shd w:val="clear" w:color="auto" w:fill="DBDBDB"/>
          </w:tcPr>
          <w:p>
            <w:pPr>
              <w:spacing w:after="0"/>
              <w:rPr>
                <w:sz w:val="22"/>
                <w:szCs w:val="22"/>
                <w:color w:val="auto"/>
              </w:rPr>
            </w:pPr>
          </w:p>
        </w:tc>
        <w:tc>
          <w:tcPr>
            <w:tcW w:w="120" w:type="dxa"/>
            <w:vAlign w:val="bottom"/>
            <w:tcBorders>
              <w:top w:val="single" w:sz="8" w:color="auto"/>
              <w:bottom w:val="single" w:sz="8" w:color="auto"/>
            </w:tcBorders>
            <w:shd w:val="clear" w:color="auto" w:fill="DBDBDB"/>
          </w:tcPr>
          <w:p>
            <w:pPr>
              <w:jc w:val="right"/>
              <w:spacing w:after="0" w:line="226"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180" w:type="dxa"/>
            <w:vAlign w:val="bottom"/>
            <w:tcBorders>
              <w:top w:val="single" w:sz="8" w:color="auto"/>
              <w:bottom w:val="single" w:sz="8" w:color="auto"/>
            </w:tcBorders>
            <w:shd w:val="clear" w:color="auto" w:fill="DBDBDB"/>
          </w:tcPr>
          <w:p>
            <w:pPr>
              <w:jc w:val="right"/>
              <w:spacing w:after="0" w:line="226" w:lineRule="exact"/>
              <w:rPr>
                <w:sz w:val="20"/>
                <w:szCs w:val="20"/>
                <w:color w:val="auto"/>
              </w:rPr>
            </w:pPr>
            <w:r>
              <w:rPr>
                <w:rFonts w:ascii="Times New Roman" w:cs="Times New Roman" w:eastAsia="Times New Roman" w:hAnsi="Times New Roman"/>
                <w:sz w:val="20"/>
                <w:szCs w:val="20"/>
                <w:color w:val="auto"/>
              </w:rPr>
              <w:t>217,646</w:t>
            </w:r>
          </w:p>
        </w:tc>
        <w:tc>
          <w:tcPr>
            <w:tcW w:w="180" w:type="dxa"/>
            <w:vAlign w:val="bottom"/>
            <w:tcBorders>
              <w:top w:val="single" w:sz="8" w:color="DBDBDB"/>
              <w:bottom w:val="single" w:sz="8" w:color="DBDBDB"/>
              <w:right w:val="single" w:sz="8" w:color="DBDBDB"/>
            </w:tcBorders>
            <w:shd w:val="clear" w:color="auto" w:fill="DBDBDB"/>
          </w:tcPr>
          <w:p>
            <w:pPr>
              <w:spacing w:after="0"/>
              <w:rPr>
                <w:sz w:val="22"/>
                <w:szCs w:val="22"/>
                <w:color w:val="auto"/>
              </w:rPr>
            </w:pPr>
          </w:p>
        </w:tc>
        <w:tc>
          <w:tcPr>
            <w:tcW w:w="80" w:type="dxa"/>
            <w:vAlign w:val="bottom"/>
            <w:tcBorders>
              <w:top w:val="single" w:sz="8" w:color="auto"/>
              <w:bottom w:val="single" w:sz="8" w:color="auto"/>
            </w:tcBorders>
            <w:shd w:val="clear" w:color="auto" w:fill="DBDBDB"/>
          </w:tcPr>
          <w:p>
            <w:pPr>
              <w:spacing w:after="0"/>
              <w:rPr>
                <w:sz w:val="22"/>
                <w:szCs w:val="22"/>
                <w:color w:val="auto"/>
              </w:rPr>
            </w:pPr>
          </w:p>
        </w:tc>
        <w:tc>
          <w:tcPr>
            <w:tcW w:w="1180" w:type="dxa"/>
            <w:vAlign w:val="bottom"/>
            <w:tcBorders>
              <w:top w:val="single" w:sz="8" w:color="auto"/>
              <w:bottom w:val="single" w:sz="8" w:color="auto"/>
            </w:tcBorders>
            <w:shd w:val="clear" w:color="auto" w:fill="DBDBDB"/>
          </w:tcPr>
          <w:p>
            <w:pPr>
              <w:jc w:val="right"/>
              <w:spacing w:after="0" w:line="226" w:lineRule="exact"/>
              <w:rPr>
                <w:sz w:val="20"/>
                <w:szCs w:val="20"/>
                <w:color w:val="auto"/>
              </w:rPr>
            </w:pPr>
            <w:r>
              <w:rPr>
                <w:rFonts w:ascii="Times New Roman" w:cs="Times New Roman" w:eastAsia="Times New Roman" w:hAnsi="Times New Roman"/>
                <w:sz w:val="20"/>
                <w:szCs w:val="20"/>
                <w:color w:val="auto"/>
              </w:rPr>
              <w:t>100.0%</w:t>
            </w:r>
          </w:p>
        </w:tc>
      </w:tr>
      <w:tr>
        <w:trPr>
          <w:trHeight w:val="20"/>
        </w:trPr>
        <w:tc>
          <w:tcPr>
            <w:tcW w:w="1720" w:type="dxa"/>
            <w:vAlign w:val="bottom"/>
            <w:tcBorders>
              <w:top w:val="single" w:sz="8" w:color="DBDBDB"/>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DBDBDB"/>
              <w:right w:val="single" w:sz="8" w:color="auto"/>
            </w:tcBorders>
          </w:tcPr>
          <w:p>
            <w:pPr>
              <w:spacing w:after="0" w:line="20" w:lineRule="exact"/>
              <w:rPr>
                <w:sz w:val="1"/>
                <w:szCs w:val="1"/>
                <w:color w:val="auto"/>
              </w:rPr>
            </w:pPr>
          </w:p>
        </w:tc>
        <w:tc>
          <w:tcPr>
            <w:tcW w:w="120" w:type="dxa"/>
            <w:vAlign w:val="bottom"/>
            <w:tcBorders>
              <w:top w:val="single" w:sz="8" w:color="DBDBDB"/>
            </w:tcBorders>
            <w:shd w:val="clear" w:color="auto" w:fill="000000"/>
          </w:tcPr>
          <w:p>
            <w:pPr>
              <w:spacing w:after="0" w:line="20" w:lineRule="exact"/>
              <w:rPr>
                <w:sz w:val="1"/>
                <w:szCs w:val="1"/>
                <w:color w:val="auto"/>
              </w:rPr>
            </w:pPr>
          </w:p>
        </w:tc>
        <w:tc>
          <w:tcPr>
            <w:tcW w:w="1160" w:type="dxa"/>
            <w:vAlign w:val="bottom"/>
            <w:tcBorders>
              <w:top w:val="single" w:sz="8" w:color="DBDBDB"/>
            </w:tcBorders>
            <w:shd w:val="clear" w:color="auto" w:fill="000000"/>
          </w:tcPr>
          <w:p>
            <w:pPr>
              <w:spacing w:after="0" w:line="20" w:lineRule="exact"/>
              <w:rPr>
                <w:sz w:val="1"/>
                <w:szCs w:val="1"/>
                <w:color w:val="auto"/>
              </w:rPr>
            </w:pPr>
          </w:p>
        </w:tc>
        <w:tc>
          <w:tcPr>
            <w:tcW w:w="18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shd w:val="clear" w:color="auto" w:fill="000000"/>
          </w:tcPr>
          <w:p>
            <w:pPr>
              <w:spacing w:after="0" w:line="20" w:lineRule="exact"/>
              <w:rPr>
                <w:sz w:val="1"/>
                <w:szCs w:val="1"/>
                <w:color w:val="auto"/>
              </w:rPr>
            </w:pPr>
          </w:p>
        </w:tc>
        <w:tc>
          <w:tcPr>
            <w:tcW w:w="20" w:type="dxa"/>
            <w:vAlign w:val="bottom"/>
            <w:tcBorders>
              <w:top w:val="single" w:sz="8" w:color="DBDBDB"/>
            </w:tcBorders>
            <w:shd w:val="clear" w:color="auto" w:fill="000000"/>
          </w:tcPr>
          <w:p>
            <w:pPr>
              <w:spacing w:after="0" w:line="20" w:lineRule="exact"/>
              <w:rPr>
                <w:sz w:val="1"/>
                <w:szCs w:val="1"/>
                <w:color w:val="auto"/>
              </w:rPr>
            </w:pPr>
          </w:p>
        </w:tc>
        <w:tc>
          <w:tcPr>
            <w:tcW w:w="1140" w:type="dxa"/>
            <w:vAlign w:val="bottom"/>
            <w:tcBorders>
              <w:top w:val="single" w:sz="8" w:color="DBDBDB"/>
            </w:tcBorders>
            <w:shd w:val="clear" w:color="auto" w:fill="000000"/>
          </w:tcPr>
          <w:p>
            <w:pPr>
              <w:spacing w:after="0" w:line="20" w:lineRule="exact"/>
              <w:rPr>
                <w:sz w:val="1"/>
                <w:szCs w:val="1"/>
                <w:color w:val="auto"/>
              </w:rPr>
            </w:pPr>
          </w:p>
        </w:tc>
        <w:tc>
          <w:tcPr>
            <w:tcW w:w="300" w:type="dxa"/>
            <w:vAlign w:val="bottom"/>
            <w:tcBorders>
              <w:top w:val="single" w:sz="8" w:color="DBDBDB"/>
              <w:right w:val="single" w:sz="8" w:color="auto"/>
            </w:tcBorders>
          </w:tcPr>
          <w:p>
            <w:pPr>
              <w:spacing w:after="0" w:line="20" w:lineRule="exact"/>
              <w:rPr>
                <w:sz w:val="1"/>
                <w:szCs w:val="1"/>
                <w:color w:val="auto"/>
              </w:rPr>
            </w:pPr>
          </w:p>
        </w:tc>
        <w:tc>
          <w:tcPr>
            <w:tcW w:w="120" w:type="dxa"/>
            <w:vAlign w:val="bottom"/>
            <w:tcBorders>
              <w:top w:val="single" w:sz="8" w:color="DBDBDB"/>
            </w:tcBorders>
            <w:shd w:val="clear" w:color="auto" w:fill="000000"/>
          </w:tcPr>
          <w:p>
            <w:pPr>
              <w:spacing w:after="0" w:line="20" w:lineRule="exact"/>
              <w:rPr>
                <w:sz w:val="1"/>
                <w:szCs w:val="1"/>
                <w:color w:val="auto"/>
              </w:rPr>
            </w:pPr>
          </w:p>
        </w:tc>
        <w:tc>
          <w:tcPr>
            <w:tcW w:w="1160" w:type="dxa"/>
            <w:vAlign w:val="bottom"/>
            <w:tcBorders>
              <w:top w:val="single" w:sz="8" w:color="DBDBDB"/>
            </w:tcBorders>
            <w:shd w:val="clear" w:color="auto" w:fill="000000"/>
          </w:tcPr>
          <w:p>
            <w:pPr>
              <w:spacing w:after="0" w:line="20" w:lineRule="exact"/>
              <w:rPr>
                <w:sz w:val="1"/>
                <w:szCs w:val="1"/>
                <w:color w:val="auto"/>
              </w:rPr>
            </w:pPr>
          </w:p>
        </w:tc>
        <w:tc>
          <w:tcPr>
            <w:tcW w:w="18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shd w:val="clear" w:color="auto" w:fill="000000"/>
          </w:tcPr>
          <w:p>
            <w:pPr>
              <w:spacing w:after="0" w:line="20" w:lineRule="exact"/>
              <w:rPr>
                <w:sz w:val="1"/>
                <w:szCs w:val="1"/>
                <w:color w:val="auto"/>
              </w:rPr>
            </w:pPr>
          </w:p>
        </w:tc>
        <w:tc>
          <w:tcPr>
            <w:tcW w:w="1160" w:type="dxa"/>
            <w:vAlign w:val="bottom"/>
            <w:tcBorders>
              <w:top w:val="single" w:sz="8" w:color="DBDBDB"/>
            </w:tcBorders>
            <w:shd w:val="clear" w:color="auto" w:fill="000000"/>
          </w:tcPr>
          <w:p>
            <w:pPr>
              <w:spacing w:after="0" w:line="20" w:lineRule="exact"/>
              <w:rPr>
                <w:sz w:val="1"/>
                <w:szCs w:val="1"/>
                <w:color w:val="auto"/>
              </w:rPr>
            </w:pPr>
          </w:p>
        </w:tc>
        <w:tc>
          <w:tcPr>
            <w:tcW w:w="300" w:type="dxa"/>
            <w:vAlign w:val="bottom"/>
            <w:tcBorders>
              <w:top w:val="single" w:sz="8" w:color="DBDBDB"/>
              <w:right w:val="single" w:sz="8" w:color="auto"/>
            </w:tcBorders>
          </w:tcPr>
          <w:p>
            <w:pPr>
              <w:spacing w:after="0" w:line="20" w:lineRule="exact"/>
              <w:rPr>
                <w:sz w:val="1"/>
                <w:szCs w:val="1"/>
                <w:color w:val="auto"/>
              </w:rPr>
            </w:pPr>
          </w:p>
        </w:tc>
        <w:tc>
          <w:tcPr>
            <w:tcW w:w="120" w:type="dxa"/>
            <w:vAlign w:val="bottom"/>
            <w:tcBorders>
              <w:top w:val="single" w:sz="8" w:color="DBDBDB"/>
            </w:tcBorders>
            <w:shd w:val="clear" w:color="auto" w:fill="000000"/>
          </w:tcPr>
          <w:p>
            <w:pPr>
              <w:spacing w:after="0" w:line="20" w:lineRule="exact"/>
              <w:rPr>
                <w:sz w:val="1"/>
                <w:szCs w:val="1"/>
                <w:color w:val="auto"/>
              </w:rPr>
            </w:pPr>
          </w:p>
        </w:tc>
        <w:tc>
          <w:tcPr>
            <w:tcW w:w="1180" w:type="dxa"/>
            <w:vAlign w:val="bottom"/>
            <w:tcBorders>
              <w:top w:val="single" w:sz="8" w:color="DBDBDB"/>
            </w:tcBorders>
            <w:shd w:val="clear" w:color="auto" w:fill="000000"/>
          </w:tcPr>
          <w:p>
            <w:pPr>
              <w:spacing w:after="0" w:line="20" w:lineRule="exact"/>
              <w:rPr>
                <w:sz w:val="1"/>
                <w:szCs w:val="1"/>
                <w:color w:val="auto"/>
              </w:rPr>
            </w:pPr>
          </w:p>
        </w:tc>
        <w:tc>
          <w:tcPr>
            <w:tcW w:w="180" w:type="dxa"/>
            <w:vAlign w:val="bottom"/>
            <w:tcBorders>
              <w:top w:val="single" w:sz="8" w:color="DBDBDB"/>
              <w:right w:val="single" w:sz="8" w:color="auto"/>
            </w:tcBorders>
          </w:tcPr>
          <w:p>
            <w:pPr>
              <w:spacing w:after="0" w:line="20" w:lineRule="exact"/>
              <w:rPr>
                <w:sz w:val="1"/>
                <w:szCs w:val="1"/>
                <w:color w:val="auto"/>
              </w:rPr>
            </w:pPr>
          </w:p>
        </w:tc>
        <w:tc>
          <w:tcPr>
            <w:tcW w:w="80" w:type="dxa"/>
            <w:vAlign w:val="bottom"/>
            <w:tcBorders>
              <w:top w:val="single" w:sz="8" w:color="DBDBDB"/>
            </w:tcBorders>
            <w:shd w:val="clear" w:color="auto" w:fill="000000"/>
          </w:tcPr>
          <w:p>
            <w:pPr>
              <w:spacing w:after="0" w:line="20" w:lineRule="exact"/>
              <w:rPr>
                <w:sz w:val="1"/>
                <w:szCs w:val="1"/>
                <w:color w:val="auto"/>
              </w:rPr>
            </w:pPr>
          </w:p>
        </w:tc>
        <w:tc>
          <w:tcPr>
            <w:tcW w:w="1180" w:type="dxa"/>
            <w:vAlign w:val="bottom"/>
            <w:tcBorders>
              <w:top w:val="single" w:sz="8" w:color="DBDBDB"/>
            </w:tcBorders>
            <w:shd w:val="clear" w:color="auto" w:fill="000000"/>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Customer Warrant</w:t>
      </w:r>
    </w:p>
    <w:p>
      <w:pPr>
        <w:spacing w:after="0" w:line="218" w:lineRule="exact"/>
        <w:rPr>
          <w:sz w:val="20"/>
          <w:szCs w:val="20"/>
          <w:color w:val="auto"/>
        </w:rPr>
      </w:pPr>
    </w:p>
    <w:p>
      <w:pPr>
        <w:jc w:val="both"/>
        <w:ind w:firstLine="756"/>
        <w:spacing w:after="0" w:line="239" w:lineRule="auto"/>
        <w:rPr>
          <w:sz w:val="20"/>
          <w:szCs w:val="20"/>
          <w:color w:val="auto"/>
        </w:rPr>
      </w:pPr>
      <w:r>
        <w:rPr>
          <w:rFonts w:ascii="Times New Roman" w:cs="Times New Roman" w:eastAsia="Times New Roman" w:hAnsi="Times New Roman"/>
          <w:sz w:val="20"/>
          <w:szCs w:val="20"/>
          <w:color w:val="auto"/>
        </w:rPr>
        <w:t>On March 13, 2025, the Company issued a warrant (the "Customer Warrant") to a wholly-owned subsidiary of Amazon.com, Inc. to purchase up to an aggregate of 7,945,399 shares of the Company's common stock ("Warrant Shares") at an exercise price of $23.6956 per share. The Customer Warrant has a contractual term of 10 years. At the time of the issuance, the Customer Warrant is exercisable to purchase 1,324,233 Warrant Shares. The remaining 6,621,166 Warrant Shares may vest over the next 10 years, dependent on aggregate purchases by or on behalf of Amazon and its affiliates of $4 billion of the Company's products over this time period. The Company accounts for the Customer Warrant as an equity classified share-based consideration to a customer and will recognize the grant-date fair value of the Customer Warrant as a reduction of revenue from Amazon as the related goods or services are transferred. The grant date fair value of the Customer Warrant was determined to be $12.64 per share, using the Black-Scholes-Merton option pricing model.</w:t>
      </w:r>
    </w:p>
    <w:p>
      <w:pPr>
        <w:spacing w:after="0" w:line="23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per share grant date fair value of the Customer Warranty was estimated using the following assumptions:</w:t>
      </w:r>
    </w:p>
    <w:p>
      <w:pPr>
        <w:spacing w:after="0" w:line="224" w:lineRule="exact"/>
        <w:rPr>
          <w:sz w:val="20"/>
          <w:szCs w:val="20"/>
          <w:color w:val="auto"/>
        </w:rPr>
      </w:pPr>
    </w:p>
    <w:tbl>
      <w:tblPr>
        <w:tblLayout w:type="fixed"/>
        <w:tblInd w:w="100" w:type="dxa"/>
        <w:tblCellMar>
          <w:top w:w="0" w:type="dxa"/>
          <w:left w:w="0" w:type="dxa"/>
          <w:bottom w:w="0" w:type="dxa"/>
          <w:right w:w="0" w:type="dxa"/>
        </w:tblCellMar>
      </w:tblPr>
      <w:tr>
        <w:trPr>
          <w:trHeight w:val="257"/>
        </w:trPr>
        <w:tc>
          <w:tcPr>
            <w:tcW w:w="8980" w:type="dxa"/>
            <w:vAlign w:val="bottom"/>
            <w:tcBorders>
              <w:bottom w:val="single" w:sz="8" w:color="DBDBDB"/>
            </w:tcBorders>
          </w:tcPr>
          <w:p>
            <w:pPr>
              <w:spacing w:after="0"/>
              <w:rPr>
                <w:sz w:val="22"/>
                <w:szCs w:val="22"/>
                <w:color w:val="auto"/>
              </w:rPr>
            </w:pPr>
          </w:p>
        </w:tc>
        <w:tc>
          <w:tcPr>
            <w:tcW w:w="80" w:type="dxa"/>
            <w:vAlign w:val="bottom"/>
            <w:tcBorders>
              <w:bottom w:val="single" w:sz="8" w:color="DBDBDB"/>
            </w:tcBorders>
          </w:tcPr>
          <w:p>
            <w:pPr>
              <w:spacing w:after="0"/>
              <w:rPr>
                <w:sz w:val="22"/>
                <w:szCs w:val="22"/>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At Grant Date</w:t>
            </w:r>
          </w:p>
        </w:tc>
      </w:tr>
      <w:tr>
        <w:trPr>
          <w:trHeight w:val="220"/>
        </w:trPr>
        <w:tc>
          <w:tcPr>
            <w:tcW w:w="8980" w:type="dxa"/>
            <w:vAlign w:val="bottom"/>
            <w:tcBorders>
              <w:bottom w:val="single" w:sz="8" w:color="DBDBDB"/>
            </w:tcBorders>
            <w:shd w:val="clear" w:color="auto" w:fill="DBDBDB"/>
          </w:tcPr>
          <w:p>
            <w:pPr>
              <w:spacing w:after="0" w:line="220" w:lineRule="exact"/>
              <w:rPr>
                <w:sz w:val="20"/>
                <w:szCs w:val="20"/>
                <w:color w:val="auto"/>
              </w:rPr>
            </w:pPr>
            <w:r>
              <w:rPr>
                <w:rFonts w:ascii="Times New Roman" w:cs="Times New Roman" w:eastAsia="Times New Roman" w:hAnsi="Times New Roman"/>
                <w:sz w:val="20"/>
                <w:szCs w:val="20"/>
                <w:color w:val="auto"/>
              </w:rPr>
              <w:t>Expected volatility</w:t>
            </w:r>
          </w:p>
        </w:tc>
        <w:tc>
          <w:tcPr>
            <w:tcW w:w="80" w:type="dxa"/>
            <w:vAlign w:val="bottom"/>
            <w:tcBorders>
              <w:bottom w:val="single" w:sz="8" w:color="DBDBDB"/>
            </w:tcBorders>
            <w:shd w:val="clear" w:color="auto" w:fill="DBDBDB"/>
          </w:tcPr>
          <w:p>
            <w:pPr>
              <w:spacing w:after="0"/>
              <w:rPr>
                <w:sz w:val="19"/>
                <w:szCs w:val="19"/>
                <w:color w:val="auto"/>
              </w:rPr>
            </w:pPr>
          </w:p>
        </w:tc>
        <w:tc>
          <w:tcPr>
            <w:tcW w:w="100" w:type="dxa"/>
            <w:vAlign w:val="bottom"/>
            <w:tcBorders>
              <w:bottom w:val="single" w:sz="8" w:color="DBDBDB"/>
            </w:tcBorders>
            <w:shd w:val="clear" w:color="auto" w:fill="DBDBDB"/>
          </w:tcPr>
          <w:p>
            <w:pPr>
              <w:spacing w:after="0"/>
              <w:rPr>
                <w:sz w:val="19"/>
                <w:szCs w:val="19"/>
                <w:color w:val="auto"/>
              </w:rPr>
            </w:pPr>
          </w:p>
        </w:tc>
        <w:tc>
          <w:tcPr>
            <w:tcW w:w="124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rPr>
              <w:t>80.00%</w:t>
            </w:r>
          </w:p>
        </w:tc>
      </w:tr>
      <w:tr>
        <w:trPr>
          <w:trHeight w:val="220"/>
        </w:trPr>
        <w:tc>
          <w:tcPr>
            <w:tcW w:w="8980" w:type="dxa"/>
            <w:vAlign w:val="bottom"/>
            <w:tcBorders>
              <w:bottom w:val="single" w:sz="8" w:color="DBDBDB"/>
            </w:tcBorders>
          </w:tcPr>
          <w:p>
            <w:pPr>
              <w:spacing w:after="0" w:line="220" w:lineRule="exact"/>
              <w:rPr>
                <w:sz w:val="20"/>
                <w:szCs w:val="20"/>
                <w:color w:val="auto"/>
              </w:rPr>
            </w:pPr>
            <w:r>
              <w:rPr>
                <w:rFonts w:ascii="Times New Roman" w:cs="Times New Roman" w:eastAsia="Times New Roman" w:hAnsi="Times New Roman"/>
                <w:sz w:val="20"/>
                <w:szCs w:val="20"/>
                <w:color w:val="auto"/>
              </w:rPr>
              <w:t>Weighted-average expected term (in years)</w:t>
            </w:r>
          </w:p>
        </w:tc>
        <w:tc>
          <w:tcPr>
            <w:tcW w:w="1420" w:type="dxa"/>
            <w:vAlign w:val="bottom"/>
            <w:tcBorders>
              <w:bottom w:val="single" w:sz="8" w:color="DBDBDB"/>
            </w:tcBorders>
            <w:gridSpan w:val="3"/>
          </w:tcPr>
          <w:p>
            <w:pPr>
              <w:jc w:val="right"/>
              <w:spacing w:after="0" w:line="220" w:lineRule="exact"/>
              <w:rPr>
                <w:sz w:val="20"/>
                <w:szCs w:val="20"/>
                <w:color w:val="auto"/>
              </w:rPr>
            </w:pPr>
            <w:r>
              <w:rPr>
                <w:rFonts w:ascii="Times New Roman" w:cs="Times New Roman" w:eastAsia="Times New Roman" w:hAnsi="Times New Roman"/>
                <w:sz w:val="20"/>
                <w:szCs w:val="20"/>
                <w:color w:val="auto"/>
              </w:rPr>
              <w:t>10%</w:t>
            </w:r>
          </w:p>
        </w:tc>
      </w:tr>
      <w:tr>
        <w:trPr>
          <w:trHeight w:val="211"/>
        </w:trPr>
        <w:tc>
          <w:tcPr>
            <w:tcW w:w="8980" w:type="dxa"/>
            <w:vAlign w:val="bottom"/>
            <w:tcBorders>
              <w:bottom w:val="single" w:sz="8" w:color="DBDBDB"/>
            </w:tcBorders>
            <w:shd w:val="clear" w:color="auto" w:fill="DBDBDB"/>
          </w:tcPr>
          <w:p>
            <w:pPr>
              <w:spacing w:after="0" w:line="210" w:lineRule="exact"/>
              <w:rPr>
                <w:sz w:val="20"/>
                <w:szCs w:val="20"/>
                <w:color w:val="auto"/>
              </w:rPr>
            </w:pPr>
            <w:r>
              <w:rPr>
                <w:rFonts w:ascii="Times New Roman" w:cs="Times New Roman" w:eastAsia="Times New Roman" w:hAnsi="Times New Roman"/>
                <w:sz w:val="20"/>
                <w:szCs w:val="20"/>
                <w:color w:val="auto"/>
              </w:rPr>
              <w:t>Risk-free interest rate</w:t>
            </w:r>
          </w:p>
        </w:tc>
        <w:tc>
          <w:tcPr>
            <w:tcW w:w="8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1240" w:type="dxa"/>
            <w:vAlign w:val="bottom"/>
            <w:tcBorders>
              <w:bottom w:val="single" w:sz="8" w:color="DBDBDB"/>
            </w:tcBorders>
            <w:shd w:val="clear" w:color="auto" w:fill="DBDBDB"/>
          </w:tcPr>
          <w:p>
            <w:pPr>
              <w:jc w:val="right"/>
              <w:spacing w:after="0" w:line="210" w:lineRule="exact"/>
              <w:rPr>
                <w:sz w:val="20"/>
                <w:szCs w:val="20"/>
                <w:color w:val="auto"/>
              </w:rPr>
            </w:pPr>
            <w:r>
              <w:rPr>
                <w:rFonts w:ascii="Times New Roman" w:cs="Times New Roman" w:eastAsia="Times New Roman" w:hAnsi="Times New Roman"/>
                <w:sz w:val="20"/>
                <w:szCs w:val="20"/>
                <w:color w:val="auto"/>
              </w:rPr>
              <w:t>4.23%</w:t>
            </w:r>
          </w:p>
        </w:tc>
      </w:tr>
      <w:tr>
        <w:trPr>
          <w:trHeight w:val="220"/>
        </w:trPr>
        <w:tc>
          <w:tcPr>
            <w:tcW w:w="8980" w:type="dxa"/>
            <w:vAlign w:val="bottom"/>
            <w:tcBorders>
              <w:bottom w:val="single" w:sz="8" w:color="DBDBDB"/>
            </w:tcBorders>
          </w:tcPr>
          <w:p>
            <w:pPr>
              <w:spacing w:after="0" w:line="220" w:lineRule="exact"/>
              <w:rPr>
                <w:sz w:val="20"/>
                <w:szCs w:val="20"/>
                <w:color w:val="auto"/>
              </w:rPr>
            </w:pPr>
            <w:r>
              <w:rPr>
                <w:rFonts w:ascii="Times New Roman" w:cs="Times New Roman" w:eastAsia="Times New Roman" w:hAnsi="Times New Roman"/>
                <w:sz w:val="20"/>
                <w:szCs w:val="20"/>
                <w:color w:val="auto"/>
              </w:rPr>
              <w:t>Dividend yield</w:t>
            </w:r>
          </w:p>
        </w:tc>
        <w:tc>
          <w:tcPr>
            <w:tcW w:w="80" w:type="dxa"/>
            <w:vAlign w:val="bottom"/>
            <w:tcBorders>
              <w:bottom w:val="single" w:sz="8" w:color="DBDBDB"/>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1240" w:type="dxa"/>
            <w:vAlign w:val="bottom"/>
            <w:tcBorders>
              <w:bottom w:val="single" w:sz="8" w:color="DBDBDB"/>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r>
      <w:tr>
        <w:trPr>
          <w:trHeight w:val="211"/>
        </w:trPr>
        <w:tc>
          <w:tcPr>
            <w:tcW w:w="8980" w:type="dxa"/>
            <w:vAlign w:val="bottom"/>
            <w:shd w:val="clear" w:color="auto" w:fill="DBDBDB"/>
          </w:tcPr>
          <w:p>
            <w:pPr>
              <w:spacing w:after="0" w:line="210" w:lineRule="exact"/>
              <w:rPr>
                <w:sz w:val="20"/>
                <w:szCs w:val="20"/>
                <w:color w:val="auto"/>
              </w:rPr>
            </w:pPr>
            <w:r>
              <w:rPr>
                <w:rFonts w:ascii="Times New Roman" w:cs="Times New Roman" w:eastAsia="Times New Roman" w:hAnsi="Times New Roman"/>
                <w:sz w:val="20"/>
                <w:szCs w:val="20"/>
                <w:color w:val="auto"/>
              </w:rPr>
              <w:t>Fair Value per ordinary share at grant date</w:t>
            </w:r>
          </w:p>
        </w:tc>
        <w:tc>
          <w:tcPr>
            <w:tcW w:w="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line="210" w:lineRule="exact"/>
              <w:rPr>
                <w:sz w:val="20"/>
                <w:szCs w:val="20"/>
                <w:color w:val="auto"/>
              </w:rPr>
            </w:pPr>
            <w:r>
              <w:rPr>
                <w:rFonts w:ascii="Times New Roman" w:cs="Times New Roman" w:eastAsia="Times New Roman" w:hAnsi="Times New Roman"/>
                <w:sz w:val="20"/>
                <w:szCs w:val="20"/>
                <w:color w:val="auto"/>
              </w:rPr>
              <w:t>15.87%</w:t>
            </w:r>
          </w:p>
        </w:tc>
      </w:tr>
      <w:tr>
        <w:trPr>
          <w:trHeight w:val="20"/>
        </w:trPr>
        <w:tc>
          <w:tcPr>
            <w:tcW w:w="8980" w:type="dxa"/>
            <w:vAlign w:val="bottom"/>
            <w:shd w:val="clear" w:color="auto" w:fill="DBDBDB"/>
          </w:tcPr>
          <w:p>
            <w:pPr>
              <w:spacing w:after="0" w:line="20" w:lineRule="exact"/>
              <w:rPr>
                <w:sz w:val="1"/>
                <w:szCs w:val="1"/>
                <w:color w:val="auto"/>
              </w:rPr>
            </w:pPr>
          </w:p>
        </w:tc>
        <w:tc>
          <w:tcPr>
            <w:tcW w:w="80" w:type="dxa"/>
            <w:vAlign w:val="bottom"/>
            <w:shd w:val="clear" w:color="auto" w:fill="DBDBDB"/>
          </w:tcPr>
          <w:p>
            <w:pPr>
              <w:spacing w:after="0" w:line="20" w:lineRule="exact"/>
              <w:rPr>
                <w:sz w:val="1"/>
                <w:szCs w:val="1"/>
                <w:color w:val="auto"/>
              </w:rPr>
            </w:pPr>
          </w:p>
        </w:tc>
        <w:tc>
          <w:tcPr>
            <w:tcW w:w="100" w:type="dxa"/>
            <w:vAlign w:val="bottom"/>
            <w:shd w:val="clear" w:color="auto" w:fill="DBDBDB"/>
          </w:tcPr>
          <w:p>
            <w:pPr>
              <w:spacing w:after="0" w:line="20" w:lineRule="exact"/>
              <w:rPr>
                <w:sz w:val="1"/>
                <w:szCs w:val="1"/>
                <w:color w:val="auto"/>
              </w:rPr>
            </w:pPr>
          </w:p>
        </w:tc>
        <w:tc>
          <w:tcPr>
            <w:tcW w:w="1240" w:type="dxa"/>
            <w:vAlign w:val="bottom"/>
            <w:shd w:val="clear" w:color="auto" w:fill="DBDBDB"/>
          </w:tcPr>
          <w:p>
            <w:pPr>
              <w:spacing w:after="0" w:line="20" w:lineRule="exact"/>
              <w:rPr>
                <w:sz w:val="1"/>
                <w:szCs w:val="1"/>
                <w:color w:val="auto"/>
              </w:rPr>
            </w:pPr>
          </w:p>
        </w:tc>
      </w:tr>
    </w:tbl>
    <w:p>
      <w:pPr>
        <w:spacing w:after="0" w:line="204" w:lineRule="exact"/>
        <w:rPr>
          <w:sz w:val="20"/>
          <w:szCs w:val="20"/>
          <w:color w:val="auto"/>
        </w:rPr>
      </w:pPr>
    </w:p>
    <w:p>
      <w:pPr>
        <w:jc w:val="both"/>
        <w:ind w:firstLine="706"/>
        <w:spacing w:after="0" w:line="243" w:lineRule="auto"/>
        <w:rPr>
          <w:sz w:val="20"/>
          <w:szCs w:val="20"/>
          <w:color w:val="auto"/>
        </w:rPr>
      </w:pPr>
      <w:r>
        <w:rPr>
          <w:rFonts w:ascii="Times New Roman" w:cs="Times New Roman" w:eastAsia="Times New Roman" w:hAnsi="Times New Roman"/>
          <w:sz w:val="20"/>
          <w:szCs w:val="20"/>
          <w:color w:val="auto"/>
        </w:rPr>
        <w:t>For the year ended December 31, 2025, the Company recognized approximately $33.1 million of revenue associated with customer arrangements that included the issuance of warrants. The impact of these arrangements on the Company's consolidated financial statements was not material for the periods presented. As of December 31, 2025, the Company recorded other current asset of $1.0 million and other noncurrent asset of $15.0 million, representing the aggregate grant-date fair value of 1,324,233 Warrant Shares vested at the issuance.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D— LEASES</w:t>
      </w:r>
    </w:p>
    <w:p>
      <w:pPr>
        <w:spacing w:after="0" w:line="225" w:lineRule="exact"/>
        <w:rPr>
          <w:sz w:val="20"/>
          <w:szCs w:val="20"/>
          <w:color w:val="auto"/>
        </w:rPr>
      </w:pPr>
    </w:p>
    <w:p>
      <w:pPr>
        <w:jc w:val="both"/>
        <w:ind w:firstLine="706"/>
        <w:spacing w:after="0" w:line="238" w:lineRule="auto"/>
        <w:rPr>
          <w:sz w:val="20"/>
          <w:szCs w:val="20"/>
          <w:color w:val="auto"/>
        </w:rPr>
      </w:pPr>
      <w:r>
        <w:rPr>
          <w:rFonts w:ascii="Times New Roman" w:cs="Times New Roman" w:eastAsia="Times New Roman" w:hAnsi="Times New Roman"/>
          <w:sz w:val="20"/>
          <w:szCs w:val="20"/>
          <w:color w:val="auto"/>
        </w:rPr>
        <w:t>The Company leases space under non-cancellable operating leases for manufacturing facilities, research and development offices and certain storage facilities and apartments. These leases do not contain contingent rent provisions. The Company also leases certain machinery, office equipment and a vehicle under operating leases. The Company determines if an arrangement is or contains a lease at contract inception. Many of its leases include both lease (e.g. fixed payments including rent, taxes, and insurance costs) and non-lease components (e.g. common-area or other maintenance costs) which are accounted for as a single lease component as the Company has elected the practical expedient to group lease and non-lease components for all leases. Several of the leases include one or more options to renew which have been assessed and either included or excluded from the calculation of the lease liability of the right-of-use ("ROU") asset based on management’s intentions and individual fact patterns. Several warehouses and apartments have non-cancellable lease terms of less than one-year and therefore, the Company has elected the practical expedient to exclude these short-term leases from its ROU asset and lease liabilities.</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F-14</w:t>
      </w:r>
    </w:p>
    <w:p>
      <w:pPr>
        <w:sectPr>
          <w:pgSz w:w="11880" w:h="15480" w:orient="portrait"/>
          <w:cols w:equalWidth="0" w:num="1">
            <w:col w:w="10600"/>
          </w:cols>
          <w:pgMar w:left="640" w:top="410" w:right="640" w:bottom="0" w:gutter="0" w:footer="0" w:header="0"/>
        </w:sectPr>
      </w:pPr>
    </w:p>
    <w:bookmarkStart w:id="74" w:name="page75"/>
    <w:bookmarkEnd w:id="74"/>
    <w:p>
      <w:pPr>
        <w:jc w:val="both"/>
        <w:ind w:firstLine="706"/>
        <w:spacing w:after="0" w:line="241" w:lineRule="auto"/>
        <w:rPr>
          <w:sz w:val="20"/>
          <w:szCs w:val="20"/>
          <w:color w:val="auto"/>
        </w:rPr>
      </w:pPr>
      <w:r>
        <w:rPr>
          <w:rFonts w:ascii="Times New Roman" w:cs="Times New Roman" w:eastAsia="Times New Roman" w:hAnsi="Times New Roman"/>
          <w:sz w:val="20"/>
          <w:szCs w:val="20"/>
          <w:color w:val="auto"/>
        </w:rPr>
        <w:t>On October 7, 2024, Prime World entered into a Land and Building Lease Agreement with San Ho Enterprise Co., Ltd. ("San Ho Enterprise"), under which Prime World will lease approximately 38,072 square feet of two adjoining parcels of land, in New Taipei City. The lease also included a building on these parcels, totaling approximately 36,662 square feet. The lease term is for fifteen years, commencing on December 1, 2024, and ending on November 30, 2039. A two-month renovation period from October 1 to November 30, 2024, preceded the lease term, during which no rent was charged by San Ho Enterprise. During the lease term, the monthly rent will increase by three percent (3%) every three years.</w:t>
      </w:r>
    </w:p>
    <w:p>
      <w:pPr>
        <w:spacing w:after="0" w:line="193" w:lineRule="exact"/>
        <w:rPr>
          <w:sz w:val="20"/>
          <w:szCs w:val="20"/>
          <w:color w:val="auto"/>
        </w:rPr>
      </w:pPr>
    </w:p>
    <w:p>
      <w:pPr>
        <w:jc w:val="both"/>
        <w:ind w:firstLine="692"/>
        <w:spacing w:after="0" w:line="291" w:lineRule="auto"/>
        <w:rPr>
          <w:sz w:val="20"/>
          <w:szCs w:val="20"/>
          <w:color w:val="auto"/>
        </w:rPr>
      </w:pPr>
      <w:r>
        <w:rPr>
          <w:rFonts w:ascii="Times New Roman" w:cs="Times New Roman" w:eastAsia="Times New Roman" w:hAnsi="Times New Roman"/>
          <w:sz w:val="18"/>
          <w:szCs w:val="18"/>
          <w:color w:val="auto"/>
        </w:rPr>
        <w:t>On June 7, 2025, Prime World entered into a Land and Building Lease Agreement with San Ho Electric Machinery Industry Co., Ltd. ("San Ho Electric") in Taoyuan City. On August 20, 2025, Prime World terminated the lease with San Ho Electric and agreed to pay a termination fee in full settlement of rent, fees, damages and other amounts arising from the early termination of the lease.</w:t>
      </w:r>
    </w:p>
    <w:p>
      <w:pPr>
        <w:spacing w:after="0" w:line="148" w:lineRule="exact"/>
        <w:rPr>
          <w:sz w:val="20"/>
          <w:szCs w:val="20"/>
          <w:color w:val="auto"/>
        </w:rPr>
      </w:pPr>
    </w:p>
    <w:p>
      <w:pPr>
        <w:jc w:val="both"/>
        <w:ind w:firstLine="529"/>
        <w:spacing w:after="0"/>
        <w:rPr>
          <w:sz w:val="20"/>
          <w:szCs w:val="20"/>
          <w:color w:val="auto"/>
        </w:rPr>
      </w:pPr>
      <w:r>
        <w:rPr>
          <w:rFonts w:ascii="Times New Roman" w:cs="Times New Roman" w:eastAsia="Times New Roman" w:hAnsi="Times New Roman"/>
          <w:sz w:val="20"/>
          <w:szCs w:val="20"/>
          <w:color w:val="auto"/>
        </w:rPr>
        <w:t>On September 1, 2025, Prime World entered into a Lease Agreement with International Games System Co., Ltd., under which Prime World will lease a parcel of land with a total area of approximately 65,580 square feet, in New Taipei City. The lease includes a building on the parcel, totaling approximately 346,212 square feet, excluding approximately 54,086 square feet of the leased property which, at the time, had previously been leased to an existing tenant. The lease term is for fifteen years, commencing November 1, 2025, and ending October 31, 2040. A two- month renovation period from September 1 to October 1, 2025, preceded the lease term, during which no rent was charged. During the lease term, the monthly rent will increase by three percent (3%) every five years. On October 28, 2025, Prime World entered into a lease to include the first floor which was previously excluded in the leased entered into on September 1, 2025.</w:t>
      </w:r>
    </w:p>
    <w:p>
      <w:pPr>
        <w:spacing w:after="0" w:line="188"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On September 19, 2025, the Company entered into a Lease Agreement with Coleman Logistics Assets LLC ("Coleman"), pursuant to which the Company will lease approximately 209,665 square feet of space located at 1111 Gillingham Lane, Sugar Land, Texas 77478. The leased premises will be used by the Company primarily for manufacturing and related operations. The lease has a term of 126 months, commencing on the earlier of (i) the date the Company commences manufacturing operations within the leased premises, (ii) the date on which the leasehold improvements are substantially completed, or (iii) March 31, 2026, and expiring approximately 126 months thereafter, unless earlier terminated in accordance with the lease. Coleman has agreed to provide a construction allowance toward the cost of leasehold improvements in an amount equal to the lesser of (i) the actual aggregate cost of such improvements or (ii) $1,886,985. Base rent under the lease is abated for the first seven months of the term and thereafter increases on a scheduled basis through the end of the term, reflecting an average annual escalation of approximately 3.5%. Beginning in the eighth month of the term, base rent will be $ 7.44 per rentable square foot on an annual basis (approximately $ 129,992 per month), escalating periodically to $10.49 per rentable square foot on an annual basis (approximately $183,367 per month) during the final six months of the term.</w:t>
      </w:r>
    </w:p>
    <w:p>
      <w:pPr>
        <w:spacing w:after="0" w:line="195" w:lineRule="exact"/>
        <w:rPr>
          <w:sz w:val="20"/>
          <w:szCs w:val="20"/>
          <w:color w:val="auto"/>
        </w:rPr>
      </w:pPr>
    </w:p>
    <w:p>
      <w:pPr>
        <w:jc w:val="both"/>
        <w:ind w:firstLine="529"/>
        <w:spacing w:after="0" w:line="243" w:lineRule="auto"/>
        <w:rPr>
          <w:sz w:val="20"/>
          <w:szCs w:val="20"/>
          <w:color w:val="auto"/>
        </w:rPr>
      </w:pPr>
      <w:r>
        <w:rPr>
          <w:rFonts w:ascii="Times New Roman" w:cs="Times New Roman" w:eastAsia="Times New Roman" w:hAnsi="Times New Roman"/>
          <w:sz w:val="20"/>
          <w:szCs w:val="20"/>
          <w:color w:val="auto"/>
        </w:rPr>
        <w:t>Although the lease agreement was executed prior to December 31, 2025, the lease had not yet commenced as of that date, as Coleman is currently completing required improvements to the leased premises. The lease will commence in 2026, at which time the Company will recognize a ROU asset and a corresponding lease liability on its consolidated balance sheet. The total undiscounted lease payments over the initial lease term are approximately $21.9 million, which will be recognized upon lease commencement. No ROU asset or lease liability related to this agreement has been recorded as of December 31, 2025.</w:t>
      </w:r>
    </w:p>
    <w:p>
      <w:pPr>
        <w:spacing w:after="0" w:line="186" w:lineRule="exact"/>
        <w:rPr>
          <w:sz w:val="20"/>
          <w:szCs w:val="20"/>
          <w:color w:val="auto"/>
        </w:rPr>
      </w:pPr>
    </w:p>
    <w:p>
      <w:pPr>
        <w:jc w:val="both"/>
        <w:ind w:firstLine="529"/>
        <w:spacing w:after="0" w:line="245" w:lineRule="auto"/>
        <w:rPr>
          <w:sz w:val="20"/>
          <w:szCs w:val="20"/>
          <w:color w:val="auto"/>
        </w:rPr>
      </w:pPr>
      <w:r>
        <w:rPr>
          <w:rFonts w:ascii="Times New Roman" w:cs="Times New Roman" w:eastAsia="Times New Roman" w:hAnsi="Times New Roman"/>
          <w:sz w:val="20"/>
          <w:szCs w:val="20"/>
          <w:color w:val="auto"/>
        </w:rPr>
        <w:t>As most of the Company’s leases do not provide an implicit rate, the Company uses its incremental borrowing rate, which is the rate incurred to borrow on a collateralized basis over a similar term an amount equal to the lease payments in a similar economic environment. Based on the applicable lease terms and current economic environment, the Company applies a location approach for determining the incremental borrowing rate.</w:t>
      </w:r>
    </w:p>
    <w:p>
      <w:pPr>
        <w:spacing w:after="0" w:line="188" w:lineRule="exact"/>
        <w:rPr>
          <w:sz w:val="20"/>
          <w:szCs w:val="20"/>
          <w:color w:val="auto"/>
        </w:rPr>
      </w:pPr>
    </w:p>
    <w:p>
      <w:pPr>
        <w:jc w:val="both"/>
        <w:ind w:firstLine="529"/>
        <w:spacing w:after="0" w:line="251" w:lineRule="auto"/>
        <w:rPr>
          <w:sz w:val="20"/>
          <w:szCs w:val="20"/>
          <w:color w:val="auto"/>
        </w:rPr>
      </w:pPr>
      <w:r>
        <w:rPr>
          <w:rFonts w:ascii="Times New Roman" w:cs="Times New Roman" w:eastAsia="Times New Roman" w:hAnsi="Times New Roman"/>
          <w:sz w:val="20"/>
          <w:szCs w:val="20"/>
          <w:color w:val="auto"/>
        </w:rPr>
        <w:t>Lease expense is included under general and administrative expenses and was $4.0 million, $1.4 million and $1.2 million for the years ended December 31, 2025, 2024 and 2023, respectively. The Components of lease expense were as follows for the periods indicated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tcPr>
          <w:p>
            <w:pPr>
              <w:jc w:val="center"/>
              <w:ind w:right="42"/>
              <w:spacing w:after="0"/>
              <w:rPr>
                <w:sz w:val="20"/>
                <w:szCs w:val="20"/>
                <w:color w:val="auto"/>
              </w:rPr>
            </w:pPr>
            <w:r>
              <w:rPr>
                <w:rFonts w:ascii="Times New Roman" w:cs="Times New Roman" w:eastAsia="Times New Roman" w:hAnsi="Times New Roman"/>
                <w:sz w:val="20"/>
                <w:szCs w:val="20"/>
                <w:b w:val="1"/>
                <w:bCs w:val="1"/>
                <w:color w:val="auto"/>
                <w:w w:val="99"/>
              </w:rPr>
              <w:t>Year ended</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gridSpan w:val="2"/>
          </w:tcPr>
          <w:p>
            <w:pPr>
              <w:jc w:val="center"/>
              <w:ind w:right="180"/>
              <w:spacing w:after="0"/>
              <w:rPr>
                <w:sz w:val="20"/>
                <w:szCs w:val="20"/>
                <w:color w:val="auto"/>
              </w:rPr>
            </w:pPr>
            <w:r>
              <w:rPr>
                <w:rFonts w:ascii="Times New Roman" w:cs="Times New Roman" w:eastAsia="Times New Roman" w:hAnsi="Times New Roman"/>
                <w:sz w:val="20"/>
                <w:szCs w:val="20"/>
                <w:b w:val="1"/>
                <w:bCs w:val="1"/>
                <w:color w:val="auto"/>
                <w:w w:val="97"/>
              </w:rPr>
              <w:t>Year ended</w:t>
            </w:r>
          </w:p>
        </w:tc>
      </w:tr>
      <w:tr>
        <w:trPr>
          <w:trHeight w:val="236"/>
        </w:trPr>
        <w:tc>
          <w:tcPr>
            <w:tcW w:w="6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jc w:val="center"/>
              <w:ind w:right="42"/>
              <w:spacing w:after="0"/>
              <w:rPr>
                <w:sz w:val="20"/>
                <w:szCs w:val="20"/>
                <w:color w:val="auto"/>
              </w:rPr>
            </w:pPr>
            <w:r>
              <w:rPr>
                <w:rFonts w:ascii="Times New Roman" w:cs="Times New Roman" w:eastAsia="Times New Roman" w:hAnsi="Times New Roman"/>
                <w:sz w:val="20"/>
                <w:szCs w:val="20"/>
                <w:b w:val="1"/>
                <w:bCs w:val="1"/>
                <w:color w:val="auto"/>
                <w:w w:val="97"/>
              </w:rPr>
              <w:t>December 31,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00" w:type="dxa"/>
            <w:vAlign w:val="bottom"/>
            <w:gridSpan w:val="2"/>
          </w:tcPr>
          <w:p>
            <w:pPr>
              <w:jc w:val="center"/>
              <w:ind w:right="160"/>
              <w:spacing w:after="0"/>
              <w:rPr>
                <w:sz w:val="20"/>
                <w:szCs w:val="20"/>
                <w:color w:val="auto"/>
              </w:rPr>
            </w:pPr>
            <w:r>
              <w:rPr>
                <w:rFonts w:ascii="Times New Roman" w:cs="Times New Roman" w:eastAsia="Times New Roman" w:hAnsi="Times New Roman"/>
                <w:sz w:val="20"/>
                <w:szCs w:val="20"/>
                <w:b w:val="1"/>
                <w:bCs w:val="1"/>
                <w:color w:val="auto"/>
                <w:w w:val="97"/>
              </w:rPr>
              <w:t>December 31,</w:t>
            </w:r>
          </w:p>
        </w:tc>
      </w:tr>
      <w:tr>
        <w:trPr>
          <w:trHeight w:val="257"/>
        </w:trPr>
        <w:tc>
          <w:tcPr>
            <w:tcW w:w="6560" w:type="dxa"/>
            <w:vAlign w:val="bottom"/>
            <w:tcBorders>
              <w:bottom w:val="single" w:sz="8" w:color="DBDBDB"/>
            </w:tcBorders>
          </w:tcPr>
          <w:p>
            <w:pPr>
              <w:spacing w:after="0"/>
              <w:rPr>
                <w:sz w:val="22"/>
                <w:szCs w:val="22"/>
                <w:color w:val="auto"/>
              </w:rPr>
            </w:pPr>
          </w:p>
        </w:tc>
        <w:tc>
          <w:tcPr>
            <w:tcW w:w="100" w:type="dxa"/>
            <w:vAlign w:val="bottom"/>
            <w:tcBorders>
              <w:bottom w:val="single" w:sz="8" w:color="DBDBDB"/>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20"/>
                <w:szCs w:val="20"/>
                <w:b w:val="1"/>
                <w:bCs w:val="1"/>
                <w:color w:val="auto"/>
                <w:w w:val="94"/>
              </w:rPr>
              <w:t>2025</w:t>
            </w:r>
          </w:p>
        </w:tc>
        <w:tc>
          <w:tcPr>
            <w:tcW w:w="200" w:type="dxa"/>
            <w:vAlign w:val="bottom"/>
            <w:tcBorders>
              <w:bottom w:val="single" w:sz="8" w:color="DBDBDB"/>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2"/>
          </w:tcPr>
          <w:p>
            <w:pPr>
              <w:jc w:val="center"/>
              <w:ind w:right="42"/>
              <w:spacing w:after="0"/>
              <w:rPr>
                <w:sz w:val="20"/>
                <w:szCs w:val="20"/>
                <w:color w:val="auto"/>
              </w:rPr>
            </w:pPr>
            <w:r>
              <w:rPr>
                <w:rFonts w:ascii="Times New Roman" w:cs="Times New Roman" w:eastAsia="Times New Roman" w:hAnsi="Times New Roman"/>
                <w:sz w:val="20"/>
                <w:szCs w:val="20"/>
                <w:b w:val="1"/>
                <w:bCs w:val="1"/>
                <w:color w:val="auto"/>
                <w:w w:val="99"/>
              </w:rPr>
              <w:t>2024</w:t>
            </w:r>
          </w:p>
        </w:tc>
        <w:tc>
          <w:tcPr>
            <w:tcW w:w="20" w:type="dxa"/>
            <w:vAlign w:val="bottom"/>
            <w:tcBorders>
              <w:bottom w:val="single" w:sz="8" w:color="DBDBDB"/>
            </w:tcBorders>
          </w:tcPr>
          <w:p>
            <w:pPr>
              <w:spacing w:after="0"/>
              <w:rPr>
                <w:sz w:val="22"/>
                <w:szCs w:val="22"/>
                <w:color w:val="auto"/>
              </w:rPr>
            </w:pPr>
          </w:p>
        </w:tc>
      </w:tr>
      <w:tr>
        <w:trPr>
          <w:trHeight w:val="225"/>
        </w:trPr>
        <w:tc>
          <w:tcPr>
            <w:tcW w:w="6560" w:type="dxa"/>
            <w:vAlign w:val="bottom"/>
            <w:shd w:val="clear" w:color="auto" w:fill="DBDBDB"/>
          </w:tcPr>
          <w:p>
            <w:pPr>
              <w:ind w:left="20"/>
              <w:spacing w:after="0" w:line="220" w:lineRule="exact"/>
              <w:rPr>
                <w:sz w:val="20"/>
                <w:szCs w:val="20"/>
                <w:color w:val="auto"/>
              </w:rPr>
            </w:pPr>
            <w:r>
              <w:rPr>
                <w:rFonts w:ascii="Times New Roman" w:cs="Times New Roman" w:eastAsia="Times New Roman" w:hAnsi="Times New Roman"/>
                <w:sz w:val="20"/>
                <w:szCs w:val="20"/>
                <w:color w:val="auto"/>
              </w:rPr>
              <w:t>Operating lease expense</w:t>
            </w:r>
          </w:p>
        </w:tc>
        <w:tc>
          <w:tcPr>
            <w:tcW w:w="100" w:type="dxa"/>
            <w:vAlign w:val="bottom"/>
            <w:tcBorders>
              <w:right w:val="single" w:sz="8" w:color="DBDBDB"/>
            </w:tcBorders>
            <w:shd w:val="clear" w:color="auto" w:fill="DBDBDB"/>
          </w:tcPr>
          <w:p>
            <w:pPr>
              <w:spacing w:after="0"/>
              <w:rPr>
                <w:sz w:val="19"/>
                <w:szCs w:val="19"/>
                <w:color w:val="auto"/>
              </w:rPr>
            </w:pPr>
          </w:p>
        </w:tc>
        <w:tc>
          <w:tcPr>
            <w:tcW w:w="140" w:type="dxa"/>
            <w:vAlign w:val="bottom"/>
            <w:shd w:val="clear" w:color="auto" w:fill="DBDBDB"/>
          </w:tcPr>
          <w:p>
            <w:pPr>
              <w:jc w:val="right"/>
              <w:spacing w:after="0" w:line="225"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680" w:type="dxa"/>
            <w:vAlign w:val="bottom"/>
            <w:shd w:val="clear" w:color="auto" w:fill="DBDBDB"/>
          </w:tcPr>
          <w:p>
            <w:pPr>
              <w:jc w:val="right"/>
              <w:spacing w:after="0" w:line="225" w:lineRule="exact"/>
              <w:rPr>
                <w:sz w:val="20"/>
                <w:szCs w:val="20"/>
                <w:color w:val="auto"/>
              </w:rPr>
            </w:pPr>
            <w:r>
              <w:rPr>
                <w:rFonts w:ascii="Times New Roman" w:cs="Times New Roman" w:eastAsia="Times New Roman" w:hAnsi="Times New Roman"/>
                <w:sz w:val="20"/>
                <w:szCs w:val="20"/>
                <w:color w:val="auto"/>
              </w:rPr>
              <w:t>3,036</w:t>
            </w:r>
          </w:p>
        </w:tc>
        <w:tc>
          <w:tcPr>
            <w:tcW w:w="200" w:type="dxa"/>
            <w:vAlign w:val="bottom"/>
            <w:tcBorders>
              <w:right w:val="single" w:sz="8" w:color="DBDBDB"/>
            </w:tcBorders>
            <w:shd w:val="clear" w:color="auto" w:fill="DBDBDB"/>
          </w:tcPr>
          <w:p>
            <w:pPr>
              <w:spacing w:after="0"/>
              <w:rPr>
                <w:sz w:val="19"/>
                <w:szCs w:val="19"/>
                <w:color w:val="auto"/>
              </w:rPr>
            </w:pPr>
          </w:p>
        </w:tc>
        <w:tc>
          <w:tcPr>
            <w:tcW w:w="120" w:type="dxa"/>
            <w:vAlign w:val="bottom"/>
            <w:shd w:val="clear" w:color="auto" w:fill="DBDBDB"/>
          </w:tcPr>
          <w:p>
            <w:pPr>
              <w:jc w:val="right"/>
              <w:spacing w:after="0" w:line="225"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20" w:type="dxa"/>
            <w:vAlign w:val="bottom"/>
          </w:tcPr>
          <w:p>
            <w:pPr>
              <w:spacing w:after="0"/>
              <w:rPr>
                <w:sz w:val="19"/>
                <w:szCs w:val="19"/>
                <w:color w:val="auto"/>
              </w:rPr>
            </w:pPr>
          </w:p>
        </w:tc>
        <w:tc>
          <w:tcPr>
            <w:tcW w:w="1680" w:type="dxa"/>
            <w:vAlign w:val="bottom"/>
            <w:shd w:val="clear" w:color="auto" w:fill="DBDBDB"/>
          </w:tcPr>
          <w:p>
            <w:pPr>
              <w:jc w:val="right"/>
              <w:spacing w:after="0" w:line="225" w:lineRule="exact"/>
              <w:rPr>
                <w:sz w:val="20"/>
                <w:szCs w:val="20"/>
                <w:color w:val="auto"/>
              </w:rPr>
            </w:pPr>
            <w:r>
              <w:rPr>
                <w:rFonts w:ascii="Times New Roman" w:cs="Times New Roman" w:eastAsia="Times New Roman" w:hAnsi="Times New Roman"/>
                <w:sz w:val="20"/>
                <w:szCs w:val="20"/>
                <w:color w:val="auto"/>
              </w:rPr>
              <w:t>1,282</w:t>
            </w:r>
          </w:p>
        </w:tc>
        <w:tc>
          <w:tcPr>
            <w:tcW w:w="20" w:type="dxa"/>
            <w:vAlign w:val="bottom"/>
            <w:shd w:val="clear" w:color="auto" w:fill="DBDBDB"/>
          </w:tcPr>
          <w:p>
            <w:pPr>
              <w:spacing w:after="0"/>
              <w:rPr>
                <w:sz w:val="19"/>
                <w:szCs w:val="19"/>
                <w:color w:val="auto"/>
              </w:rPr>
            </w:pPr>
          </w:p>
        </w:tc>
      </w:tr>
      <w:tr>
        <w:trPr>
          <w:trHeight w:val="238"/>
        </w:trPr>
        <w:tc>
          <w:tcPr>
            <w:tcW w:w="6560" w:type="dxa"/>
            <w:vAlign w:val="bottom"/>
            <w:tcBorders>
              <w:bottom w:val="single" w:sz="8" w:color="DBDBDB"/>
            </w:tcBorders>
          </w:tcPr>
          <w:p>
            <w:pPr>
              <w:ind w:left="20"/>
              <w:spacing w:after="0"/>
              <w:rPr>
                <w:sz w:val="20"/>
                <w:szCs w:val="20"/>
                <w:color w:val="auto"/>
              </w:rPr>
            </w:pPr>
            <w:r>
              <w:rPr>
                <w:rFonts w:ascii="Times New Roman" w:cs="Times New Roman" w:eastAsia="Times New Roman" w:hAnsi="Times New Roman"/>
                <w:sz w:val="20"/>
                <w:szCs w:val="20"/>
                <w:color w:val="auto"/>
              </w:rPr>
              <w:t>Short Term lease expense</w:t>
            </w:r>
          </w:p>
        </w:tc>
        <w:tc>
          <w:tcPr>
            <w:tcW w:w="100" w:type="dxa"/>
            <w:vAlign w:val="bottom"/>
            <w:tcBorders>
              <w:bottom w:val="single" w:sz="8" w:color="DBDBDB"/>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200" w:type="dxa"/>
            <w:vAlign w:val="bottom"/>
            <w:tcBorders>
              <w:bottom w:val="single" w:sz="8" w:color="DBDBDB"/>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112</w:t>
            </w:r>
          </w:p>
        </w:tc>
        <w:tc>
          <w:tcPr>
            <w:tcW w:w="20" w:type="dxa"/>
            <w:vAlign w:val="bottom"/>
            <w:tcBorders>
              <w:bottom w:val="single" w:sz="8" w:color="DBDBDB"/>
            </w:tcBorders>
          </w:tcPr>
          <w:p>
            <w:pPr>
              <w:spacing w:after="0"/>
              <w:rPr>
                <w:sz w:val="20"/>
                <w:szCs w:val="20"/>
                <w:color w:val="auto"/>
              </w:rPr>
            </w:pPr>
          </w:p>
        </w:tc>
      </w:tr>
      <w:tr>
        <w:trPr>
          <w:trHeight w:val="262"/>
        </w:trPr>
        <w:tc>
          <w:tcPr>
            <w:tcW w:w="6560" w:type="dxa"/>
            <w:vAlign w:val="bottom"/>
            <w:tcBorders>
              <w:bottom w:val="single" w:sz="8" w:color="DBDBDB"/>
            </w:tcBorders>
            <w:shd w:val="clear" w:color="auto" w:fill="DBDBDB"/>
          </w:tcPr>
          <w:p>
            <w:pPr>
              <w:ind w:left="20"/>
              <w:spacing w:after="0" w:line="220" w:lineRule="exact"/>
              <w:rPr>
                <w:sz w:val="20"/>
                <w:szCs w:val="20"/>
                <w:color w:val="auto"/>
              </w:rPr>
            </w:pPr>
            <w:r>
              <w:rPr>
                <w:rFonts w:ascii="Times New Roman" w:cs="Times New Roman" w:eastAsia="Times New Roman" w:hAnsi="Times New Roman"/>
                <w:sz w:val="20"/>
                <w:szCs w:val="20"/>
                <w:color w:val="auto"/>
              </w:rPr>
              <w:t>Total lease expense</w:t>
            </w:r>
          </w:p>
        </w:tc>
        <w:tc>
          <w:tcPr>
            <w:tcW w:w="100" w:type="dxa"/>
            <w:vAlign w:val="bottom"/>
            <w:tcBorders>
              <w:bottom w:val="single" w:sz="8" w:color="DBDBDB"/>
              <w:right w:val="single" w:sz="8" w:color="DBDBDB"/>
            </w:tcBorders>
            <w:shd w:val="clear" w:color="auto" w:fill="DBDBDB"/>
          </w:tcPr>
          <w:p>
            <w:pPr>
              <w:spacing w:after="0"/>
              <w:rPr>
                <w:sz w:val="22"/>
                <w:szCs w:val="22"/>
                <w:color w:val="auto"/>
              </w:rPr>
            </w:pPr>
          </w:p>
        </w:tc>
        <w:tc>
          <w:tcPr>
            <w:tcW w:w="14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68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rPr>
              <w:t>4,036</w:t>
            </w:r>
          </w:p>
        </w:tc>
        <w:tc>
          <w:tcPr>
            <w:tcW w:w="200" w:type="dxa"/>
            <w:vAlign w:val="bottom"/>
            <w:tcBorders>
              <w:bottom w:val="single" w:sz="8" w:color="DBDBDB"/>
              <w:right w:val="single" w:sz="8" w:color="DBDBDB"/>
            </w:tcBorders>
            <w:shd w:val="clear" w:color="auto" w:fill="DBDBDB"/>
          </w:tcPr>
          <w:p>
            <w:pPr>
              <w:spacing w:after="0"/>
              <w:rPr>
                <w:sz w:val="22"/>
                <w:szCs w:val="22"/>
                <w:color w:val="auto"/>
              </w:rPr>
            </w:pPr>
          </w:p>
        </w:tc>
        <w:tc>
          <w:tcPr>
            <w:tcW w:w="12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20" w:type="dxa"/>
            <w:vAlign w:val="bottom"/>
          </w:tcPr>
          <w:p>
            <w:pPr>
              <w:spacing w:after="0"/>
              <w:rPr>
                <w:sz w:val="22"/>
                <w:szCs w:val="22"/>
                <w:color w:val="auto"/>
              </w:rPr>
            </w:pPr>
          </w:p>
        </w:tc>
        <w:tc>
          <w:tcPr>
            <w:tcW w:w="168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rPr>
              <w:t>1,394</w:t>
            </w:r>
          </w:p>
        </w:tc>
        <w:tc>
          <w:tcPr>
            <w:tcW w:w="20" w:type="dxa"/>
            <w:vAlign w:val="bottom"/>
            <w:tcBorders>
              <w:bottom w:val="single" w:sz="8" w:color="DBDBDB"/>
            </w:tcBorders>
            <w:shd w:val="clear" w:color="auto" w:fill="DBDBDB"/>
          </w:tcPr>
          <w:p>
            <w:pPr>
              <w:spacing w:after="0"/>
              <w:rPr>
                <w:sz w:val="22"/>
                <w:szCs w:val="22"/>
                <w:color w:val="auto"/>
              </w:rPr>
            </w:pPr>
          </w:p>
        </w:tc>
      </w:tr>
      <w:tr>
        <w:trPr>
          <w:trHeight w:val="20"/>
        </w:trPr>
        <w:tc>
          <w:tcPr>
            <w:tcW w:w="656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right w:val="single" w:sz="8" w:color="auto"/>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6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DBDBDB"/>
              <w:right w:val="single" w:sz="8" w:color="auto"/>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16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DBDBDB"/>
            </w:tcBorders>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600"/>
          </w:cols>
          <w:pgMar w:left="640" w:top="410"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ectPr>
          <w:pgSz w:w="11880" w:h="15480" w:orient="portrait"/>
          <w:cols w:equalWidth="0" w:num="1">
            <w:col w:w="10600"/>
          </w:cols>
          <w:pgMar w:left="640" w:top="410" w:right="640" w:bottom="0" w:gutter="0" w:footer="0" w:header="0"/>
          <w:type w:val="continuous"/>
        </w:sectPr>
      </w:pPr>
    </w:p>
    <w:bookmarkStart w:id="75" w:name="page76"/>
    <w:bookmarkEnd w:id="75"/>
    <w:p>
      <w:pPr>
        <w:ind w:left="720"/>
        <w:spacing w:after="0"/>
        <w:rPr>
          <w:sz w:val="20"/>
          <w:szCs w:val="20"/>
          <w:color w:val="auto"/>
        </w:rPr>
      </w:pPr>
      <w:r>
        <w:rPr>
          <w:rFonts w:ascii="Times New Roman" w:cs="Times New Roman" w:eastAsia="Times New Roman" w:hAnsi="Times New Roman"/>
          <w:sz w:val="20"/>
          <w:szCs w:val="20"/>
          <w:color w:val="auto"/>
        </w:rPr>
        <w:t>Maturities of lease liabilities are as follows for the future one-year periods ending December 31, (in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8650" w:type="dxa"/>
            <w:vAlign w:val="bottom"/>
            <w:tcBorders>
              <w:bottom w:val="single" w:sz="8" w:color="DBDBDB"/>
            </w:tcBorders>
          </w:tcPr>
          <w:p>
            <w:pPr>
              <w:spacing w:after="0"/>
              <w:rPr>
                <w:sz w:val="22"/>
                <w:szCs w:val="22"/>
                <w:color w:val="auto"/>
              </w:rPr>
            </w:pPr>
          </w:p>
        </w:tc>
        <w:tc>
          <w:tcPr>
            <w:tcW w:w="90" w:type="dxa"/>
            <w:vAlign w:val="bottom"/>
            <w:tcBorders>
              <w:bottom w:val="single" w:sz="8" w:color="DBDBDB"/>
            </w:tcBorders>
          </w:tcPr>
          <w:p>
            <w:pPr>
              <w:spacing w:after="0"/>
              <w:rPr>
                <w:sz w:val="22"/>
                <w:szCs w:val="22"/>
                <w:color w:val="auto"/>
              </w:rPr>
            </w:pPr>
          </w:p>
        </w:tc>
        <w:tc>
          <w:tcPr>
            <w:tcW w:w="20" w:type="dxa"/>
            <w:vAlign w:val="bottom"/>
            <w:tcBorders>
              <w:bottom w:val="single" w:sz="8" w:color="DBDBDB"/>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20"/>
                <w:szCs w:val="20"/>
                <w:b w:val="1"/>
                <w:bCs w:val="1"/>
                <w:color w:val="auto"/>
              </w:rPr>
              <w:t>Total</w:t>
            </w:r>
          </w:p>
        </w:tc>
      </w:tr>
      <w:tr>
        <w:trPr>
          <w:trHeight w:val="225"/>
        </w:trPr>
        <w:tc>
          <w:tcPr>
            <w:tcW w:w="8650" w:type="dxa"/>
            <w:vAlign w:val="bottom"/>
            <w:shd w:val="clear" w:color="auto" w:fill="DBDBDB"/>
          </w:tcPr>
          <w:p>
            <w:pPr>
              <w:jc w:val="right"/>
              <w:ind w:right="8152"/>
              <w:spacing w:after="0" w:line="220" w:lineRule="exact"/>
              <w:rPr>
                <w:sz w:val="20"/>
                <w:szCs w:val="20"/>
                <w:color w:val="auto"/>
              </w:rPr>
            </w:pPr>
            <w:r>
              <w:rPr>
                <w:rFonts w:ascii="Times New Roman" w:cs="Times New Roman" w:eastAsia="Times New Roman" w:hAnsi="Times New Roman"/>
                <w:sz w:val="20"/>
                <w:szCs w:val="20"/>
                <w:color w:val="auto"/>
                <w:w w:val="94"/>
              </w:rPr>
              <w:t>2026</w:t>
            </w:r>
          </w:p>
        </w:tc>
        <w:tc>
          <w:tcPr>
            <w:tcW w:w="9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20" w:type="dxa"/>
            <w:vAlign w:val="bottom"/>
            <w:shd w:val="clear" w:color="auto" w:fill="DBDBDB"/>
          </w:tcPr>
          <w:p>
            <w:pPr>
              <w:jc w:val="right"/>
              <w:spacing w:after="0" w:line="225"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720" w:type="dxa"/>
            <w:vAlign w:val="bottom"/>
            <w:shd w:val="clear" w:color="auto" w:fill="DBDBDB"/>
          </w:tcPr>
          <w:p>
            <w:pPr>
              <w:jc w:val="right"/>
              <w:spacing w:after="0" w:line="225" w:lineRule="exact"/>
              <w:rPr>
                <w:sz w:val="20"/>
                <w:szCs w:val="20"/>
                <w:color w:val="auto"/>
              </w:rPr>
            </w:pPr>
            <w:r>
              <w:rPr>
                <w:rFonts w:ascii="Times New Roman" w:cs="Times New Roman" w:eastAsia="Times New Roman" w:hAnsi="Times New Roman"/>
                <w:sz w:val="20"/>
                <w:szCs w:val="20"/>
                <w:color w:val="auto"/>
              </w:rPr>
              <w:t>5,190</w:t>
            </w:r>
          </w:p>
        </w:tc>
      </w:tr>
      <w:tr>
        <w:trPr>
          <w:trHeight w:val="235"/>
        </w:trPr>
        <w:tc>
          <w:tcPr>
            <w:tcW w:w="8650" w:type="dxa"/>
            <w:vAlign w:val="bottom"/>
          </w:tcPr>
          <w:p>
            <w:pPr>
              <w:jc w:val="right"/>
              <w:ind w:right="8152"/>
              <w:spacing w:after="0"/>
              <w:rPr>
                <w:sz w:val="20"/>
                <w:szCs w:val="20"/>
                <w:color w:val="auto"/>
              </w:rPr>
            </w:pPr>
            <w:r>
              <w:rPr>
                <w:rFonts w:ascii="Times New Roman" w:cs="Times New Roman" w:eastAsia="Times New Roman" w:hAnsi="Times New Roman"/>
                <w:sz w:val="20"/>
                <w:szCs w:val="20"/>
                <w:color w:val="auto"/>
                <w:w w:val="94"/>
              </w:rPr>
              <w:t>2027</w:t>
            </w:r>
          </w:p>
        </w:tc>
        <w:tc>
          <w:tcPr>
            <w:tcW w:w="9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5,303</w:t>
            </w:r>
          </w:p>
        </w:tc>
      </w:tr>
      <w:tr>
        <w:trPr>
          <w:trHeight w:val="235"/>
        </w:trPr>
        <w:tc>
          <w:tcPr>
            <w:tcW w:w="8650" w:type="dxa"/>
            <w:vAlign w:val="bottom"/>
            <w:shd w:val="clear" w:color="auto" w:fill="DBDBDB"/>
          </w:tcPr>
          <w:p>
            <w:pPr>
              <w:jc w:val="right"/>
              <w:ind w:right="8152"/>
              <w:spacing w:after="0"/>
              <w:rPr>
                <w:sz w:val="20"/>
                <w:szCs w:val="20"/>
                <w:color w:val="auto"/>
              </w:rPr>
            </w:pPr>
            <w:r>
              <w:rPr>
                <w:rFonts w:ascii="Times New Roman" w:cs="Times New Roman" w:eastAsia="Times New Roman" w:hAnsi="Times New Roman"/>
                <w:sz w:val="20"/>
                <w:szCs w:val="20"/>
                <w:color w:val="auto"/>
                <w:w w:val="94"/>
              </w:rPr>
              <w:t>2028</w:t>
            </w:r>
          </w:p>
        </w:tc>
        <w:tc>
          <w:tcPr>
            <w:tcW w:w="90" w:type="dxa"/>
            <w:vAlign w:val="bottom"/>
            <w:shd w:val="clear" w:color="auto" w:fill="DBDBDB"/>
          </w:tcPr>
          <w:p>
            <w:pPr>
              <w:spacing w:after="0"/>
              <w:rPr>
                <w:sz w:val="20"/>
                <w:szCs w:val="20"/>
                <w:color w:val="auto"/>
              </w:rPr>
            </w:pPr>
          </w:p>
        </w:tc>
        <w:tc>
          <w:tcPr>
            <w:tcW w:w="2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7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5,458</w:t>
            </w:r>
          </w:p>
        </w:tc>
      </w:tr>
      <w:tr>
        <w:trPr>
          <w:trHeight w:val="235"/>
        </w:trPr>
        <w:tc>
          <w:tcPr>
            <w:tcW w:w="8650" w:type="dxa"/>
            <w:vAlign w:val="bottom"/>
          </w:tcPr>
          <w:p>
            <w:pPr>
              <w:jc w:val="right"/>
              <w:ind w:right="8152"/>
              <w:spacing w:after="0"/>
              <w:rPr>
                <w:sz w:val="20"/>
                <w:szCs w:val="20"/>
                <w:color w:val="auto"/>
              </w:rPr>
            </w:pPr>
            <w:r>
              <w:rPr>
                <w:rFonts w:ascii="Times New Roman" w:cs="Times New Roman" w:eastAsia="Times New Roman" w:hAnsi="Times New Roman"/>
                <w:sz w:val="20"/>
                <w:szCs w:val="20"/>
                <w:color w:val="auto"/>
                <w:w w:val="94"/>
              </w:rPr>
              <w:t>2029</w:t>
            </w:r>
          </w:p>
        </w:tc>
        <w:tc>
          <w:tcPr>
            <w:tcW w:w="9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4,823</w:t>
            </w:r>
          </w:p>
        </w:tc>
      </w:tr>
      <w:tr>
        <w:trPr>
          <w:trHeight w:val="235"/>
        </w:trPr>
        <w:tc>
          <w:tcPr>
            <w:tcW w:w="8650" w:type="dxa"/>
            <w:vAlign w:val="bottom"/>
            <w:shd w:val="clear" w:color="auto" w:fill="DBDBDB"/>
          </w:tcPr>
          <w:p>
            <w:pPr>
              <w:jc w:val="right"/>
              <w:ind w:right="8152"/>
              <w:spacing w:after="0"/>
              <w:rPr>
                <w:sz w:val="20"/>
                <w:szCs w:val="20"/>
                <w:color w:val="auto"/>
              </w:rPr>
            </w:pPr>
            <w:r>
              <w:rPr>
                <w:rFonts w:ascii="Times New Roman" w:cs="Times New Roman" w:eastAsia="Times New Roman" w:hAnsi="Times New Roman"/>
                <w:sz w:val="20"/>
                <w:szCs w:val="20"/>
                <w:color w:val="auto"/>
                <w:w w:val="94"/>
              </w:rPr>
              <w:t>2030</w:t>
            </w:r>
          </w:p>
        </w:tc>
        <w:tc>
          <w:tcPr>
            <w:tcW w:w="90" w:type="dxa"/>
            <w:vAlign w:val="bottom"/>
            <w:shd w:val="clear" w:color="auto" w:fill="DBDBDB"/>
          </w:tcPr>
          <w:p>
            <w:pPr>
              <w:spacing w:after="0"/>
              <w:rPr>
                <w:sz w:val="20"/>
                <w:szCs w:val="20"/>
                <w:color w:val="auto"/>
              </w:rPr>
            </w:pPr>
          </w:p>
        </w:tc>
        <w:tc>
          <w:tcPr>
            <w:tcW w:w="2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7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4,404</w:t>
            </w:r>
          </w:p>
        </w:tc>
      </w:tr>
      <w:tr>
        <w:trPr>
          <w:trHeight w:val="238"/>
        </w:trPr>
        <w:tc>
          <w:tcPr>
            <w:tcW w:w="8760" w:type="dxa"/>
            <w:vAlign w:val="bottom"/>
            <w:tcBorders>
              <w:bottom w:val="single" w:sz="8" w:color="DBDBDB"/>
            </w:tcBorders>
            <w:gridSpan w:val="3"/>
          </w:tcPr>
          <w:p>
            <w:pPr>
              <w:ind w:left="20"/>
              <w:spacing w:after="0"/>
              <w:rPr>
                <w:sz w:val="20"/>
                <w:szCs w:val="20"/>
                <w:color w:val="auto"/>
              </w:rPr>
            </w:pPr>
            <w:r>
              <w:rPr>
                <w:rFonts w:ascii="Times New Roman" w:cs="Times New Roman" w:eastAsia="Times New Roman" w:hAnsi="Times New Roman"/>
                <w:sz w:val="20"/>
                <w:szCs w:val="20"/>
                <w:color w:val="auto"/>
              </w:rPr>
              <w:t>2031 and thereafter</w:t>
            </w:r>
          </w:p>
        </w:tc>
        <w:tc>
          <w:tcPr>
            <w:tcW w:w="1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37,976</w:t>
            </w:r>
          </w:p>
        </w:tc>
      </w:tr>
      <w:tr>
        <w:trPr>
          <w:trHeight w:val="225"/>
        </w:trPr>
        <w:tc>
          <w:tcPr>
            <w:tcW w:w="8650" w:type="dxa"/>
            <w:vAlign w:val="bottom"/>
            <w:shd w:val="clear" w:color="auto" w:fill="DBDBDB"/>
          </w:tcPr>
          <w:p>
            <w:pPr>
              <w:ind w:left="20"/>
              <w:spacing w:after="0" w:line="225" w:lineRule="exact"/>
              <w:rPr>
                <w:sz w:val="20"/>
                <w:szCs w:val="20"/>
                <w:color w:val="auto"/>
              </w:rPr>
            </w:pPr>
            <w:r>
              <w:rPr>
                <w:rFonts w:ascii="Times New Roman" w:cs="Times New Roman" w:eastAsia="Times New Roman" w:hAnsi="Times New Roman"/>
                <w:sz w:val="20"/>
                <w:szCs w:val="20"/>
                <w:color w:val="auto"/>
              </w:rPr>
              <w:t>Total lease payments</w:t>
            </w:r>
          </w:p>
        </w:tc>
        <w:tc>
          <w:tcPr>
            <w:tcW w:w="9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20" w:type="dxa"/>
            <w:vAlign w:val="bottom"/>
            <w:shd w:val="clear" w:color="auto" w:fill="DBDBDB"/>
          </w:tcPr>
          <w:p>
            <w:pPr>
              <w:jc w:val="right"/>
              <w:spacing w:after="0" w:line="225"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720" w:type="dxa"/>
            <w:vAlign w:val="bottom"/>
            <w:shd w:val="clear" w:color="auto" w:fill="DBDBDB"/>
          </w:tcPr>
          <w:p>
            <w:pPr>
              <w:jc w:val="right"/>
              <w:spacing w:after="0" w:line="225" w:lineRule="exact"/>
              <w:rPr>
                <w:sz w:val="20"/>
                <w:szCs w:val="20"/>
                <w:color w:val="auto"/>
              </w:rPr>
            </w:pPr>
            <w:r>
              <w:rPr>
                <w:rFonts w:ascii="Times New Roman" w:cs="Times New Roman" w:eastAsia="Times New Roman" w:hAnsi="Times New Roman"/>
                <w:sz w:val="20"/>
                <w:szCs w:val="20"/>
                <w:color w:val="auto"/>
              </w:rPr>
              <w:t>63,154</w:t>
            </w:r>
          </w:p>
        </w:tc>
      </w:tr>
      <w:tr>
        <w:trPr>
          <w:trHeight w:val="240"/>
        </w:trPr>
        <w:tc>
          <w:tcPr>
            <w:tcW w:w="8760" w:type="dxa"/>
            <w:vAlign w:val="bottom"/>
            <w:tcBorders>
              <w:bottom w:val="single" w:sz="8" w:color="DBDBDB"/>
            </w:tcBorders>
            <w:gridSpan w:val="3"/>
          </w:tcPr>
          <w:p>
            <w:pPr>
              <w:ind w:left="180"/>
              <w:spacing w:after="0"/>
              <w:rPr>
                <w:sz w:val="20"/>
                <w:szCs w:val="20"/>
                <w:color w:val="auto"/>
              </w:rPr>
            </w:pPr>
            <w:r>
              <w:rPr>
                <w:rFonts w:ascii="Times New Roman" w:cs="Times New Roman" w:eastAsia="Times New Roman" w:hAnsi="Times New Roman"/>
                <w:sz w:val="20"/>
                <w:szCs w:val="20"/>
                <w:color w:val="auto"/>
              </w:rPr>
              <w:t>Less imputed interest</w:t>
            </w:r>
          </w:p>
        </w:tc>
        <w:tc>
          <w:tcPr>
            <w:tcW w:w="1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(12,239)</w:t>
            </w:r>
          </w:p>
        </w:tc>
      </w:tr>
      <w:tr>
        <w:trPr>
          <w:trHeight w:val="242"/>
        </w:trPr>
        <w:tc>
          <w:tcPr>
            <w:tcW w:w="8650" w:type="dxa"/>
            <w:vAlign w:val="bottom"/>
            <w:tcBorders>
              <w:bottom w:val="single" w:sz="8" w:color="DBDBDB"/>
            </w:tcBorders>
            <w:shd w:val="clear" w:color="auto" w:fill="DBDBDB"/>
          </w:tcPr>
          <w:p>
            <w:pPr>
              <w:ind w:left="20"/>
              <w:spacing w:after="0" w:line="220" w:lineRule="exact"/>
              <w:rPr>
                <w:sz w:val="20"/>
                <w:szCs w:val="20"/>
                <w:color w:val="auto"/>
              </w:rPr>
            </w:pPr>
            <w:r>
              <w:rPr>
                <w:rFonts w:ascii="Times New Roman" w:cs="Times New Roman" w:eastAsia="Times New Roman" w:hAnsi="Times New Roman"/>
                <w:sz w:val="20"/>
                <w:szCs w:val="20"/>
                <w:color w:val="auto"/>
              </w:rPr>
              <w:t>Present value</w:t>
            </w:r>
          </w:p>
        </w:tc>
        <w:tc>
          <w:tcPr>
            <w:tcW w:w="90" w:type="dxa"/>
            <w:vAlign w:val="bottom"/>
            <w:tcBorders>
              <w:bottom w:val="single" w:sz="8" w:color="DBDBDB"/>
            </w:tcBorders>
            <w:shd w:val="clear" w:color="auto" w:fill="DBDBDB"/>
          </w:tcPr>
          <w:p>
            <w:pPr>
              <w:spacing w:after="0"/>
              <w:rPr>
                <w:sz w:val="21"/>
                <w:szCs w:val="21"/>
                <w:color w:val="auto"/>
              </w:rPr>
            </w:pPr>
          </w:p>
        </w:tc>
        <w:tc>
          <w:tcPr>
            <w:tcW w:w="20" w:type="dxa"/>
            <w:vAlign w:val="bottom"/>
            <w:tcBorders>
              <w:bottom w:val="single" w:sz="8" w:color="DBDBDB"/>
            </w:tcBorders>
            <w:shd w:val="clear" w:color="auto" w:fill="DBDBDB"/>
          </w:tcPr>
          <w:p>
            <w:pPr>
              <w:spacing w:after="0"/>
              <w:rPr>
                <w:sz w:val="21"/>
                <w:szCs w:val="21"/>
                <w:color w:val="auto"/>
              </w:rPr>
            </w:pPr>
          </w:p>
        </w:tc>
        <w:tc>
          <w:tcPr>
            <w:tcW w:w="12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72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rPr>
              <w:t>50,915</w:t>
            </w:r>
          </w:p>
        </w:tc>
      </w:tr>
      <w:tr>
        <w:trPr>
          <w:trHeight w:val="20"/>
        </w:trPr>
        <w:tc>
          <w:tcPr>
            <w:tcW w:w="8650" w:type="dxa"/>
            <w:vAlign w:val="bottom"/>
          </w:tcPr>
          <w:p>
            <w:pPr>
              <w:spacing w:after="0" w:line="20" w:lineRule="exact"/>
              <w:rPr>
                <w:sz w:val="1"/>
                <w:szCs w:val="1"/>
                <w:color w:val="auto"/>
              </w:rPr>
            </w:pPr>
          </w:p>
        </w:tc>
        <w:tc>
          <w:tcPr>
            <w:tcW w:w="9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weighted average remaining lease term and discount rate for operating leases were as follows for the periods indicated: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40" w:type="dxa"/>
            <w:vAlign w:val="bottom"/>
            <w:gridSpan w:val="3"/>
          </w:tcPr>
          <w:p>
            <w:pPr>
              <w:ind w:left="30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20" w:type="dxa"/>
            <w:vAlign w:val="bottom"/>
          </w:tcPr>
          <w:p>
            <w:pPr>
              <w:spacing w:after="0"/>
              <w:rPr>
                <w:sz w:val="20"/>
                <w:szCs w:val="20"/>
                <w:color w:val="auto"/>
              </w:rPr>
            </w:pPr>
          </w:p>
        </w:tc>
        <w:tc>
          <w:tcPr>
            <w:tcW w:w="1680" w:type="dxa"/>
            <w:vAlign w:val="bottom"/>
          </w:tcPr>
          <w:p>
            <w:pPr>
              <w:jc w:val="right"/>
              <w:ind w:right="222"/>
              <w:spacing w:after="0"/>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55"/>
        </w:trPr>
        <w:tc>
          <w:tcPr>
            <w:tcW w:w="6680" w:type="dxa"/>
            <w:vAlign w:val="bottom"/>
          </w:tcPr>
          <w:p>
            <w:pPr>
              <w:spacing w:after="0"/>
              <w:rPr>
                <w:sz w:val="22"/>
                <w:szCs w:val="22"/>
                <w:color w:val="auto"/>
              </w:rPr>
            </w:pPr>
          </w:p>
        </w:tc>
        <w:tc>
          <w:tcPr>
            <w:tcW w:w="1840" w:type="dxa"/>
            <w:vAlign w:val="bottom"/>
            <w:gridSpan w:val="3"/>
          </w:tcPr>
          <w:p>
            <w:pPr>
              <w:jc w:val="right"/>
              <w:ind w:right="582"/>
              <w:spacing w:after="0"/>
              <w:rPr>
                <w:sz w:val="20"/>
                <w:szCs w:val="20"/>
                <w:color w:val="auto"/>
              </w:rPr>
            </w:pPr>
            <w:r>
              <w:rPr>
                <w:rFonts w:ascii="Times New Roman" w:cs="Times New Roman" w:eastAsia="Times New Roman" w:hAnsi="Times New Roman"/>
                <w:sz w:val="20"/>
                <w:szCs w:val="20"/>
                <w:b w:val="1"/>
                <w:bCs w:val="1"/>
                <w:color w:val="auto"/>
              </w:rPr>
              <w:t>2025</w:t>
            </w: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700" w:type="dxa"/>
            <w:vAlign w:val="bottom"/>
            <w:gridSpan w:val="2"/>
          </w:tcPr>
          <w:p>
            <w:pPr>
              <w:jc w:val="right"/>
              <w:ind w:right="602"/>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225"/>
        </w:trPr>
        <w:tc>
          <w:tcPr>
            <w:tcW w:w="6680" w:type="dxa"/>
            <w:vAlign w:val="bottom"/>
            <w:tcBorders>
              <w:top w:val="single" w:sz="8" w:color="DBDBDB"/>
              <w:bottom w:val="single" w:sz="8" w:color="DBDBDB"/>
            </w:tcBorders>
            <w:shd w:val="clear" w:color="auto" w:fill="DBDBDB"/>
          </w:tcPr>
          <w:p>
            <w:pPr>
              <w:ind w:left="20"/>
              <w:spacing w:after="0" w:line="225" w:lineRule="exact"/>
              <w:rPr>
                <w:sz w:val="20"/>
                <w:szCs w:val="20"/>
                <w:color w:val="auto"/>
              </w:rPr>
            </w:pPr>
            <w:r>
              <w:rPr>
                <w:rFonts w:ascii="Times New Roman" w:cs="Times New Roman" w:eastAsia="Times New Roman" w:hAnsi="Times New Roman"/>
                <w:sz w:val="20"/>
                <w:szCs w:val="20"/>
                <w:color w:val="auto"/>
              </w:rPr>
              <w:t>Weighted Average Remaining Lease Term (Years) - operating leases</w:t>
            </w:r>
          </w:p>
        </w:tc>
        <w:tc>
          <w:tcPr>
            <w:tcW w:w="20" w:type="dxa"/>
            <w:vAlign w:val="bottom"/>
            <w:tcBorders>
              <w:top w:val="single" w:sz="8" w:color="DBDBDB"/>
            </w:tcBorders>
            <w:shd w:val="clear" w:color="auto" w:fill="DBDBDB"/>
          </w:tcPr>
          <w:p>
            <w:pPr>
              <w:spacing w:after="0"/>
              <w:rPr>
                <w:sz w:val="19"/>
                <w:szCs w:val="19"/>
                <w:color w:val="auto"/>
              </w:rPr>
            </w:pPr>
          </w:p>
        </w:tc>
        <w:tc>
          <w:tcPr>
            <w:tcW w:w="60" w:type="dxa"/>
            <w:vAlign w:val="bottom"/>
            <w:tcBorders>
              <w:top w:val="single" w:sz="8" w:color="DBDBDB"/>
              <w:bottom w:val="single" w:sz="8" w:color="DBDBDB"/>
            </w:tcBorders>
            <w:shd w:val="clear" w:color="auto" w:fill="DBDBDB"/>
          </w:tcPr>
          <w:p>
            <w:pPr>
              <w:spacing w:after="0"/>
              <w:rPr>
                <w:sz w:val="19"/>
                <w:szCs w:val="19"/>
                <w:color w:val="auto"/>
              </w:rPr>
            </w:pPr>
          </w:p>
        </w:tc>
        <w:tc>
          <w:tcPr>
            <w:tcW w:w="1760" w:type="dxa"/>
            <w:vAlign w:val="bottom"/>
            <w:tcBorders>
              <w:top w:val="single" w:sz="8" w:color="auto"/>
              <w:bottom w:val="single" w:sz="8" w:color="DBDBDB"/>
            </w:tcBorders>
            <w:shd w:val="clear" w:color="auto" w:fill="DBDBDB"/>
          </w:tcPr>
          <w:p>
            <w:pPr>
              <w:jc w:val="right"/>
              <w:spacing w:after="0" w:line="225" w:lineRule="exact"/>
              <w:rPr>
                <w:sz w:val="20"/>
                <w:szCs w:val="20"/>
                <w:color w:val="auto"/>
              </w:rPr>
            </w:pPr>
            <w:r>
              <w:rPr>
                <w:rFonts w:ascii="Times New Roman" w:cs="Times New Roman" w:eastAsia="Times New Roman" w:hAnsi="Times New Roman"/>
                <w:sz w:val="20"/>
                <w:szCs w:val="20"/>
                <w:color w:val="auto"/>
              </w:rPr>
              <w:t>13.42</w:t>
            </w:r>
          </w:p>
        </w:tc>
        <w:tc>
          <w:tcPr>
            <w:tcW w:w="300" w:type="dxa"/>
            <w:vAlign w:val="bottom"/>
            <w:tcBorders>
              <w:top w:val="single" w:sz="8" w:color="DBDBDB"/>
              <w:bottom w:val="single" w:sz="8" w:color="DBDBDB"/>
            </w:tcBorders>
            <w:shd w:val="clear" w:color="auto" w:fill="DBDBDB"/>
          </w:tcPr>
          <w:p>
            <w:pPr>
              <w:spacing w:after="0"/>
              <w:rPr>
                <w:sz w:val="19"/>
                <w:szCs w:val="19"/>
                <w:color w:val="auto"/>
              </w:rPr>
            </w:pPr>
          </w:p>
        </w:tc>
        <w:tc>
          <w:tcPr>
            <w:tcW w:w="80" w:type="dxa"/>
            <w:vAlign w:val="bottom"/>
            <w:tcBorders>
              <w:top w:val="single" w:sz="8" w:color="auto"/>
              <w:bottom w:val="single" w:sz="8" w:color="DBDBDB"/>
            </w:tcBorders>
            <w:shd w:val="clear" w:color="auto" w:fill="DBDBDB"/>
          </w:tcPr>
          <w:p>
            <w:pPr>
              <w:spacing w:after="0"/>
              <w:rPr>
                <w:sz w:val="19"/>
                <w:szCs w:val="19"/>
                <w:color w:val="auto"/>
              </w:rPr>
            </w:pPr>
          </w:p>
        </w:tc>
        <w:tc>
          <w:tcPr>
            <w:tcW w:w="20" w:type="dxa"/>
            <w:vAlign w:val="bottom"/>
            <w:tcBorders>
              <w:top w:val="single" w:sz="8" w:color="auto"/>
            </w:tcBorders>
            <w:shd w:val="clear" w:color="auto" w:fill="DBDBDB"/>
          </w:tcPr>
          <w:p>
            <w:pPr>
              <w:spacing w:after="0"/>
              <w:rPr>
                <w:sz w:val="19"/>
                <w:szCs w:val="19"/>
                <w:color w:val="auto"/>
              </w:rPr>
            </w:pPr>
          </w:p>
        </w:tc>
        <w:tc>
          <w:tcPr>
            <w:tcW w:w="1680" w:type="dxa"/>
            <w:vAlign w:val="bottom"/>
            <w:tcBorders>
              <w:top w:val="single" w:sz="8" w:color="auto"/>
              <w:bottom w:val="single" w:sz="8" w:color="DBDBDB"/>
            </w:tcBorders>
            <w:shd w:val="clear" w:color="auto" w:fill="DBDBDB"/>
          </w:tcPr>
          <w:p>
            <w:pPr>
              <w:jc w:val="right"/>
              <w:spacing w:after="0" w:line="225" w:lineRule="exact"/>
              <w:rPr>
                <w:sz w:val="20"/>
                <w:szCs w:val="20"/>
                <w:color w:val="auto"/>
              </w:rPr>
            </w:pPr>
            <w:r>
              <w:rPr>
                <w:rFonts w:ascii="Times New Roman" w:cs="Times New Roman" w:eastAsia="Times New Roman" w:hAnsi="Times New Roman"/>
                <w:sz w:val="20"/>
                <w:szCs w:val="20"/>
                <w:color w:val="auto"/>
              </w:rPr>
              <w:t>10.81</w:t>
            </w:r>
          </w:p>
        </w:tc>
      </w:tr>
      <w:tr>
        <w:trPr>
          <w:trHeight w:val="241"/>
        </w:trPr>
        <w:tc>
          <w:tcPr>
            <w:tcW w:w="66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Weighted Average Discount Rate - operating leases</w:t>
            </w:r>
          </w:p>
        </w:tc>
        <w:tc>
          <w:tcPr>
            <w:tcW w:w="20" w:type="dxa"/>
            <w:vAlign w:val="bottom"/>
          </w:tcPr>
          <w:p>
            <w:pPr>
              <w:spacing w:after="0"/>
              <w:rPr>
                <w:sz w:val="21"/>
                <w:szCs w:val="21"/>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3.40%</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3.11%</w:t>
            </w:r>
          </w:p>
        </w:tc>
      </w:tr>
    </w:tbl>
    <w:p>
      <w:pPr>
        <w:spacing w:after="0" w:line="1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Supplemental cash flow information related to operating leases was as follows for the periods indicated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tcPr>
          <w:p>
            <w:pPr>
              <w:jc w:val="center"/>
              <w:ind w:right="42"/>
              <w:spacing w:after="0"/>
              <w:rPr>
                <w:sz w:val="20"/>
                <w:szCs w:val="20"/>
                <w:color w:val="auto"/>
              </w:rPr>
            </w:pPr>
            <w:r>
              <w:rPr>
                <w:rFonts w:ascii="Times New Roman" w:cs="Times New Roman" w:eastAsia="Times New Roman" w:hAnsi="Times New Roman"/>
                <w:sz w:val="20"/>
                <w:szCs w:val="20"/>
                <w:b w:val="1"/>
                <w:bCs w:val="1"/>
                <w:color w:val="auto"/>
                <w:w w:val="99"/>
              </w:rPr>
              <w:t>Year ended</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80" w:type="dxa"/>
            <w:vAlign w:val="bottom"/>
          </w:tcPr>
          <w:p>
            <w:pPr>
              <w:jc w:val="center"/>
              <w:ind w:right="62"/>
              <w:spacing w:after="0"/>
              <w:rPr>
                <w:sz w:val="20"/>
                <w:szCs w:val="20"/>
                <w:color w:val="auto"/>
              </w:rPr>
            </w:pPr>
            <w:r>
              <w:rPr>
                <w:rFonts w:ascii="Times New Roman" w:cs="Times New Roman" w:eastAsia="Times New Roman" w:hAnsi="Times New Roman"/>
                <w:sz w:val="20"/>
                <w:szCs w:val="20"/>
                <w:b w:val="1"/>
                <w:bCs w:val="1"/>
                <w:color w:val="auto"/>
                <w:w w:val="97"/>
              </w:rPr>
              <w:t>Year ended</w:t>
            </w:r>
          </w:p>
        </w:tc>
      </w:tr>
      <w:tr>
        <w:trPr>
          <w:trHeight w:val="236"/>
        </w:trPr>
        <w:tc>
          <w:tcPr>
            <w:tcW w:w="6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jc w:val="center"/>
              <w:ind w:right="42"/>
              <w:spacing w:after="0"/>
              <w:rPr>
                <w:sz w:val="20"/>
                <w:szCs w:val="20"/>
                <w:color w:val="auto"/>
              </w:rPr>
            </w:pPr>
            <w:r>
              <w:rPr>
                <w:rFonts w:ascii="Times New Roman" w:cs="Times New Roman" w:eastAsia="Times New Roman" w:hAnsi="Times New Roman"/>
                <w:sz w:val="20"/>
                <w:szCs w:val="20"/>
                <w:b w:val="1"/>
                <w:bCs w:val="1"/>
                <w:color w:val="auto"/>
                <w:w w:val="97"/>
              </w:rPr>
              <w:t>December 31,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80" w:type="dxa"/>
            <w:vAlign w:val="bottom"/>
          </w:tcPr>
          <w:p>
            <w:pPr>
              <w:jc w:val="center"/>
              <w:ind w:right="42"/>
              <w:spacing w:after="0"/>
              <w:rPr>
                <w:sz w:val="20"/>
                <w:szCs w:val="20"/>
                <w:color w:val="auto"/>
              </w:rPr>
            </w:pPr>
            <w:r>
              <w:rPr>
                <w:rFonts w:ascii="Times New Roman" w:cs="Times New Roman" w:eastAsia="Times New Roman" w:hAnsi="Times New Roman"/>
                <w:sz w:val="20"/>
                <w:szCs w:val="20"/>
                <w:b w:val="1"/>
                <w:bCs w:val="1"/>
                <w:color w:val="auto"/>
                <w:w w:val="97"/>
              </w:rPr>
              <w:t>December 31,</w:t>
            </w:r>
          </w:p>
        </w:tc>
      </w:tr>
      <w:tr>
        <w:trPr>
          <w:trHeight w:val="255"/>
        </w:trPr>
        <w:tc>
          <w:tcPr>
            <w:tcW w:w="6560" w:type="dxa"/>
            <w:vAlign w:val="bottom"/>
            <w:tcBorders>
              <w:bottom w:val="single" w:sz="8" w:color="DBDBDB"/>
            </w:tcBorders>
          </w:tcPr>
          <w:p>
            <w:pPr>
              <w:spacing w:after="0"/>
              <w:rPr>
                <w:sz w:val="22"/>
                <w:szCs w:val="22"/>
                <w:color w:val="auto"/>
              </w:rPr>
            </w:pPr>
          </w:p>
        </w:tc>
        <w:tc>
          <w:tcPr>
            <w:tcW w:w="100" w:type="dxa"/>
            <w:vAlign w:val="bottom"/>
            <w:tcBorders>
              <w:bottom w:val="single" w:sz="8" w:color="DBDBDB"/>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20"/>
                <w:szCs w:val="20"/>
                <w:b w:val="1"/>
                <w:bCs w:val="1"/>
                <w:color w:val="auto"/>
                <w:w w:val="94"/>
              </w:rPr>
              <w:t>2025</w:t>
            </w:r>
          </w:p>
        </w:tc>
        <w:tc>
          <w:tcPr>
            <w:tcW w:w="200" w:type="dxa"/>
            <w:vAlign w:val="bottom"/>
            <w:tcBorders>
              <w:bottom w:val="single" w:sz="8" w:color="DBDBDB"/>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2"/>
          </w:tcPr>
          <w:p>
            <w:pPr>
              <w:jc w:val="center"/>
              <w:ind w:right="42"/>
              <w:spacing w:after="0"/>
              <w:rPr>
                <w:sz w:val="20"/>
                <w:szCs w:val="20"/>
                <w:color w:val="auto"/>
              </w:rPr>
            </w:pPr>
            <w:r>
              <w:rPr>
                <w:rFonts w:ascii="Times New Roman" w:cs="Times New Roman" w:eastAsia="Times New Roman" w:hAnsi="Times New Roman"/>
                <w:sz w:val="20"/>
                <w:szCs w:val="20"/>
                <w:b w:val="1"/>
                <w:bCs w:val="1"/>
                <w:color w:val="auto"/>
                <w:w w:val="99"/>
              </w:rPr>
              <w:t>2024</w:t>
            </w:r>
          </w:p>
        </w:tc>
      </w:tr>
      <w:tr>
        <w:trPr>
          <w:trHeight w:val="225"/>
        </w:trPr>
        <w:tc>
          <w:tcPr>
            <w:tcW w:w="6560" w:type="dxa"/>
            <w:vAlign w:val="bottom"/>
            <w:shd w:val="clear" w:color="auto" w:fill="DBDBDB"/>
          </w:tcPr>
          <w:p>
            <w:pPr>
              <w:ind w:left="20"/>
              <w:spacing w:after="0" w:line="220" w:lineRule="exact"/>
              <w:rPr>
                <w:sz w:val="20"/>
                <w:szCs w:val="20"/>
                <w:color w:val="auto"/>
              </w:rPr>
            </w:pPr>
            <w:r>
              <w:rPr>
                <w:rFonts w:ascii="Times New Roman" w:cs="Times New Roman" w:eastAsia="Times New Roman" w:hAnsi="Times New Roman"/>
                <w:sz w:val="20"/>
                <w:szCs w:val="20"/>
                <w:color w:val="auto"/>
              </w:rPr>
              <w:t>Cash paid for amounts included in the measurement of lease liabilities:</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68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0" w:type="dxa"/>
            <w:vAlign w:val="bottom"/>
          </w:tcPr>
          <w:p>
            <w:pPr>
              <w:spacing w:after="0"/>
              <w:rPr>
                <w:sz w:val="19"/>
                <w:szCs w:val="19"/>
                <w:color w:val="auto"/>
              </w:rPr>
            </w:pPr>
          </w:p>
        </w:tc>
        <w:tc>
          <w:tcPr>
            <w:tcW w:w="1680" w:type="dxa"/>
            <w:vAlign w:val="bottom"/>
            <w:shd w:val="clear" w:color="auto" w:fill="DBDBDB"/>
          </w:tcPr>
          <w:p>
            <w:pPr>
              <w:spacing w:after="0"/>
              <w:rPr>
                <w:sz w:val="19"/>
                <w:szCs w:val="19"/>
                <w:color w:val="auto"/>
              </w:rPr>
            </w:pPr>
          </w:p>
        </w:tc>
      </w:tr>
      <w:tr>
        <w:trPr>
          <w:trHeight w:val="235"/>
        </w:trPr>
        <w:tc>
          <w:tcPr>
            <w:tcW w:w="6560" w:type="dxa"/>
            <w:vAlign w:val="bottom"/>
            <w:tcBorders>
              <w:bottom w:val="single" w:sz="8" w:color="DBDBDB"/>
            </w:tcBorders>
          </w:tcPr>
          <w:p>
            <w:pPr>
              <w:ind w:left="180"/>
              <w:spacing w:after="0"/>
              <w:rPr>
                <w:sz w:val="20"/>
                <w:szCs w:val="20"/>
                <w:color w:val="auto"/>
              </w:rPr>
            </w:pPr>
            <w:r>
              <w:rPr>
                <w:rFonts w:ascii="Times New Roman" w:cs="Times New Roman" w:eastAsia="Times New Roman" w:hAnsi="Times New Roman"/>
                <w:sz w:val="20"/>
                <w:szCs w:val="20"/>
                <w:color w:val="auto"/>
              </w:rPr>
              <w:t>Operating cash flows from operating leases</w:t>
            </w:r>
          </w:p>
        </w:tc>
        <w:tc>
          <w:tcPr>
            <w:tcW w:w="240" w:type="dxa"/>
            <w:vAlign w:val="bottom"/>
            <w:tcBorders>
              <w:bottom w:val="single" w:sz="8" w:color="DBDBDB"/>
            </w:tcBorders>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80" w:type="dxa"/>
            <w:vAlign w:val="bottom"/>
            <w:tcBorders>
              <w:bottom w:val="single" w:sz="8" w:color="DBDBDB"/>
            </w:tcBorders>
          </w:tcPr>
          <w:p>
            <w:pPr>
              <w:jc w:val="right"/>
              <w:spacing w:after="0"/>
              <w:rPr>
                <w:sz w:val="20"/>
                <w:szCs w:val="20"/>
                <w:color w:val="auto"/>
              </w:rPr>
            </w:pPr>
            <w:r>
              <w:rPr>
                <w:rFonts w:ascii="Times New Roman" w:cs="Times New Roman" w:eastAsia="Times New Roman" w:hAnsi="Times New Roman"/>
                <w:sz w:val="20"/>
                <w:szCs w:val="20"/>
                <w:color w:val="auto"/>
              </w:rPr>
              <w:t>2,309</w:t>
            </w:r>
          </w:p>
        </w:tc>
        <w:tc>
          <w:tcPr>
            <w:tcW w:w="320" w:type="dxa"/>
            <w:vAlign w:val="bottom"/>
            <w:tcBorders>
              <w:bottom w:val="single" w:sz="8" w:color="DBDBDB"/>
            </w:tcBorders>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DBDBDB"/>
            </w:tcBorders>
          </w:tcPr>
          <w:p>
            <w:pPr>
              <w:spacing w:after="0"/>
              <w:rPr>
                <w:sz w:val="20"/>
                <w:szCs w:val="20"/>
                <w:color w:val="auto"/>
              </w:rPr>
            </w:pPr>
          </w:p>
        </w:tc>
        <w:tc>
          <w:tcPr>
            <w:tcW w:w="1680" w:type="dxa"/>
            <w:vAlign w:val="bottom"/>
            <w:tcBorders>
              <w:bottom w:val="single" w:sz="8" w:color="DBDBDB"/>
            </w:tcBorders>
          </w:tcPr>
          <w:p>
            <w:pPr>
              <w:jc w:val="right"/>
              <w:spacing w:after="0"/>
              <w:rPr>
                <w:sz w:val="20"/>
                <w:szCs w:val="20"/>
                <w:color w:val="auto"/>
              </w:rPr>
            </w:pPr>
            <w:r>
              <w:rPr>
                <w:rFonts w:ascii="Times New Roman" w:cs="Times New Roman" w:eastAsia="Times New Roman" w:hAnsi="Times New Roman"/>
                <w:sz w:val="20"/>
                <w:szCs w:val="20"/>
                <w:color w:val="auto"/>
              </w:rPr>
              <w:t>1,286</w:t>
            </w:r>
          </w:p>
        </w:tc>
      </w:tr>
      <w:tr>
        <w:trPr>
          <w:trHeight w:val="215"/>
        </w:trPr>
        <w:tc>
          <w:tcPr>
            <w:tcW w:w="6560" w:type="dxa"/>
            <w:vAlign w:val="bottom"/>
            <w:shd w:val="clear" w:color="auto" w:fill="DBDBDB"/>
          </w:tcPr>
          <w:p>
            <w:pPr>
              <w:ind w:left="20"/>
              <w:spacing w:after="0" w:line="210" w:lineRule="exact"/>
              <w:rPr>
                <w:sz w:val="20"/>
                <w:szCs w:val="20"/>
                <w:color w:val="auto"/>
              </w:rPr>
            </w:pPr>
            <w:r>
              <w:rPr>
                <w:rFonts w:ascii="Times New Roman" w:cs="Times New Roman" w:eastAsia="Times New Roman" w:hAnsi="Times New Roman"/>
                <w:sz w:val="20"/>
                <w:szCs w:val="20"/>
                <w:color w:val="auto"/>
              </w:rPr>
              <w:t>Right-of-use assets obtained in exchange for new operating lease liabilities</w:t>
            </w:r>
          </w:p>
        </w:tc>
        <w:tc>
          <w:tcPr>
            <w:tcW w:w="100" w:type="dxa"/>
            <w:vAlign w:val="bottom"/>
            <w:shd w:val="clear" w:color="auto" w:fill="DBDBDB"/>
          </w:tcPr>
          <w:p>
            <w:pPr>
              <w:spacing w:after="0"/>
              <w:rPr>
                <w:sz w:val="18"/>
                <w:szCs w:val="18"/>
                <w:color w:val="auto"/>
              </w:rPr>
            </w:pPr>
          </w:p>
        </w:tc>
        <w:tc>
          <w:tcPr>
            <w:tcW w:w="140" w:type="dxa"/>
            <w:vAlign w:val="bottom"/>
            <w:shd w:val="clear" w:color="auto" w:fill="DBDBDB"/>
          </w:tcPr>
          <w:p>
            <w:pPr>
              <w:jc w:val="right"/>
              <w:spacing w:after="0" w:line="210"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680" w:type="dxa"/>
            <w:vAlign w:val="bottom"/>
            <w:shd w:val="clear" w:color="auto" w:fill="DBDBDB"/>
          </w:tcPr>
          <w:p>
            <w:pPr>
              <w:jc w:val="right"/>
              <w:spacing w:after="0" w:line="210" w:lineRule="exact"/>
              <w:rPr>
                <w:sz w:val="20"/>
                <w:szCs w:val="20"/>
                <w:color w:val="auto"/>
              </w:rPr>
            </w:pPr>
            <w:r>
              <w:rPr>
                <w:rFonts w:ascii="Times New Roman" w:cs="Times New Roman" w:eastAsia="Times New Roman" w:hAnsi="Times New Roman"/>
                <w:sz w:val="20"/>
                <w:szCs w:val="20"/>
                <w:color w:val="auto"/>
              </w:rPr>
              <w:t>40,955</w:t>
            </w:r>
          </w:p>
        </w:tc>
        <w:tc>
          <w:tcPr>
            <w:tcW w:w="200" w:type="dxa"/>
            <w:vAlign w:val="bottom"/>
            <w:shd w:val="clear" w:color="auto" w:fill="DBDBDB"/>
          </w:tcPr>
          <w:p>
            <w:pPr>
              <w:spacing w:after="0"/>
              <w:rPr>
                <w:sz w:val="18"/>
                <w:szCs w:val="18"/>
                <w:color w:val="auto"/>
              </w:rPr>
            </w:pPr>
          </w:p>
        </w:tc>
        <w:tc>
          <w:tcPr>
            <w:tcW w:w="120" w:type="dxa"/>
            <w:vAlign w:val="bottom"/>
            <w:shd w:val="clear" w:color="auto" w:fill="DBDBDB"/>
          </w:tcPr>
          <w:p>
            <w:pPr>
              <w:jc w:val="right"/>
              <w:spacing w:after="0" w:line="210"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20" w:type="dxa"/>
            <w:vAlign w:val="bottom"/>
          </w:tcPr>
          <w:p>
            <w:pPr>
              <w:spacing w:after="0"/>
              <w:rPr>
                <w:sz w:val="18"/>
                <w:szCs w:val="18"/>
                <w:color w:val="auto"/>
              </w:rPr>
            </w:pPr>
          </w:p>
        </w:tc>
        <w:tc>
          <w:tcPr>
            <w:tcW w:w="1680" w:type="dxa"/>
            <w:vAlign w:val="bottom"/>
            <w:shd w:val="clear" w:color="auto" w:fill="DBDBDB"/>
          </w:tcPr>
          <w:p>
            <w:pPr>
              <w:jc w:val="right"/>
              <w:spacing w:after="0" w:line="210" w:lineRule="exact"/>
              <w:rPr>
                <w:sz w:val="20"/>
                <w:szCs w:val="20"/>
                <w:color w:val="auto"/>
              </w:rPr>
            </w:pPr>
            <w:r>
              <w:rPr>
                <w:rFonts w:ascii="Times New Roman" w:cs="Times New Roman" w:eastAsia="Times New Roman" w:hAnsi="Times New Roman"/>
                <w:sz w:val="20"/>
                <w:szCs w:val="20"/>
                <w:color w:val="auto"/>
              </w:rPr>
              <w:t>5,934</w:t>
            </w:r>
          </w:p>
        </w:tc>
      </w:tr>
    </w:tbl>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E—CASH, CASH EQUIVALENTS AND RESTRICTED CASH</w:t>
      </w:r>
    </w:p>
    <w:p>
      <w:pPr>
        <w:spacing w:after="0" w:line="225" w:lineRule="exact"/>
        <w:rPr>
          <w:sz w:val="20"/>
          <w:szCs w:val="20"/>
          <w:color w:val="auto"/>
        </w:rPr>
      </w:pPr>
    </w:p>
    <w:p>
      <w:pPr>
        <w:jc w:val="both"/>
        <w:ind w:firstLine="706"/>
        <w:spacing w:after="0" w:line="268" w:lineRule="auto"/>
        <w:rPr>
          <w:sz w:val="20"/>
          <w:szCs w:val="20"/>
          <w:color w:val="auto"/>
        </w:rPr>
      </w:pPr>
      <w:r>
        <w:rPr>
          <w:rFonts w:ascii="Times New Roman" w:cs="Times New Roman" w:eastAsia="Times New Roman" w:hAnsi="Times New Roman"/>
          <w:sz w:val="20"/>
          <w:szCs w:val="20"/>
          <w:color w:val="auto"/>
        </w:rPr>
        <w:t>The following table provides a reconciliation of cash, cash equivalents and restricted cash reported within the balance sheet that sum to the total of the same such amounts in the statement of cash flows (in thousands):</w:t>
      </w:r>
    </w:p>
    <w:p>
      <w:pPr>
        <w:spacing w:after="0" w:line="166" w:lineRule="exact"/>
        <w:rPr>
          <w:sz w:val="20"/>
          <w:szCs w:val="20"/>
          <w:color w:val="auto"/>
        </w:rPr>
      </w:pPr>
    </w:p>
    <w:tbl>
      <w:tblPr>
        <w:tblLayout w:type="fixed"/>
        <w:tblInd w:w="60" w:type="dxa"/>
        <w:tblCellMar>
          <w:top w:w="0" w:type="dxa"/>
          <w:left w:w="0" w:type="dxa"/>
          <w:bottom w:w="0" w:type="dxa"/>
          <w:right w:w="0" w:type="dxa"/>
        </w:tblCellMar>
      </w:tblPr>
      <w:tr>
        <w:trPr>
          <w:trHeight w:val="235"/>
        </w:trPr>
        <w:tc>
          <w:tcPr>
            <w:tcW w:w="7410" w:type="dxa"/>
            <w:vAlign w:val="bottom"/>
          </w:tcPr>
          <w:p>
            <w:pPr>
              <w:spacing w:after="0"/>
              <w:rPr>
                <w:sz w:val="20"/>
                <w:szCs w:val="20"/>
                <w:color w:val="auto"/>
              </w:rPr>
            </w:pPr>
          </w:p>
        </w:tc>
        <w:tc>
          <w:tcPr>
            <w:tcW w:w="11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ind w:right="22"/>
              <w:spacing w:after="0"/>
              <w:rPr>
                <w:sz w:val="20"/>
                <w:szCs w:val="20"/>
                <w:color w:val="auto"/>
              </w:rPr>
            </w:pPr>
            <w:r>
              <w:rPr>
                <w:rFonts w:ascii="Times New Roman" w:cs="Times New Roman" w:eastAsia="Times New Roman" w:hAnsi="Times New Roman"/>
                <w:sz w:val="20"/>
                <w:szCs w:val="20"/>
                <w:b w:val="1"/>
                <w:bCs w:val="1"/>
                <w:color w:val="auto"/>
                <w:w w:val="97"/>
              </w:rPr>
              <w:t>December 31,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55"/>
        </w:trPr>
        <w:tc>
          <w:tcPr>
            <w:tcW w:w="7410" w:type="dxa"/>
            <w:vAlign w:val="bottom"/>
            <w:tcBorders>
              <w:bottom w:val="single" w:sz="8" w:color="DBDBDB"/>
            </w:tcBorders>
          </w:tcPr>
          <w:p>
            <w:pPr>
              <w:spacing w:after="0"/>
              <w:rPr>
                <w:sz w:val="22"/>
                <w:szCs w:val="22"/>
                <w:color w:val="auto"/>
              </w:rPr>
            </w:pPr>
          </w:p>
        </w:tc>
        <w:tc>
          <w:tcPr>
            <w:tcW w:w="110" w:type="dxa"/>
            <w:vAlign w:val="bottom"/>
            <w:tcBorders>
              <w:bottom w:val="single" w:sz="8" w:color="DBDBDB"/>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20"/>
                <w:szCs w:val="20"/>
                <w:b w:val="1"/>
                <w:bCs w:val="1"/>
                <w:color w:val="auto"/>
              </w:rPr>
              <w:t>2025</w:t>
            </w:r>
          </w:p>
        </w:tc>
        <w:tc>
          <w:tcPr>
            <w:tcW w:w="200" w:type="dxa"/>
            <w:vAlign w:val="bottom"/>
            <w:tcBorders>
              <w:bottom w:val="single" w:sz="8" w:color="DBDBDB"/>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20"/>
                <w:szCs w:val="20"/>
                <w:b w:val="1"/>
                <w:bCs w:val="1"/>
                <w:color w:val="auto"/>
              </w:rPr>
              <w:t>2024</w:t>
            </w:r>
          </w:p>
        </w:tc>
        <w:tc>
          <w:tcPr>
            <w:tcW w:w="20" w:type="dxa"/>
            <w:vAlign w:val="bottom"/>
            <w:tcBorders>
              <w:bottom w:val="single" w:sz="8" w:color="DBDBDB"/>
            </w:tcBorders>
          </w:tcPr>
          <w:p>
            <w:pPr>
              <w:spacing w:after="0"/>
              <w:rPr>
                <w:sz w:val="22"/>
                <w:szCs w:val="22"/>
                <w:color w:val="auto"/>
              </w:rPr>
            </w:pPr>
          </w:p>
        </w:tc>
      </w:tr>
      <w:tr>
        <w:trPr>
          <w:trHeight w:val="225"/>
        </w:trPr>
        <w:tc>
          <w:tcPr>
            <w:tcW w:w="7410" w:type="dxa"/>
            <w:vAlign w:val="bottom"/>
            <w:shd w:val="clear" w:color="auto" w:fill="DBDBDB"/>
          </w:tcPr>
          <w:p>
            <w:pPr>
              <w:spacing w:after="0" w:line="220" w:lineRule="exact"/>
              <w:rPr>
                <w:sz w:val="20"/>
                <w:szCs w:val="20"/>
                <w:color w:val="auto"/>
              </w:rPr>
            </w:pPr>
            <w:r>
              <w:rPr>
                <w:rFonts w:ascii="Times New Roman" w:cs="Times New Roman" w:eastAsia="Times New Roman" w:hAnsi="Times New Roman"/>
                <w:sz w:val="20"/>
                <w:szCs w:val="20"/>
                <w:color w:val="auto"/>
              </w:rPr>
              <w:t>Cash and cash equivalents</w:t>
            </w:r>
          </w:p>
        </w:tc>
        <w:tc>
          <w:tcPr>
            <w:tcW w:w="110" w:type="dxa"/>
            <w:vAlign w:val="bottom"/>
            <w:tcBorders>
              <w:right w:val="single" w:sz="8" w:color="DBDBDB"/>
            </w:tcBorders>
            <w:shd w:val="clear" w:color="auto" w:fill="DBDBDB"/>
          </w:tcPr>
          <w:p>
            <w:pPr>
              <w:spacing w:after="0"/>
              <w:rPr>
                <w:sz w:val="19"/>
                <w:szCs w:val="19"/>
                <w:color w:val="auto"/>
              </w:rPr>
            </w:pPr>
          </w:p>
        </w:tc>
        <w:tc>
          <w:tcPr>
            <w:tcW w:w="100" w:type="dxa"/>
            <w:vAlign w:val="bottom"/>
            <w:shd w:val="clear" w:color="auto" w:fill="DBDBDB"/>
          </w:tcPr>
          <w:p>
            <w:pPr>
              <w:jc w:val="right"/>
              <w:spacing w:after="0" w:line="225"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280" w:type="dxa"/>
            <w:vAlign w:val="bottom"/>
            <w:shd w:val="clear" w:color="auto" w:fill="DBDBDB"/>
          </w:tcPr>
          <w:p>
            <w:pPr>
              <w:jc w:val="right"/>
              <w:spacing w:after="0" w:line="225" w:lineRule="exact"/>
              <w:rPr>
                <w:sz w:val="20"/>
                <w:szCs w:val="20"/>
                <w:color w:val="auto"/>
              </w:rPr>
            </w:pPr>
            <w:r>
              <w:rPr>
                <w:rFonts w:ascii="Times New Roman" w:cs="Times New Roman" w:eastAsia="Times New Roman" w:hAnsi="Times New Roman"/>
                <w:sz w:val="20"/>
                <w:szCs w:val="20"/>
                <w:color w:val="auto"/>
              </w:rPr>
              <w:t>206,140</w:t>
            </w:r>
          </w:p>
        </w:tc>
        <w:tc>
          <w:tcPr>
            <w:tcW w:w="200" w:type="dxa"/>
            <w:vAlign w:val="bottom"/>
            <w:tcBorders>
              <w:right w:val="single" w:sz="8" w:color="DBDBDB"/>
            </w:tcBorders>
            <w:shd w:val="clear" w:color="auto" w:fill="DBDBDB"/>
          </w:tcPr>
          <w:p>
            <w:pPr>
              <w:spacing w:after="0"/>
              <w:rPr>
                <w:sz w:val="19"/>
                <w:szCs w:val="19"/>
                <w:color w:val="auto"/>
              </w:rPr>
            </w:pPr>
          </w:p>
        </w:tc>
        <w:tc>
          <w:tcPr>
            <w:tcW w:w="100" w:type="dxa"/>
            <w:vAlign w:val="bottom"/>
            <w:shd w:val="clear" w:color="auto" w:fill="DBDBDB"/>
          </w:tcPr>
          <w:p>
            <w:pPr>
              <w:jc w:val="right"/>
              <w:spacing w:after="0" w:line="225"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280" w:type="dxa"/>
            <w:vAlign w:val="bottom"/>
            <w:shd w:val="clear" w:color="auto" w:fill="DBDBDB"/>
          </w:tcPr>
          <w:p>
            <w:pPr>
              <w:jc w:val="right"/>
              <w:spacing w:after="0" w:line="225" w:lineRule="exact"/>
              <w:rPr>
                <w:sz w:val="20"/>
                <w:szCs w:val="20"/>
                <w:color w:val="auto"/>
              </w:rPr>
            </w:pPr>
            <w:r>
              <w:rPr>
                <w:rFonts w:ascii="Times New Roman" w:cs="Times New Roman" w:eastAsia="Times New Roman" w:hAnsi="Times New Roman"/>
                <w:sz w:val="20"/>
                <w:szCs w:val="20"/>
                <w:color w:val="auto"/>
              </w:rPr>
              <w:t>67,428</w:t>
            </w:r>
          </w:p>
        </w:tc>
        <w:tc>
          <w:tcPr>
            <w:tcW w:w="20" w:type="dxa"/>
            <w:vAlign w:val="bottom"/>
            <w:shd w:val="clear" w:color="auto" w:fill="DBDBDB"/>
          </w:tcPr>
          <w:p>
            <w:pPr>
              <w:spacing w:after="0"/>
              <w:rPr>
                <w:sz w:val="19"/>
                <w:szCs w:val="19"/>
                <w:color w:val="auto"/>
              </w:rPr>
            </w:pPr>
          </w:p>
        </w:tc>
      </w:tr>
      <w:tr>
        <w:trPr>
          <w:trHeight w:val="238"/>
        </w:trPr>
        <w:tc>
          <w:tcPr>
            <w:tcW w:w="7410" w:type="dxa"/>
            <w:vAlign w:val="bottom"/>
            <w:tcBorders>
              <w:bottom w:val="single" w:sz="8" w:color="DBDBDB"/>
            </w:tcBorders>
          </w:tcPr>
          <w:p>
            <w:pPr>
              <w:spacing w:after="0"/>
              <w:rPr>
                <w:sz w:val="20"/>
                <w:szCs w:val="20"/>
                <w:color w:val="auto"/>
              </w:rPr>
            </w:pPr>
            <w:r>
              <w:rPr>
                <w:rFonts w:ascii="Times New Roman" w:cs="Times New Roman" w:eastAsia="Times New Roman" w:hAnsi="Times New Roman"/>
                <w:sz w:val="20"/>
                <w:szCs w:val="20"/>
                <w:color w:val="auto"/>
              </w:rPr>
              <w:t>Restricted cash</w:t>
            </w:r>
          </w:p>
        </w:tc>
        <w:tc>
          <w:tcPr>
            <w:tcW w:w="110" w:type="dxa"/>
            <w:vAlign w:val="bottom"/>
            <w:tcBorders>
              <w:bottom w:val="single" w:sz="8" w:color="DBDBDB"/>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9,895</w:t>
            </w:r>
          </w:p>
        </w:tc>
        <w:tc>
          <w:tcPr>
            <w:tcW w:w="200" w:type="dxa"/>
            <w:vAlign w:val="bottom"/>
            <w:tcBorders>
              <w:bottom w:val="single" w:sz="8" w:color="DBDBDB"/>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11,705</w:t>
            </w:r>
          </w:p>
        </w:tc>
        <w:tc>
          <w:tcPr>
            <w:tcW w:w="20" w:type="dxa"/>
            <w:vAlign w:val="bottom"/>
            <w:tcBorders>
              <w:bottom w:val="single" w:sz="8" w:color="DBDBDB"/>
            </w:tcBorders>
          </w:tcPr>
          <w:p>
            <w:pPr>
              <w:spacing w:after="0"/>
              <w:rPr>
                <w:sz w:val="20"/>
                <w:szCs w:val="20"/>
                <w:color w:val="auto"/>
              </w:rPr>
            </w:pPr>
          </w:p>
        </w:tc>
      </w:tr>
      <w:tr>
        <w:trPr>
          <w:trHeight w:val="262"/>
        </w:trPr>
        <w:tc>
          <w:tcPr>
            <w:tcW w:w="7410" w:type="dxa"/>
            <w:vAlign w:val="bottom"/>
            <w:tcBorders>
              <w:bottom w:val="single" w:sz="8" w:color="DBDBDB"/>
            </w:tcBorders>
            <w:shd w:val="clear" w:color="auto" w:fill="DBDBDB"/>
          </w:tcPr>
          <w:p>
            <w:pPr>
              <w:spacing w:after="0" w:line="220" w:lineRule="exact"/>
              <w:rPr>
                <w:sz w:val="20"/>
                <w:szCs w:val="20"/>
                <w:color w:val="auto"/>
              </w:rPr>
            </w:pPr>
            <w:r>
              <w:rPr>
                <w:rFonts w:ascii="Times New Roman" w:cs="Times New Roman" w:eastAsia="Times New Roman" w:hAnsi="Times New Roman"/>
                <w:sz w:val="20"/>
                <w:szCs w:val="20"/>
                <w:color w:val="auto"/>
              </w:rPr>
              <w:t>Total cash, cash equivalents and restricted cash shown in the statement of cash flows</w:t>
            </w:r>
          </w:p>
        </w:tc>
        <w:tc>
          <w:tcPr>
            <w:tcW w:w="110" w:type="dxa"/>
            <w:vAlign w:val="bottom"/>
            <w:tcBorders>
              <w:bottom w:val="single" w:sz="8" w:color="DBDBDB"/>
              <w:right w:val="single" w:sz="8" w:color="DBDBDB"/>
            </w:tcBorders>
            <w:shd w:val="clear" w:color="auto" w:fill="DBDBDB"/>
          </w:tcPr>
          <w:p>
            <w:pPr>
              <w:spacing w:after="0"/>
              <w:rPr>
                <w:sz w:val="22"/>
                <w:szCs w:val="22"/>
                <w:color w:val="auto"/>
              </w:rPr>
            </w:pPr>
          </w:p>
        </w:tc>
        <w:tc>
          <w:tcPr>
            <w:tcW w:w="10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28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rPr>
              <w:t>216,035</w:t>
            </w:r>
          </w:p>
        </w:tc>
        <w:tc>
          <w:tcPr>
            <w:tcW w:w="200" w:type="dxa"/>
            <w:vAlign w:val="bottom"/>
            <w:tcBorders>
              <w:bottom w:val="single" w:sz="8" w:color="DBDBDB"/>
              <w:right w:val="single" w:sz="8" w:color="DBDBDB"/>
            </w:tcBorders>
            <w:shd w:val="clear" w:color="auto" w:fill="DBDBDB"/>
          </w:tcPr>
          <w:p>
            <w:pPr>
              <w:spacing w:after="0"/>
              <w:rPr>
                <w:sz w:val="22"/>
                <w:szCs w:val="22"/>
                <w:color w:val="auto"/>
              </w:rPr>
            </w:pPr>
          </w:p>
        </w:tc>
        <w:tc>
          <w:tcPr>
            <w:tcW w:w="10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28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rPr>
              <w:t>79,133</w:t>
            </w:r>
          </w:p>
        </w:tc>
        <w:tc>
          <w:tcPr>
            <w:tcW w:w="20" w:type="dxa"/>
            <w:vAlign w:val="bottom"/>
            <w:tcBorders>
              <w:bottom w:val="single" w:sz="8" w:color="DBDBDB"/>
            </w:tcBorders>
            <w:shd w:val="clear" w:color="auto" w:fill="DBDBDB"/>
          </w:tcPr>
          <w:p>
            <w:pPr>
              <w:spacing w:after="0"/>
              <w:rPr>
                <w:sz w:val="22"/>
                <w:szCs w:val="22"/>
                <w:color w:val="auto"/>
              </w:rPr>
            </w:pPr>
          </w:p>
        </w:tc>
      </w:tr>
      <w:tr>
        <w:trPr>
          <w:trHeight w:val="20"/>
        </w:trPr>
        <w:tc>
          <w:tcPr>
            <w:tcW w:w="7410" w:type="dxa"/>
            <w:vAlign w:val="bottom"/>
            <w:tcBorders>
              <w:top w:val="single" w:sz="8" w:color="DBDBDB"/>
            </w:tcBorders>
          </w:tcPr>
          <w:p>
            <w:pPr>
              <w:spacing w:after="0" w:line="20" w:lineRule="exact"/>
              <w:rPr>
                <w:sz w:val="1"/>
                <w:szCs w:val="1"/>
                <w:color w:val="auto"/>
              </w:rPr>
            </w:pPr>
          </w:p>
        </w:tc>
        <w:tc>
          <w:tcPr>
            <w:tcW w:w="110" w:type="dxa"/>
            <w:vAlign w:val="bottom"/>
            <w:tcBorders>
              <w:top w:val="single" w:sz="8" w:color="DBDBDB"/>
              <w:right w:val="single" w:sz="8" w:color="auto"/>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DBDBDB"/>
              <w:right w:val="single" w:sz="8" w:color="auto"/>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ind w:firstLine="706"/>
        <w:spacing w:after="0" w:line="245" w:lineRule="auto"/>
        <w:rPr>
          <w:sz w:val="20"/>
          <w:szCs w:val="20"/>
          <w:color w:val="auto"/>
        </w:rPr>
      </w:pPr>
      <w:r>
        <w:rPr>
          <w:rFonts w:ascii="Times New Roman" w:cs="Times New Roman" w:eastAsia="Times New Roman" w:hAnsi="Times New Roman"/>
          <w:sz w:val="20"/>
          <w:szCs w:val="20"/>
          <w:color w:val="auto"/>
        </w:rPr>
        <w:t>Restricted cash includes guarantee deposits for customs duties, China government subsidy fund, and deposits as collateral in order to secure bank acceptance notes issued to vendors, see Note K for details. As of December 31, 2025 and 2024, there was $8.7 million and $8.5 million of restricted cash required for bank acceptance notes issued to vendors, respectively. There were $1.2 million and $0.7 million guarantee deposits for customs duties as of December 31, 2025 and December 31,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F—EARNINGS PER SHARE</w:t>
      </w:r>
    </w:p>
    <w:p>
      <w:pPr>
        <w:spacing w:after="0" w:line="225" w:lineRule="exact"/>
        <w:rPr>
          <w:sz w:val="20"/>
          <w:szCs w:val="20"/>
          <w:color w:val="auto"/>
        </w:rPr>
      </w:pPr>
    </w:p>
    <w:p>
      <w:pPr>
        <w:jc w:val="both"/>
        <w:ind w:firstLine="706"/>
        <w:spacing w:after="0" w:line="276" w:lineRule="auto"/>
        <w:rPr>
          <w:sz w:val="20"/>
          <w:szCs w:val="20"/>
          <w:color w:val="auto"/>
        </w:rPr>
      </w:pPr>
      <w:r>
        <w:rPr>
          <w:rFonts w:ascii="Times New Roman" w:cs="Times New Roman" w:eastAsia="Times New Roman" w:hAnsi="Times New Roman"/>
          <w:sz w:val="18"/>
          <w:szCs w:val="18"/>
          <w:color w:val="auto"/>
        </w:rPr>
        <w:t>Basic net loss per share has been computed using the weighted-average number of shares of common stock outstanding during the period. Diluted net loss per share has been computed using the weighted-average number of shares of common stock and dilutive potential common shares from options and restricted stock units outstanding during the period. Convertible senior notes are included in the denominator as if it were converted at the beginning of the period or, if issued during the period, at the time of issuance. In periods with net losses, normally dilutive shares become anti-dilutive. Therefore, basic and dilutive earnings per share are the same.</w:t>
      </w:r>
    </w:p>
    <w:p>
      <w:pPr>
        <w:sectPr>
          <w:pgSz w:w="11880" w:h="15480" w:orient="portrait"/>
          <w:cols w:equalWidth="0" w:num="1">
            <w:col w:w="10600"/>
          </w:cols>
          <w:pgMar w:left="640" w:top="410"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ectPr>
          <w:pgSz w:w="11880" w:h="15480" w:orient="portrait"/>
          <w:cols w:equalWidth="0" w:num="1">
            <w:col w:w="10600"/>
          </w:cols>
          <w:pgMar w:left="640" w:top="410" w:right="640" w:bottom="0" w:gutter="0" w:footer="0" w:header="0"/>
          <w:type w:val="continuous"/>
        </w:sectPr>
      </w:pPr>
    </w:p>
    <w:bookmarkStart w:id="76" w:name="page77"/>
    <w:bookmarkEnd w:id="76"/>
    <w:p>
      <w:pPr>
        <w:ind w:left="740"/>
        <w:spacing w:after="0"/>
        <w:rPr>
          <w:sz w:val="20"/>
          <w:szCs w:val="20"/>
          <w:color w:val="auto"/>
        </w:rPr>
      </w:pPr>
      <w:r>
        <w:rPr>
          <w:rFonts w:ascii="Times New Roman" w:cs="Times New Roman" w:eastAsia="Times New Roman" w:hAnsi="Times New Roman"/>
          <w:sz w:val="18"/>
          <w:szCs w:val="18"/>
          <w:color w:val="auto"/>
        </w:rPr>
        <w:t>The following table presents the computation of the basic and diluted net loss per share for the periods indicated (in thousands):</w:t>
      </w:r>
    </w:p>
    <w:p>
      <w:pPr>
        <w:spacing w:after="0" w:line="247" w:lineRule="exact"/>
        <w:rPr>
          <w:sz w:val="20"/>
          <w:szCs w:val="20"/>
          <w:color w:val="auto"/>
        </w:rPr>
      </w:pPr>
    </w:p>
    <w:tbl>
      <w:tblPr>
        <w:tblLayout w:type="fixed"/>
        <w:tblInd w:w="80" w:type="dxa"/>
        <w:tblCellMar>
          <w:top w:w="0" w:type="dxa"/>
          <w:left w:w="0" w:type="dxa"/>
          <w:bottom w:w="0" w:type="dxa"/>
          <w:right w:w="0" w:type="dxa"/>
        </w:tblCellMar>
      </w:tblPr>
      <w:tr>
        <w:trPr>
          <w:trHeight w:val="255"/>
        </w:trPr>
        <w:tc>
          <w:tcPr>
            <w:tcW w:w="5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400" w:type="dxa"/>
            <w:vAlign w:val="bottom"/>
            <w:tcBorders>
              <w:bottom w:val="single" w:sz="8" w:color="auto"/>
            </w:tcBorders>
            <w:gridSpan w:val="7"/>
          </w:tcPr>
          <w:p>
            <w:pPr>
              <w:ind w:left="108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1040" w:type="dxa"/>
            <w:vAlign w:val="bottom"/>
            <w:tcBorders>
              <w:bottom w:val="single" w:sz="8" w:color="auto"/>
            </w:tcBorders>
          </w:tcPr>
          <w:p>
            <w:pPr>
              <w:spacing w:after="0"/>
              <w:rPr>
                <w:sz w:val="22"/>
                <w:szCs w:val="22"/>
                <w:color w:val="auto"/>
              </w:rPr>
            </w:pPr>
          </w:p>
        </w:tc>
      </w:tr>
      <w:tr>
        <w:trPr>
          <w:trHeight w:val="227"/>
        </w:trPr>
        <w:tc>
          <w:tcPr>
            <w:tcW w:w="5820" w:type="dxa"/>
            <w:vAlign w:val="bottom"/>
            <w:tcBorders>
              <w:bottom w:val="single" w:sz="8" w:color="DBDBDB"/>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82"/>
              <w:spacing w:after="0" w:line="227" w:lineRule="exact"/>
              <w:rPr>
                <w:sz w:val="20"/>
                <w:szCs w:val="20"/>
                <w:color w:val="auto"/>
              </w:rPr>
            </w:pPr>
            <w:r>
              <w:rPr>
                <w:rFonts w:ascii="Times New Roman" w:cs="Times New Roman" w:eastAsia="Times New Roman" w:hAnsi="Times New Roman"/>
                <w:sz w:val="20"/>
                <w:szCs w:val="20"/>
                <w:b w:val="1"/>
                <w:bCs w:val="1"/>
                <w:color w:val="auto"/>
              </w:rPr>
              <w:t>2025</w:t>
            </w:r>
          </w:p>
        </w:tc>
        <w:tc>
          <w:tcPr>
            <w:tcW w:w="220" w:type="dxa"/>
            <w:vAlign w:val="bottom"/>
            <w:tcBorders>
              <w:bottom w:val="single" w:sz="8" w:color="DBDBDB"/>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02"/>
              <w:spacing w:after="0" w:line="227" w:lineRule="exact"/>
              <w:rPr>
                <w:sz w:val="20"/>
                <w:szCs w:val="20"/>
                <w:color w:val="auto"/>
              </w:rPr>
            </w:pPr>
            <w:r>
              <w:rPr>
                <w:rFonts w:ascii="Times New Roman" w:cs="Times New Roman" w:eastAsia="Times New Roman" w:hAnsi="Times New Roman"/>
                <w:sz w:val="20"/>
                <w:szCs w:val="20"/>
                <w:b w:val="1"/>
                <w:bCs w:val="1"/>
                <w:color w:val="auto"/>
              </w:rPr>
              <w:t>2024</w:t>
            </w:r>
          </w:p>
        </w:tc>
        <w:tc>
          <w:tcPr>
            <w:tcW w:w="200" w:type="dxa"/>
            <w:vAlign w:val="bottom"/>
            <w:tcBorders>
              <w:bottom w:val="single" w:sz="8" w:color="DBDBD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02"/>
              <w:spacing w:after="0" w:line="227" w:lineRule="exact"/>
              <w:rPr>
                <w:sz w:val="20"/>
                <w:szCs w:val="20"/>
                <w:color w:val="auto"/>
              </w:rPr>
            </w:pPr>
            <w:r>
              <w:rPr>
                <w:rFonts w:ascii="Times New Roman" w:cs="Times New Roman" w:eastAsia="Times New Roman" w:hAnsi="Times New Roman"/>
                <w:sz w:val="20"/>
                <w:szCs w:val="20"/>
                <w:b w:val="1"/>
                <w:bCs w:val="1"/>
                <w:color w:val="auto"/>
              </w:rPr>
              <w:t>2023</w:t>
            </w:r>
          </w:p>
        </w:tc>
      </w:tr>
      <w:tr>
        <w:trPr>
          <w:trHeight w:val="220"/>
        </w:trPr>
        <w:tc>
          <w:tcPr>
            <w:tcW w:w="5820" w:type="dxa"/>
            <w:vAlign w:val="bottom"/>
            <w:tcBorders>
              <w:bottom w:val="single" w:sz="8" w:color="DBDBDB"/>
            </w:tcBorders>
            <w:shd w:val="clear" w:color="auto" w:fill="DBDBDB"/>
          </w:tcPr>
          <w:p>
            <w:pPr>
              <w:spacing w:after="0" w:line="220" w:lineRule="exact"/>
              <w:rPr>
                <w:sz w:val="20"/>
                <w:szCs w:val="20"/>
                <w:color w:val="auto"/>
              </w:rPr>
            </w:pPr>
            <w:r>
              <w:rPr>
                <w:rFonts w:ascii="Times New Roman" w:cs="Times New Roman" w:eastAsia="Times New Roman" w:hAnsi="Times New Roman"/>
                <w:sz w:val="20"/>
                <w:szCs w:val="20"/>
                <w:color w:val="auto"/>
              </w:rPr>
              <w:t>Numerator:</w:t>
            </w:r>
          </w:p>
        </w:tc>
        <w:tc>
          <w:tcPr>
            <w:tcW w:w="100" w:type="dxa"/>
            <w:vAlign w:val="bottom"/>
            <w:tcBorders>
              <w:bottom w:val="single" w:sz="8" w:color="DBDBDB"/>
            </w:tcBorders>
            <w:shd w:val="clear" w:color="auto" w:fill="DBDBDB"/>
          </w:tcPr>
          <w:p>
            <w:pPr>
              <w:spacing w:after="0"/>
              <w:rPr>
                <w:sz w:val="19"/>
                <w:szCs w:val="19"/>
                <w:color w:val="auto"/>
              </w:rPr>
            </w:pPr>
          </w:p>
        </w:tc>
        <w:tc>
          <w:tcPr>
            <w:tcW w:w="120" w:type="dxa"/>
            <w:vAlign w:val="bottom"/>
            <w:tcBorders>
              <w:bottom w:val="single" w:sz="8" w:color="DBDBDB"/>
            </w:tcBorders>
            <w:shd w:val="clear" w:color="auto" w:fill="DBDBDB"/>
          </w:tcPr>
          <w:p>
            <w:pPr>
              <w:spacing w:after="0"/>
              <w:rPr>
                <w:sz w:val="19"/>
                <w:szCs w:val="19"/>
                <w:color w:val="auto"/>
              </w:rPr>
            </w:pPr>
          </w:p>
        </w:tc>
        <w:tc>
          <w:tcPr>
            <w:tcW w:w="1260" w:type="dxa"/>
            <w:vAlign w:val="bottom"/>
            <w:tcBorders>
              <w:bottom w:val="single" w:sz="8" w:color="DBDBDB"/>
            </w:tcBorders>
            <w:shd w:val="clear" w:color="auto" w:fill="DBDBDB"/>
          </w:tcPr>
          <w:p>
            <w:pPr>
              <w:spacing w:after="0"/>
              <w:rPr>
                <w:sz w:val="19"/>
                <w:szCs w:val="19"/>
                <w:color w:val="auto"/>
              </w:rPr>
            </w:pPr>
          </w:p>
        </w:tc>
        <w:tc>
          <w:tcPr>
            <w:tcW w:w="220" w:type="dxa"/>
            <w:vAlign w:val="bottom"/>
            <w:tcBorders>
              <w:bottom w:val="single" w:sz="8" w:color="DBDBDB"/>
            </w:tcBorders>
            <w:shd w:val="clear" w:color="auto" w:fill="DBDBDB"/>
          </w:tcPr>
          <w:p>
            <w:pPr>
              <w:spacing w:after="0"/>
              <w:rPr>
                <w:sz w:val="19"/>
                <w:szCs w:val="19"/>
                <w:color w:val="auto"/>
              </w:rPr>
            </w:pPr>
          </w:p>
        </w:tc>
        <w:tc>
          <w:tcPr>
            <w:tcW w:w="100" w:type="dxa"/>
            <w:vAlign w:val="bottom"/>
            <w:tcBorders>
              <w:bottom w:val="single" w:sz="8" w:color="DBDBDB"/>
            </w:tcBorders>
            <w:shd w:val="clear" w:color="auto" w:fill="DBDBDB"/>
          </w:tcPr>
          <w:p>
            <w:pPr>
              <w:spacing w:after="0"/>
              <w:rPr>
                <w:sz w:val="19"/>
                <w:szCs w:val="19"/>
                <w:color w:val="auto"/>
              </w:rPr>
            </w:pPr>
          </w:p>
        </w:tc>
        <w:tc>
          <w:tcPr>
            <w:tcW w:w="1280" w:type="dxa"/>
            <w:vAlign w:val="bottom"/>
            <w:tcBorders>
              <w:bottom w:val="single" w:sz="8" w:color="DBDBDB"/>
            </w:tcBorders>
            <w:shd w:val="clear" w:color="auto" w:fill="DBDBDB"/>
          </w:tcPr>
          <w:p>
            <w:pPr>
              <w:spacing w:after="0"/>
              <w:rPr>
                <w:sz w:val="19"/>
                <w:szCs w:val="19"/>
                <w:color w:val="auto"/>
              </w:rPr>
            </w:pPr>
          </w:p>
        </w:tc>
        <w:tc>
          <w:tcPr>
            <w:tcW w:w="200" w:type="dxa"/>
            <w:vAlign w:val="bottom"/>
            <w:tcBorders>
              <w:bottom w:val="single" w:sz="8" w:color="DBDBDB"/>
            </w:tcBorders>
            <w:shd w:val="clear" w:color="auto" w:fill="DBDBDB"/>
          </w:tcPr>
          <w:p>
            <w:pPr>
              <w:spacing w:after="0"/>
              <w:rPr>
                <w:sz w:val="19"/>
                <w:szCs w:val="19"/>
                <w:color w:val="auto"/>
              </w:rPr>
            </w:pPr>
          </w:p>
        </w:tc>
        <w:tc>
          <w:tcPr>
            <w:tcW w:w="120" w:type="dxa"/>
            <w:vAlign w:val="bottom"/>
            <w:tcBorders>
              <w:bottom w:val="single" w:sz="8" w:color="DBDBDB"/>
            </w:tcBorders>
            <w:shd w:val="clear" w:color="auto" w:fill="DBDBDB"/>
          </w:tcPr>
          <w:p>
            <w:pPr>
              <w:spacing w:after="0"/>
              <w:rPr>
                <w:sz w:val="19"/>
                <w:szCs w:val="19"/>
                <w:color w:val="auto"/>
              </w:rPr>
            </w:pPr>
          </w:p>
        </w:tc>
        <w:tc>
          <w:tcPr>
            <w:tcW w:w="220" w:type="dxa"/>
            <w:vAlign w:val="bottom"/>
            <w:tcBorders>
              <w:bottom w:val="single" w:sz="8" w:color="DBDBDB"/>
            </w:tcBorders>
            <w:shd w:val="clear" w:color="auto" w:fill="DBDBDB"/>
          </w:tcPr>
          <w:p>
            <w:pPr>
              <w:spacing w:after="0"/>
              <w:rPr>
                <w:sz w:val="19"/>
                <w:szCs w:val="19"/>
                <w:color w:val="auto"/>
              </w:rPr>
            </w:pPr>
          </w:p>
        </w:tc>
        <w:tc>
          <w:tcPr>
            <w:tcW w:w="1040" w:type="dxa"/>
            <w:vAlign w:val="bottom"/>
            <w:tcBorders>
              <w:bottom w:val="single" w:sz="8" w:color="DBDBDB"/>
            </w:tcBorders>
            <w:shd w:val="clear" w:color="auto" w:fill="DBDBDB"/>
          </w:tcPr>
          <w:p>
            <w:pPr>
              <w:spacing w:after="0"/>
              <w:rPr>
                <w:sz w:val="19"/>
                <w:szCs w:val="19"/>
                <w:color w:val="auto"/>
              </w:rPr>
            </w:pPr>
          </w:p>
        </w:tc>
      </w:tr>
      <w:tr>
        <w:trPr>
          <w:trHeight w:val="225"/>
        </w:trPr>
        <w:tc>
          <w:tcPr>
            <w:tcW w:w="5820" w:type="dxa"/>
            <w:vAlign w:val="bottom"/>
          </w:tcPr>
          <w:p>
            <w:pPr>
              <w:spacing w:after="0" w:line="225" w:lineRule="exact"/>
              <w:rPr>
                <w:sz w:val="20"/>
                <w:szCs w:val="20"/>
                <w:color w:val="auto"/>
              </w:rPr>
            </w:pPr>
            <w:r>
              <w:rPr>
                <w:rFonts w:ascii="Times New Roman" w:cs="Times New Roman" w:eastAsia="Times New Roman" w:hAnsi="Times New Roman"/>
                <w:sz w:val="20"/>
                <w:szCs w:val="20"/>
                <w:color w:val="auto"/>
              </w:rPr>
              <w:t>Net loss</w:t>
            </w:r>
          </w:p>
        </w:tc>
        <w:tc>
          <w:tcPr>
            <w:tcW w:w="100" w:type="dxa"/>
            <w:vAlign w:val="bottom"/>
          </w:tcPr>
          <w:p>
            <w:pPr>
              <w:spacing w:after="0"/>
              <w:rPr>
                <w:sz w:val="19"/>
                <w:szCs w:val="19"/>
                <w:color w:val="auto"/>
              </w:rPr>
            </w:pPr>
          </w:p>
        </w:tc>
        <w:tc>
          <w:tcPr>
            <w:tcW w:w="12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(38,228)</w:t>
            </w:r>
          </w:p>
        </w:tc>
        <w:tc>
          <w:tcPr>
            <w:tcW w:w="320" w:type="dxa"/>
            <w:vAlign w:val="bottom"/>
            <w:gridSpan w:val="2"/>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128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(186,733)</w:t>
            </w:r>
          </w:p>
        </w:tc>
        <w:tc>
          <w:tcPr>
            <w:tcW w:w="320" w:type="dxa"/>
            <w:vAlign w:val="bottom"/>
            <w:gridSpan w:val="2"/>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19"/>
                <w:szCs w:val="19"/>
                <w:color w:val="auto"/>
              </w:rPr>
            </w:pPr>
          </w:p>
        </w:tc>
        <w:tc>
          <w:tcPr>
            <w:tcW w:w="104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(56,048)</w:t>
            </w:r>
          </w:p>
        </w:tc>
      </w:tr>
      <w:tr>
        <w:trPr>
          <w:trHeight w:val="220"/>
        </w:trPr>
        <w:tc>
          <w:tcPr>
            <w:tcW w:w="5820" w:type="dxa"/>
            <w:vAlign w:val="bottom"/>
            <w:tcBorders>
              <w:top w:val="single" w:sz="8" w:color="DBDBDB"/>
              <w:bottom w:val="single" w:sz="8" w:color="DBDBDB"/>
            </w:tcBorders>
            <w:shd w:val="clear" w:color="auto" w:fill="DBDBDB"/>
          </w:tcPr>
          <w:p>
            <w:pPr>
              <w:spacing w:after="0" w:line="220" w:lineRule="exact"/>
              <w:rPr>
                <w:sz w:val="20"/>
                <w:szCs w:val="20"/>
                <w:color w:val="auto"/>
              </w:rPr>
            </w:pPr>
            <w:r>
              <w:rPr>
                <w:rFonts w:ascii="Times New Roman" w:cs="Times New Roman" w:eastAsia="Times New Roman" w:hAnsi="Times New Roman"/>
                <w:sz w:val="20"/>
                <w:szCs w:val="20"/>
                <w:color w:val="auto"/>
              </w:rPr>
              <w:t>Denominator:</w:t>
            </w:r>
          </w:p>
        </w:tc>
        <w:tc>
          <w:tcPr>
            <w:tcW w:w="100" w:type="dxa"/>
            <w:vAlign w:val="bottom"/>
            <w:tcBorders>
              <w:top w:val="single" w:sz="8" w:color="DBDBDB"/>
              <w:bottom w:val="single" w:sz="8" w:color="DBDBDB"/>
            </w:tcBorders>
            <w:shd w:val="clear" w:color="auto" w:fill="DBDBDB"/>
          </w:tcPr>
          <w:p>
            <w:pPr>
              <w:spacing w:after="0"/>
              <w:rPr>
                <w:sz w:val="19"/>
                <w:szCs w:val="19"/>
                <w:color w:val="auto"/>
              </w:rPr>
            </w:pPr>
          </w:p>
        </w:tc>
        <w:tc>
          <w:tcPr>
            <w:tcW w:w="120" w:type="dxa"/>
            <w:vAlign w:val="bottom"/>
            <w:tcBorders>
              <w:top w:val="single" w:sz="8" w:color="auto"/>
              <w:bottom w:val="single" w:sz="8" w:color="DBDBDB"/>
            </w:tcBorders>
            <w:shd w:val="clear" w:color="auto" w:fill="DBDBDB"/>
          </w:tcPr>
          <w:p>
            <w:pPr>
              <w:spacing w:after="0"/>
              <w:rPr>
                <w:sz w:val="19"/>
                <w:szCs w:val="19"/>
                <w:color w:val="auto"/>
              </w:rPr>
            </w:pPr>
          </w:p>
        </w:tc>
        <w:tc>
          <w:tcPr>
            <w:tcW w:w="1260" w:type="dxa"/>
            <w:vAlign w:val="bottom"/>
            <w:tcBorders>
              <w:top w:val="single" w:sz="8" w:color="auto"/>
              <w:bottom w:val="single" w:sz="8" w:color="DBDBDB"/>
            </w:tcBorders>
            <w:shd w:val="clear" w:color="auto" w:fill="DBDBDB"/>
          </w:tcPr>
          <w:p>
            <w:pPr>
              <w:spacing w:after="0"/>
              <w:rPr>
                <w:sz w:val="19"/>
                <w:szCs w:val="19"/>
                <w:color w:val="auto"/>
              </w:rPr>
            </w:pPr>
          </w:p>
        </w:tc>
        <w:tc>
          <w:tcPr>
            <w:tcW w:w="220" w:type="dxa"/>
            <w:vAlign w:val="bottom"/>
            <w:tcBorders>
              <w:top w:val="single" w:sz="8" w:color="DBDBDB"/>
              <w:bottom w:val="single" w:sz="8" w:color="DBDBDB"/>
            </w:tcBorders>
            <w:shd w:val="clear" w:color="auto" w:fill="DBDBDB"/>
          </w:tcPr>
          <w:p>
            <w:pPr>
              <w:spacing w:after="0"/>
              <w:rPr>
                <w:sz w:val="19"/>
                <w:szCs w:val="19"/>
                <w:color w:val="auto"/>
              </w:rPr>
            </w:pPr>
          </w:p>
        </w:tc>
        <w:tc>
          <w:tcPr>
            <w:tcW w:w="100" w:type="dxa"/>
            <w:vAlign w:val="bottom"/>
            <w:tcBorders>
              <w:top w:val="single" w:sz="8" w:color="auto"/>
              <w:bottom w:val="single" w:sz="8" w:color="DBDBDB"/>
            </w:tcBorders>
            <w:shd w:val="clear" w:color="auto" w:fill="DBDBDB"/>
          </w:tcPr>
          <w:p>
            <w:pPr>
              <w:spacing w:after="0"/>
              <w:rPr>
                <w:sz w:val="19"/>
                <w:szCs w:val="19"/>
                <w:color w:val="auto"/>
              </w:rPr>
            </w:pPr>
          </w:p>
        </w:tc>
        <w:tc>
          <w:tcPr>
            <w:tcW w:w="1280" w:type="dxa"/>
            <w:vAlign w:val="bottom"/>
            <w:tcBorders>
              <w:top w:val="single" w:sz="8" w:color="auto"/>
              <w:bottom w:val="single" w:sz="8" w:color="DBDBDB"/>
            </w:tcBorders>
            <w:shd w:val="clear" w:color="auto" w:fill="DBDBDB"/>
          </w:tcPr>
          <w:p>
            <w:pPr>
              <w:spacing w:after="0"/>
              <w:rPr>
                <w:sz w:val="19"/>
                <w:szCs w:val="19"/>
                <w:color w:val="auto"/>
              </w:rPr>
            </w:pPr>
          </w:p>
        </w:tc>
        <w:tc>
          <w:tcPr>
            <w:tcW w:w="200" w:type="dxa"/>
            <w:vAlign w:val="bottom"/>
            <w:tcBorders>
              <w:top w:val="single" w:sz="8" w:color="DBDBDB"/>
              <w:bottom w:val="single" w:sz="8" w:color="DBDBDB"/>
            </w:tcBorders>
            <w:shd w:val="clear" w:color="auto" w:fill="DBDBDB"/>
          </w:tcPr>
          <w:p>
            <w:pPr>
              <w:spacing w:after="0"/>
              <w:rPr>
                <w:sz w:val="19"/>
                <w:szCs w:val="19"/>
                <w:color w:val="auto"/>
              </w:rPr>
            </w:pPr>
          </w:p>
        </w:tc>
        <w:tc>
          <w:tcPr>
            <w:tcW w:w="120" w:type="dxa"/>
            <w:vAlign w:val="bottom"/>
            <w:tcBorders>
              <w:top w:val="single" w:sz="8" w:color="auto"/>
              <w:bottom w:val="single" w:sz="8" w:color="DBDBDB"/>
            </w:tcBorders>
            <w:shd w:val="clear" w:color="auto" w:fill="DBDBDB"/>
          </w:tcPr>
          <w:p>
            <w:pPr>
              <w:spacing w:after="0"/>
              <w:rPr>
                <w:sz w:val="19"/>
                <w:szCs w:val="19"/>
                <w:color w:val="auto"/>
              </w:rPr>
            </w:pPr>
          </w:p>
        </w:tc>
        <w:tc>
          <w:tcPr>
            <w:tcW w:w="220" w:type="dxa"/>
            <w:vAlign w:val="bottom"/>
            <w:tcBorders>
              <w:top w:val="single" w:sz="8" w:color="auto"/>
              <w:bottom w:val="single" w:sz="8" w:color="DBDBDB"/>
            </w:tcBorders>
            <w:shd w:val="clear" w:color="auto" w:fill="DBDBDB"/>
          </w:tcPr>
          <w:p>
            <w:pPr>
              <w:spacing w:after="0"/>
              <w:rPr>
                <w:sz w:val="19"/>
                <w:szCs w:val="19"/>
                <w:color w:val="auto"/>
              </w:rPr>
            </w:pPr>
          </w:p>
        </w:tc>
        <w:tc>
          <w:tcPr>
            <w:tcW w:w="1040" w:type="dxa"/>
            <w:vAlign w:val="bottom"/>
            <w:tcBorders>
              <w:top w:val="single" w:sz="8" w:color="auto"/>
              <w:bottom w:val="single" w:sz="8" w:color="DBDBDB"/>
            </w:tcBorders>
            <w:shd w:val="clear" w:color="auto" w:fill="DBDBDB"/>
          </w:tcPr>
          <w:p>
            <w:pPr>
              <w:spacing w:after="0"/>
              <w:rPr>
                <w:sz w:val="19"/>
                <w:szCs w:val="19"/>
                <w:color w:val="auto"/>
              </w:rPr>
            </w:pPr>
          </w:p>
        </w:tc>
      </w:tr>
      <w:tr>
        <w:trPr>
          <w:trHeight w:val="220"/>
        </w:trPr>
        <w:tc>
          <w:tcPr>
            <w:tcW w:w="5820" w:type="dxa"/>
            <w:vAlign w:val="bottom"/>
            <w:tcBorders>
              <w:bottom w:val="single" w:sz="8" w:color="DBDBDB"/>
            </w:tcBorders>
          </w:tcPr>
          <w:p>
            <w:pPr>
              <w:spacing w:after="0" w:line="220" w:lineRule="exact"/>
              <w:rPr>
                <w:sz w:val="20"/>
                <w:szCs w:val="20"/>
                <w:color w:val="auto"/>
              </w:rPr>
            </w:pPr>
            <w:r>
              <w:rPr>
                <w:rFonts w:ascii="Times New Roman" w:cs="Times New Roman" w:eastAsia="Times New Roman" w:hAnsi="Times New Roman"/>
                <w:sz w:val="20"/>
                <w:szCs w:val="20"/>
                <w:color w:val="auto"/>
              </w:rPr>
              <w:t>Weighted average shares used to compute net loss per share</w:t>
            </w:r>
          </w:p>
        </w:tc>
        <w:tc>
          <w:tcPr>
            <w:tcW w:w="100" w:type="dxa"/>
            <w:vAlign w:val="bottom"/>
            <w:tcBorders>
              <w:bottom w:val="single" w:sz="8" w:color="DBDBDB"/>
            </w:tcBorders>
          </w:tcPr>
          <w:p>
            <w:pPr>
              <w:spacing w:after="0"/>
              <w:rPr>
                <w:sz w:val="19"/>
                <w:szCs w:val="19"/>
                <w:color w:val="auto"/>
              </w:rPr>
            </w:pPr>
          </w:p>
        </w:tc>
        <w:tc>
          <w:tcPr>
            <w:tcW w:w="120" w:type="dxa"/>
            <w:vAlign w:val="bottom"/>
            <w:tcBorders>
              <w:bottom w:val="single" w:sz="8" w:color="DBDBDB"/>
            </w:tcBorders>
          </w:tcPr>
          <w:p>
            <w:pPr>
              <w:spacing w:after="0"/>
              <w:rPr>
                <w:sz w:val="19"/>
                <w:szCs w:val="19"/>
                <w:color w:val="auto"/>
              </w:rPr>
            </w:pPr>
          </w:p>
        </w:tc>
        <w:tc>
          <w:tcPr>
            <w:tcW w:w="1260" w:type="dxa"/>
            <w:vAlign w:val="bottom"/>
            <w:tcBorders>
              <w:bottom w:val="single" w:sz="8" w:color="DBDBDB"/>
            </w:tcBorders>
          </w:tcPr>
          <w:p>
            <w:pPr>
              <w:spacing w:after="0"/>
              <w:rPr>
                <w:sz w:val="19"/>
                <w:szCs w:val="19"/>
                <w:color w:val="auto"/>
              </w:rPr>
            </w:pPr>
          </w:p>
        </w:tc>
        <w:tc>
          <w:tcPr>
            <w:tcW w:w="220" w:type="dxa"/>
            <w:vAlign w:val="bottom"/>
            <w:tcBorders>
              <w:bottom w:val="single" w:sz="8" w:color="DBDBDB"/>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1280" w:type="dxa"/>
            <w:vAlign w:val="bottom"/>
            <w:tcBorders>
              <w:bottom w:val="single" w:sz="8" w:color="DBDBDB"/>
            </w:tcBorders>
          </w:tcPr>
          <w:p>
            <w:pPr>
              <w:spacing w:after="0"/>
              <w:rPr>
                <w:sz w:val="19"/>
                <w:szCs w:val="19"/>
                <w:color w:val="auto"/>
              </w:rPr>
            </w:pPr>
          </w:p>
        </w:tc>
        <w:tc>
          <w:tcPr>
            <w:tcW w:w="200" w:type="dxa"/>
            <w:vAlign w:val="bottom"/>
            <w:tcBorders>
              <w:bottom w:val="single" w:sz="8" w:color="DBDBDB"/>
            </w:tcBorders>
          </w:tcPr>
          <w:p>
            <w:pPr>
              <w:spacing w:after="0"/>
              <w:rPr>
                <w:sz w:val="19"/>
                <w:szCs w:val="19"/>
                <w:color w:val="auto"/>
              </w:rPr>
            </w:pPr>
          </w:p>
        </w:tc>
        <w:tc>
          <w:tcPr>
            <w:tcW w:w="120" w:type="dxa"/>
            <w:vAlign w:val="bottom"/>
            <w:tcBorders>
              <w:bottom w:val="single" w:sz="8" w:color="DBDBDB"/>
            </w:tcBorders>
          </w:tcPr>
          <w:p>
            <w:pPr>
              <w:spacing w:after="0"/>
              <w:rPr>
                <w:sz w:val="19"/>
                <w:szCs w:val="19"/>
                <w:color w:val="auto"/>
              </w:rPr>
            </w:pPr>
          </w:p>
        </w:tc>
        <w:tc>
          <w:tcPr>
            <w:tcW w:w="220" w:type="dxa"/>
            <w:vAlign w:val="bottom"/>
            <w:tcBorders>
              <w:bottom w:val="single" w:sz="8" w:color="DBDBDB"/>
            </w:tcBorders>
          </w:tcPr>
          <w:p>
            <w:pPr>
              <w:spacing w:after="0"/>
              <w:rPr>
                <w:sz w:val="19"/>
                <w:szCs w:val="19"/>
                <w:color w:val="auto"/>
              </w:rPr>
            </w:pPr>
          </w:p>
        </w:tc>
        <w:tc>
          <w:tcPr>
            <w:tcW w:w="1040" w:type="dxa"/>
            <w:vAlign w:val="bottom"/>
            <w:tcBorders>
              <w:bottom w:val="single" w:sz="8" w:color="DBDBDB"/>
            </w:tcBorders>
          </w:tcPr>
          <w:p>
            <w:pPr>
              <w:spacing w:after="0"/>
              <w:rPr>
                <w:sz w:val="19"/>
                <w:szCs w:val="19"/>
                <w:color w:val="auto"/>
              </w:rPr>
            </w:pPr>
          </w:p>
        </w:tc>
      </w:tr>
      <w:tr>
        <w:trPr>
          <w:trHeight w:val="211"/>
        </w:trPr>
        <w:tc>
          <w:tcPr>
            <w:tcW w:w="5820" w:type="dxa"/>
            <w:vAlign w:val="bottom"/>
            <w:tcBorders>
              <w:bottom w:val="single" w:sz="8" w:color="DBDBDB"/>
            </w:tcBorders>
            <w:shd w:val="clear" w:color="auto" w:fill="DBDBDB"/>
          </w:tcPr>
          <w:p>
            <w:pPr>
              <w:ind w:left="180"/>
              <w:spacing w:after="0" w:line="210" w:lineRule="exact"/>
              <w:rPr>
                <w:sz w:val="20"/>
                <w:szCs w:val="20"/>
                <w:color w:val="auto"/>
              </w:rPr>
            </w:pPr>
            <w:r>
              <w:rPr>
                <w:rFonts w:ascii="Times New Roman" w:cs="Times New Roman" w:eastAsia="Times New Roman" w:hAnsi="Times New Roman"/>
                <w:sz w:val="20"/>
                <w:szCs w:val="20"/>
                <w:color w:val="auto"/>
              </w:rPr>
              <w:t>Basic</w:t>
            </w:r>
          </w:p>
        </w:tc>
        <w:tc>
          <w:tcPr>
            <w:tcW w:w="10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1260" w:type="dxa"/>
            <w:vAlign w:val="bottom"/>
            <w:tcBorders>
              <w:bottom w:val="single" w:sz="8" w:color="DBDBDB"/>
            </w:tcBorders>
            <w:shd w:val="clear" w:color="auto" w:fill="DBDBDB"/>
          </w:tcPr>
          <w:p>
            <w:pPr>
              <w:jc w:val="right"/>
              <w:spacing w:after="0" w:line="210" w:lineRule="exact"/>
              <w:rPr>
                <w:sz w:val="20"/>
                <w:szCs w:val="20"/>
                <w:color w:val="auto"/>
              </w:rPr>
            </w:pPr>
            <w:r>
              <w:rPr>
                <w:rFonts w:ascii="Times New Roman" w:cs="Times New Roman" w:eastAsia="Times New Roman" w:hAnsi="Times New Roman"/>
                <w:sz w:val="20"/>
                <w:szCs w:val="20"/>
                <w:color w:val="auto"/>
              </w:rPr>
              <w:t>60,184</w:t>
            </w:r>
          </w:p>
        </w:tc>
        <w:tc>
          <w:tcPr>
            <w:tcW w:w="22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1280" w:type="dxa"/>
            <w:vAlign w:val="bottom"/>
            <w:tcBorders>
              <w:bottom w:val="single" w:sz="8" w:color="DBDBDB"/>
            </w:tcBorders>
            <w:shd w:val="clear" w:color="auto" w:fill="DBDBDB"/>
          </w:tcPr>
          <w:p>
            <w:pPr>
              <w:jc w:val="right"/>
              <w:spacing w:after="0" w:line="210" w:lineRule="exact"/>
              <w:rPr>
                <w:sz w:val="20"/>
                <w:szCs w:val="20"/>
                <w:color w:val="auto"/>
              </w:rPr>
            </w:pPr>
            <w:r>
              <w:rPr>
                <w:rFonts w:ascii="Times New Roman" w:cs="Times New Roman" w:eastAsia="Times New Roman" w:hAnsi="Times New Roman"/>
                <w:sz w:val="20"/>
                <w:szCs w:val="20"/>
                <w:color w:val="auto"/>
              </w:rPr>
              <w:t>41,539</w:t>
            </w:r>
          </w:p>
        </w:tc>
        <w:tc>
          <w:tcPr>
            <w:tcW w:w="20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220" w:type="dxa"/>
            <w:vAlign w:val="bottom"/>
            <w:tcBorders>
              <w:bottom w:val="single" w:sz="8" w:color="DBDBDB"/>
            </w:tcBorders>
            <w:shd w:val="clear" w:color="auto" w:fill="DBDBDB"/>
          </w:tcPr>
          <w:p>
            <w:pPr>
              <w:spacing w:after="0"/>
              <w:rPr>
                <w:sz w:val="18"/>
                <w:szCs w:val="18"/>
                <w:color w:val="auto"/>
              </w:rPr>
            </w:pPr>
          </w:p>
        </w:tc>
        <w:tc>
          <w:tcPr>
            <w:tcW w:w="1040" w:type="dxa"/>
            <w:vAlign w:val="bottom"/>
            <w:tcBorders>
              <w:bottom w:val="single" w:sz="8" w:color="DBDBDB"/>
            </w:tcBorders>
            <w:shd w:val="clear" w:color="auto" w:fill="DBDBDB"/>
          </w:tcPr>
          <w:p>
            <w:pPr>
              <w:jc w:val="right"/>
              <w:spacing w:after="0" w:line="210" w:lineRule="exact"/>
              <w:rPr>
                <w:sz w:val="20"/>
                <w:szCs w:val="20"/>
                <w:color w:val="auto"/>
              </w:rPr>
            </w:pPr>
            <w:r>
              <w:rPr>
                <w:rFonts w:ascii="Times New Roman" w:cs="Times New Roman" w:eastAsia="Times New Roman" w:hAnsi="Times New Roman"/>
                <w:sz w:val="20"/>
                <w:szCs w:val="20"/>
                <w:color w:val="auto"/>
              </w:rPr>
              <w:t>31,944</w:t>
            </w:r>
          </w:p>
        </w:tc>
      </w:tr>
      <w:tr>
        <w:trPr>
          <w:trHeight w:val="222"/>
        </w:trPr>
        <w:tc>
          <w:tcPr>
            <w:tcW w:w="5820" w:type="dxa"/>
            <w:vAlign w:val="bottom"/>
            <w:tcBorders>
              <w:bottom w:val="single" w:sz="8" w:color="DBDBDB"/>
            </w:tcBorders>
          </w:tcPr>
          <w:p>
            <w:pPr>
              <w:ind w:left="180"/>
              <w:spacing w:after="0" w:line="222" w:lineRule="exact"/>
              <w:rPr>
                <w:sz w:val="20"/>
                <w:szCs w:val="20"/>
                <w:color w:val="auto"/>
              </w:rPr>
            </w:pPr>
            <w:r>
              <w:rPr>
                <w:rFonts w:ascii="Times New Roman" w:cs="Times New Roman" w:eastAsia="Times New Roman" w:hAnsi="Times New Roman"/>
                <w:sz w:val="20"/>
                <w:szCs w:val="20"/>
                <w:color w:val="auto"/>
              </w:rPr>
              <w:t>Effect of dilutive options and restricted stock units</w:t>
            </w:r>
          </w:p>
        </w:tc>
        <w:tc>
          <w:tcPr>
            <w:tcW w:w="100" w:type="dxa"/>
            <w:vAlign w:val="bottom"/>
            <w:tcBorders>
              <w:bottom w:val="single" w:sz="8" w:color="DBDBD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line="222" w:lineRule="exact"/>
              <w:rPr>
                <w:sz w:val="20"/>
                <w:szCs w:val="20"/>
                <w:color w:val="auto"/>
              </w:rPr>
            </w:pPr>
            <w:r>
              <w:rPr>
                <w:rFonts w:ascii="Times New Roman" w:cs="Times New Roman" w:eastAsia="Times New Roman" w:hAnsi="Times New Roman"/>
                <w:sz w:val="20"/>
                <w:szCs w:val="20"/>
                <w:color w:val="auto"/>
              </w:rPr>
              <w:t>—</w:t>
            </w:r>
          </w:p>
        </w:tc>
        <w:tc>
          <w:tcPr>
            <w:tcW w:w="220" w:type="dxa"/>
            <w:vAlign w:val="bottom"/>
            <w:tcBorders>
              <w:bottom w:val="single" w:sz="8" w:color="DBDBDB"/>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line="222"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bottom w:val="single" w:sz="8" w:color="DBDBD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222" w:lineRule="exact"/>
              <w:rPr>
                <w:sz w:val="20"/>
                <w:szCs w:val="20"/>
                <w:color w:val="auto"/>
              </w:rPr>
            </w:pPr>
            <w:r>
              <w:rPr>
                <w:rFonts w:ascii="Times New Roman" w:cs="Times New Roman" w:eastAsia="Times New Roman" w:hAnsi="Times New Roman"/>
                <w:sz w:val="20"/>
                <w:szCs w:val="20"/>
                <w:color w:val="auto"/>
              </w:rPr>
              <w:t>—</w:t>
            </w:r>
          </w:p>
        </w:tc>
      </w:tr>
      <w:tr>
        <w:trPr>
          <w:trHeight w:val="220"/>
        </w:trPr>
        <w:tc>
          <w:tcPr>
            <w:tcW w:w="5820" w:type="dxa"/>
            <w:vAlign w:val="bottom"/>
            <w:tcBorders>
              <w:bottom w:val="single" w:sz="8" w:color="DBDBDB"/>
            </w:tcBorders>
            <w:shd w:val="clear" w:color="auto" w:fill="DBDBDB"/>
          </w:tcPr>
          <w:p>
            <w:pPr>
              <w:ind w:left="180"/>
              <w:spacing w:after="0" w:line="220" w:lineRule="exact"/>
              <w:rPr>
                <w:sz w:val="20"/>
                <w:szCs w:val="20"/>
                <w:color w:val="auto"/>
              </w:rPr>
            </w:pPr>
            <w:r>
              <w:rPr>
                <w:rFonts w:ascii="Times New Roman" w:cs="Times New Roman" w:eastAsia="Times New Roman" w:hAnsi="Times New Roman"/>
                <w:sz w:val="20"/>
                <w:szCs w:val="20"/>
                <w:color w:val="auto"/>
              </w:rPr>
              <w:t>Diluted</w:t>
            </w:r>
          </w:p>
        </w:tc>
        <w:tc>
          <w:tcPr>
            <w:tcW w:w="100" w:type="dxa"/>
            <w:vAlign w:val="bottom"/>
            <w:tcBorders>
              <w:bottom w:val="single" w:sz="8" w:color="DBDBDB"/>
            </w:tcBorders>
            <w:shd w:val="clear" w:color="auto" w:fill="DBDBDB"/>
          </w:tcPr>
          <w:p>
            <w:pPr>
              <w:spacing w:after="0"/>
              <w:rPr>
                <w:sz w:val="19"/>
                <w:szCs w:val="19"/>
                <w:color w:val="auto"/>
              </w:rPr>
            </w:pPr>
          </w:p>
        </w:tc>
        <w:tc>
          <w:tcPr>
            <w:tcW w:w="120" w:type="dxa"/>
            <w:vAlign w:val="bottom"/>
            <w:tcBorders>
              <w:bottom w:val="single" w:sz="8" w:color="DBDBDB"/>
            </w:tcBorders>
            <w:shd w:val="clear" w:color="auto" w:fill="DBDBDB"/>
          </w:tcPr>
          <w:p>
            <w:pPr>
              <w:spacing w:after="0"/>
              <w:rPr>
                <w:sz w:val="19"/>
                <w:szCs w:val="19"/>
                <w:color w:val="auto"/>
              </w:rPr>
            </w:pPr>
          </w:p>
        </w:tc>
        <w:tc>
          <w:tcPr>
            <w:tcW w:w="126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rPr>
              <w:t>60,184</w:t>
            </w:r>
          </w:p>
        </w:tc>
        <w:tc>
          <w:tcPr>
            <w:tcW w:w="220" w:type="dxa"/>
            <w:vAlign w:val="bottom"/>
            <w:tcBorders>
              <w:bottom w:val="single" w:sz="8" w:color="DBDBDB"/>
            </w:tcBorders>
            <w:shd w:val="clear" w:color="auto" w:fill="DBDBDB"/>
          </w:tcPr>
          <w:p>
            <w:pPr>
              <w:spacing w:after="0"/>
              <w:rPr>
                <w:sz w:val="19"/>
                <w:szCs w:val="19"/>
                <w:color w:val="auto"/>
              </w:rPr>
            </w:pPr>
          </w:p>
        </w:tc>
        <w:tc>
          <w:tcPr>
            <w:tcW w:w="100" w:type="dxa"/>
            <w:vAlign w:val="bottom"/>
            <w:tcBorders>
              <w:bottom w:val="single" w:sz="8" w:color="DBDBDB"/>
            </w:tcBorders>
            <w:shd w:val="clear" w:color="auto" w:fill="DBDBDB"/>
          </w:tcPr>
          <w:p>
            <w:pPr>
              <w:spacing w:after="0"/>
              <w:rPr>
                <w:sz w:val="19"/>
                <w:szCs w:val="19"/>
                <w:color w:val="auto"/>
              </w:rPr>
            </w:pPr>
          </w:p>
        </w:tc>
        <w:tc>
          <w:tcPr>
            <w:tcW w:w="128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rPr>
              <w:t>41,539</w:t>
            </w:r>
          </w:p>
        </w:tc>
        <w:tc>
          <w:tcPr>
            <w:tcW w:w="200" w:type="dxa"/>
            <w:vAlign w:val="bottom"/>
            <w:tcBorders>
              <w:bottom w:val="single" w:sz="8" w:color="DBDBDB"/>
            </w:tcBorders>
            <w:shd w:val="clear" w:color="auto" w:fill="DBDBDB"/>
          </w:tcPr>
          <w:p>
            <w:pPr>
              <w:spacing w:after="0"/>
              <w:rPr>
                <w:sz w:val="19"/>
                <w:szCs w:val="19"/>
                <w:color w:val="auto"/>
              </w:rPr>
            </w:pPr>
          </w:p>
        </w:tc>
        <w:tc>
          <w:tcPr>
            <w:tcW w:w="120" w:type="dxa"/>
            <w:vAlign w:val="bottom"/>
            <w:tcBorders>
              <w:bottom w:val="single" w:sz="8" w:color="DBDBDB"/>
            </w:tcBorders>
            <w:shd w:val="clear" w:color="auto" w:fill="DBDBDB"/>
          </w:tcPr>
          <w:p>
            <w:pPr>
              <w:spacing w:after="0"/>
              <w:rPr>
                <w:sz w:val="19"/>
                <w:szCs w:val="19"/>
                <w:color w:val="auto"/>
              </w:rPr>
            </w:pPr>
          </w:p>
        </w:tc>
        <w:tc>
          <w:tcPr>
            <w:tcW w:w="220" w:type="dxa"/>
            <w:vAlign w:val="bottom"/>
            <w:tcBorders>
              <w:bottom w:val="single" w:sz="8" w:color="DBDBDB"/>
            </w:tcBorders>
            <w:shd w:val="clear" w:color="auto" w:fill="DBDBDB"/>
          </w:tcPr>
          <w:p>
            <w:pPr>
              <w:spacing w:after="0"/>
              <w:rPr>
                <w:sz w:val="19"/>
                <w:szCs w:val="19"/>
                <w:color w:val="auto"/>
              </w:rPr>
            </w:pPr>
          </w:p>
        </w:tc>
        <w:tc>
          <w:tcPr>
            <w:tcW w:w="104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rPr>
              <w:t>31,944</w:t>
            </w:r>
          </w:p>
        </w:tc>
      </w:tr>
      <w:tr>
        <w:trPr>
          <w:trHeight w:val="220"/>
        </w:trPr>
        <w:tc>
          <w:tcPr>
            <w:tcW w:w="5820" w:type="dxa"/>
            <w:vAlign w:val="bottom"/>
            <w:tcBorders>
              <w:bottom w:val="single" w:sz="8" w:color="DBDBDB"/>
            </w:tcBorders>
          </w:tcPr>
          <w:p>
            <w:pPr>
              <w:spacing w:after="0" w:line="220" w:lineRule="exact"/>
              <w:rPr>
                <w:sz w:val="20"/>
                <w:szCs w:val="20"/>
                <w:color w:val="auto"/>
              </w:rPr>
            </w:pPr>
            <w:r>
              <w:rPr>
                <w:rFonts w:ascii="Times New Roman" w:cs="Times New Roman" w:eastAsia="Times New Roman" w:hAnsi="Times New Roman"/>
                <w:sz w:val="20"/>
                <w:szCs w:val="20"/>
                <w:color w:val="auto"/>
              </w:rPr>
              <w:t>Net loss per share</w:t>
            </w:r>
          </w:p>
        </w:tc>
        <w:tc>
          <w:tcPr>
            <w:tcW w:w="100" w:type="dxa"/>
            <w:vAlign w:val="bottom"/>
            <w:tcBorders>
              <w:bottom w:val="single" w:sz="8" w:color="DBDBDB"/>
            </w:tcBorders>
          </w:tcPr>
          <w:p>
            <w:pPr>
              <w:spacing w:after="0"/>
              <w:rPr>
                <w:sz w:val="19"/>
                <w:szCs w:val="19"/>
                <w:color w:val="auto"/>
              </w:rPr>
            </w:pPr>
          </w:p>
        </w:tc>
        <w:tc>
          <w:tcPr>
            <w:tcW w:w="120" w:type="dxa"/>
            <w:vAlign w:val="bottom"/>
            <w:tcBorders>
              <w:bottom w:val="single" w:sz="8" w:color="DBDBDB"/>
            </w:tcBorders>
          </w:tcPr>
          <w:p>
            <w:pPr>
              <w:spacing w:after="0"/>
              <w:rPr>
                <w:sz w:val="19"/>
                <w:szCs w:val="19"/>
                <w:color w:val="auto"/>
              </w:rPr>
            </w:pPr>
          </w:p>
        </w:tc>
        <w:tc>
          <w:tcPr>
            <w:tcW w:w="1260" w:type="dxa"/>
            <w:vAlign w:val="bottom"/>
            <w:tcBorders>
              <w:bottom w:val="single" w:sz="8" w:color="DBDBDB"/>
            </w:tcBorders>
          </w:tcPr>
          <w:p>
            <w:pPr>
              <w:spacing w:after="0"/>
              <w:rPr>
                <w:sz w:val="19"/>
                <w:szCs w:val="19"/>
                <w:color w:val="auto"/>
              </w:rPr>
            </w:pPr>
          </w:p>
        </w:tc>
        <w:tc>
          <w:tcPr>
            <w:tcW w:w="220" w:type="dxa"/>
            <w:vAlign w:val="bottom"/>
            <w:tcBorders>
              <w:bottom w:val="single" w:sz="8" w:color="DBDBDB"/>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1280" w:type="dxa"/>
            <w:vAlign w:val="bottom"/>
            <w:tcBorders>
              <w:bottom w:val="single" w:sz="8" w:color="DBDBDB"/>
            </w:tcBorders>
          </w:tcPr>
          <w:p>
            <w:pPr>
              <w:spacing w:after="0"/>
              <w:rPr>
                <w:sz w:val="19"/>
                <w:szCs w:val="19"/>
                <w:color w:val="auto"/>
              </w:rPr>
            </w:pPr>
          </w:p>
        </w:tc>
        <w:tc>
          <w:tcPr>
            <w:tcW w:w="200" w:type="dxa"/>
            <w:vAlign w:val="bottom"/>
            <w:tcBorders>
              <w:bottom w:val="single" w:sz="8" w:color="DBDBDB"/>
            </w:tcBorders>
          </w:tcPr>
          <w:p>
            <w:pPr>
              <w:spacing w:after="0"/>
              <w:rPr>
                <w:sz w:val="19"/>
                <w:szCs w:val="19"/>
                <w:color w:val="auto"/>
              </w:rPr>
            </w:pPr>
          </w:p>
        </w:tc>
        <w:tc>
          <w:tcPr>
            <w:tcW w:w="120" w:type="dxa"/>
            <w:vAlign w:val="bottom"/>
            <w:tcBorders>
              <w:bottom w:val="single" w:sz="8" w:color="DBDBDB"/>
            </w:tcBorders>
          </w:tcPr>
          <w:p>
            <w:pPr>
              <w:spacing w:after="0"/>
              <w:rPr>
                <w:sz w:val="19"/>
                <w:szCs w:val="19"/>
                <w:color w:val="auto"/>
              </w:rPr>
            </w:pPr>
          </w:p>
        </w:tc>
        <w:tc>
          <w:tcPr>
            <w:tcW w:w="220" w:type="dxa"/>
            <w:vAlign w:val="bottom"/>
            <w:tcBorders>
              <w:bottom w:val="single" w:sz="8" w:color="DBDBDB"/>
            </w:tcBorders>
          </w:tcPr>
          <w:p>
            <w:pPr>
              <w:spacing w:after="0"/>
              <w:rPr>
                <w:sz w:val="19"/>
                <w:szCs w:val="19"/>
                <w:color w:val="auto"/>
              </w:rPr>
            </w:pPr>
          </w:p>
        </w:tc>
        <w:tc>
          <w:tcPr>
            <w:tcW w:w="1040" w:type="dxa"/>
            <w:vAlign w:val="bottom"/>
            <w:tcBorders>
              <w:bottom w:val="single" w:sz="8" w:color="DBDBDB"/>
            </w:tcBorders>
          </w:tcPr>
          <w:p>
            <w:pPr>
              <w:spacing w:after="0"/>
              <w:rPr>
                <w:sz w:val="19"/>
                <w:szCs w:val="19"/>
                <w:color w:val="auto"/>
              </w:rPr>
            </w:pPr>
          </w:p>
        </w:tc>
      </w:tr>
      <w:tr>
        <w:trPr>
          <w:trHeight w:val="211"/>
        </w:trPr>
        <w:tc>
          <w:tcPr>
            <w:tcW w:w="5820" w:type="dxa"/>
            <w:vAlign w:val="bottom"/>
            <w:tcBorders>
              <w:bottom w:val="single" w:sz="8" w:color="DBDBDB"/>
            </w:tcBorders>
            <w:shd w:val="clear" w:color="auto" w:fill="DBDBDB"/>
          </w:tcPr>
          <w:p>
            <w:pPr>
              <w:ind w:left="180"/>
              <w:spacing w:after="0" w:line="210" w:lineRule="exact"/>
              <w:rPr>
                <w:sz w:val="20"/>
                <w:szCs w:val="20"/>
                <w:color w:val="auto"/>
              </w:rPr>
            </w:pPr>
            <w:r>
              <w:rPr>
                <w:rFonts w:ascii="Times New Roman" w:cs="Times New Roman" w:eastAsia="Times New Roman" w:hAnsi="Times New Roman"/>
                <w:sz w:val="20"/>
                <w:szCs w:val="20"/>
                <w:color w:val="auto"/>
              </w:rPr>
              <w:t>Basic</w:t>
            </w:r>
          </w:p>
        </w:tc>
        <w:tc>
          <w:tcPr>
            <w:tcW w:w="10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jc w:val="right"/>
              <w:spacing w:after="0" w:line="210" w:lineRule="exact"/>
              <w:rPr>
                <w:sz w:val="20"/>
                <w:szCs w:val="20"/>
                <w:color w:val="auto"/>
              </w:rPr>
            </w:pPr>
            <w:r>
              <w:rPr>
                <w:rFonts w:ascii="Times New Roman" w:cs="Times New Roman" w:eastAsia="Times New Roman" w:hAnsi="Times New Roman"/>
                <w:sz w:val="20"/>
                <w:szCs w:val="20"/>
                <w:color w:val="auto"/>
                <w:highlight w:val="lightGray"/>
                <w:w w:val="99"/>
              </w:rPr>
              <w:t>$</w:t>
            </w:r>
          </w:p>
        </w:tc>
        <w:tc>
          <w:tcPr>
            <w:tcW w:w="1260" w:type="dxa"/>
            <w:vAlign w:val="bottom"/>
            <w:tcBorders>
              <w:bottom w:val="single" w:sz="8" w:color="DBDBDB"/>
            </w:tcBorders>
            <w:shd w:val="clear" w:color="auto" w:fill="DBDBDB"/>
          </w:tcPr>
          <w:p>
            <w:pPr>
              <w:jc w:val="right"/>
              <w:spacing w:after="0" w:line="210" w:lineRule="exact"/>
              <w:rPr>
                <w:sz w:val="20"/>
                <w:szCs w:val="20"/>
                <w:color w:val="auto"/>
              </w:rPr>
            </w:pPr>
            <w:r>
              <w:rPr>
                <w:rFonts w:ascii="Times New Roman" w:cs="Times New Roman" w:eastAsia="Times New Roman" w:hAnsi="Times New Roman"/>
                <w:sz w:val="20"/>
                <w:szCs w:val="20"/>
                <w:color w:val="auto"/>
              </w:rPr>
              <w:t>(0.64)</w:t>
            </w:r>
          </w:p>
        </w:tc>
        <w:tc>
          <w:tcPr>
            <w:tcW w:w="22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jc w:val="right"/>
              <w:spacing w:after="0" w:line="210"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280" w:type="dxa"/>
            <w:vAlign w:val="bottom"/>
            <w:tcBorders>
              <w:bottom w:val="single" w:sz="8" w:color="DBDBDB"/>
            </w:tcBorders>
            <w:shd w:val="clear" w:color="auto" w:fill="DBDBDB"/>
          </w:tcPr>
          <w:p>
            <w:pPr>
              <w:jc w:val="right"/>
              <w:spacing w:after="0" w:line="210" w:lineRule="exact"/>
              <w:rPr>
                <w:sz w:val="20"/>
                <w:szCs w:val="20"/>
                <w:color w:val="auto"/>
              </w:rPr>
            </w:pPr>
            <w:r>
              <w:rPr>
                <w:rFonts w:ascii="Times New Roman" w:cs="Times New Roman" w:eastAsia="Times New Roman" w:hAnsi="Times New Roman"/>
                <w:sz w:val="20"/>
                <w:szCs w:val="20"/>
                <w:color w:val="auto"/>
              </w:rPr>
              <w:t>(4.50)</w:t>
            </w:r>
          </w:p>
        </w:tc>
        <w:tc>
          <w:tcPr>
            <w:tcW w:w="20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jc w:val="right"/>
              <w:spacing w:after="0" w:line="210"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220" w:type="dxa"/>
            <w:vAlign w:val="bottom"/>
            <w:tcBorders>
              <w:bottom w:val="single" w:sz="8" w:color="DBDBDB"/>
            </w:tcBorders>
            <w:shd w:val="clear" w:color="auto" w:fill="DBDBDB"/>
          </w:tcPr>
          <w:p>
            <w:pPr>
              <w:spacing w:after="0"/>
              <w:rPr>
                <w:sz w:val="18"/>
                <w:szCs w:val="18"/>
                <w:color w:val="auto"/>
              </w:rPr>
            </w:pPr>
          </w:p>
        </w:tc>
        <w:tc>
          <w:tcPr>
            <w:tcW w:w="1040" w:type="dxa"/>
            <w:vAlign w:val="bottom"/>
            <w:tcBorders>
              <w:bottom w:val="single" w:sz="8" w:color="DBDBDB"/>
            </w:tcBorders>
            <w:shd w:val="clear" w:color="auto" w:fill="DBDBDB"/>
          </w:tcPr>
          <w:p>
            <w:pPr>
              <w:jc w:val="right"/>
              <w:spacing w:after="0" w:line="210" w:lineRule="exact"/>
              <w:rPr>
                <w:sz w:val="20"/>
                <w:szCs w:val="20"/>
                <w:color w:val="auto"/>
              </w:rPr>
            </w:pPr>
            <w:r>
              <w:rPr>
                <w:rFonts w:ascii="Times New Roman" w:cs="Times New Roman" w:eastAsia="Times New Roman" w:hAnsi="Times New Roman"/>
                <w:sz w:val="20"/>
                <w:szCs w:val="20"/>
                <w:color w:val="auto"/>
              </w:rPr>
              <w:t>(1.75)</w:t>
            </w:r>
          </w:p>
        </w:tc>
      </w:tr>
      <w:tr>
        <w:trPr>
          <w:trHeight w:val="244"/>
        </w:trPr>
        <w:tc>
          <w:tcPr>
            <w:tcW w:w="58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Diluted</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(0.64)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w:t>
            </w:r>
          </w:p>
        </w:tc>
      </w:tr>
    </w:tbl>
    <w:p>
      <w:pPr>
        <w:spacing w:after="0" w:line="182" w:lineRule="exact"/>
        <w:rPr>
          <w:sz w:val="20"/>
          <w:szCs w:val="20"/>
          <w:color w:val="auto"/>
        </w:rPr>
      </w:pPr>
    </w:p>
    <w:p>
      <w:pPr>
        <w:jc w:val="both"/>
        <w:ind w:left="20" w:firstLine="706"/>
        <w:spacing w:after="0" w:line="268" w:lineRule="auto"/>
        <w:rPr>
          <w:sz w:val="20"/>
          <w:szCs w:val="20"/>
          <w:color w:val="auto"/>
        </w:rPr>
      </w:pPr>
      <w:r>
        <w:rPr>
          <w:rFonts w:ascii="Times New Roman" w:cs="Times New Roman" w:eastAsia="Times New Roman" w:hAnsi="Times New Roman"/>
          <w:sz w:val="20"/>
          <w:szCs w:val="20"/>
          <w:color w:val="auto"/>
        </w:rPr>
        <w:t>The following potentially dilutive securities were excluded from diluted net loss per share as their effect would have been antidilutive (in thousands):</w:t>
      </w:r>
    </w:p>
    <w:p>
      <w:pPr>
        <w:spacing w:after="0" w:line="164"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20"/>
          <w:szCs w:val="20"/>
          <w:b w:val="1"/>
          <w:bCs w:val="1"/>
          <w:color w:val="auto"/>
        </w:rPr>
        <w:t>As of December 31,</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7180" w:type="dxa"/>
            <w:vAlign w:val="bottom"/>
            <w:gridSpan w:val="4"/>
          </w:tcPr>
          <w:p>
            <w:pPr>
              <w:spacing w:after="0"/>
              <w:rPr>
                <w:sz w:val="19"/>
                <w:szCs w:val="19"/>
                <w:color w:val="auto"/>
              </w:rPr>
            </w:pPr>
          </w:p>
        </w:tc>
        <w:tc>
          <w:tcPr>
            <w:tcW w:w="1080" w:type="dxa"/>
            <w:vAlign w:val="bottom"/>
            <w:tcBorders>
              <w:top w:val="single" w:sz="8" w:color="auto"/>
            </w:tcBorders>
          </w:tcPr>
          <w:p>
            <w:pPr>
              <w:jc w:val="right"/>
              <w:spacing w:after="0" w:line="227" w:lineRule="exact"/>
              <w:rPr>
                <w:sz w:val="20"/>
                <w:szCs w:val="20"/>
                <w:color w:val="auto"/>
              </w:rPr>
            </w:pPr>
            <w:r>
              <w:rPr>
                <w:rFonts w:ascii="Times New Roman" w:cs="Times New Roman" w:eastAsia="Times New Roman" w:hAnsi="Times New Roman"/>
                <w:sz w:val="20"/>
                <w:szCs w:val="20"/>
                <w:b w:val="1"/>
                <w:bCs w:val="1"/>
                <w:color w:val="auto"/>
              </w:rPr>
              <w:t>2025</w:t>
            </w:r>
          </w:p>
        </w:tc>
        <w:tc>
          <w:tcPr>
            <w:tcW w:w="520" w:type="dxa"/>
            <w:vAlign w:val="bottom"/>
            <w:tcBorders>
              <w:top w:val="single" w:sz="8" w:color="auto"/>
            </w:tcBorders>
          </w:tcPr>
          <w:p>
            <w:pPr>
              <w:spacing w:after="0"/>
              <w:rPr>
                <w:sz w:val="19"/>
                <w:szCs w:val="19"/>
                <w:color w:val="auto"/>
              </w:rPr>
            </w:pPr>
          </w:p>
        </w:tc>
        <w:tc>
          <w:tcPr>
            <w:tcW w:w="1820" w:type="dxa"/>
            <w:vAlign w:val="bottom"/>
            <w:tcBorders>
              <w:top w:val="single" w:sz="8" w:color="auto"/>
            </w:tcBorders>
            <w:gridSpan w:val="3"/>
          </w:tcPr>
          <w:p>
            <w:pPr>
              <w:jc w:val="right"/>
              <w:ind w:right="522"/>
              <w:spacing w:after="0" w:line="227" w:lineRule="exact"/>
              <w:rPr>
                <w:sz w:val="20"/>
                <w:szCs w:val="20"/>
                <w:color w:val="auto"/>
              </w:rPr>
            </w:pPr>
            <w:r>
              <w:rPr>
                <w:rFonts w:ascii="Times New Roman" w:cs="Times New Roman" w:eastAsia="Times New Roman" w:hAnsi="Times New Roman"/>
                <w:sz w:val="20"/>
                <w:szCs w:val="20"/>
                <w:b w:val="1"/>
                <w:bCs w:val="1"/>
                <w:color w:val="auto"/>
              </w:rPr>
              <w:t>2024</w:t>
            </w:r>
          </w:p>
        </w:tc>
      </w:tr>
      <w:tr>
        <w:trPr>
          <w:trHeight w:val="225"/>
        </w:trPr>
        <w:tc>
          <w:tcPr>
            <w:tcW w:w="7060" w:type="dxa"/>
            <w:vAlign w:val="bottom"/>
            <w:tcBorders>
              <w:top w:val="single" w:sz="8" w:color="DBDBDB"/>
            </w:tcBorders>
            <w:shd w:val="clear" w:color="auto" w:fill="DBDBDB"/>
          </w:tcPr>
          <w:p>
            <w:pPr>
              <w:ind w:left="20"/>
              <w:spacing w:after="0" w:line="220" w:lineRule="exact"/>
              <w:rPr>
                <w:sz w:val="20"/>
                <w:szCs w:val="20"/>
                <w:color w:val="auto"/>
              </w:rPr>
            </w:pPr>
            <w:r>
              <w:rPr>
                <w:rFonts w:ascii="Times New Roman" w:cs="Times New Roman" w:eastAsia="Times New Roman" w:hAnsi="Times New Roman"/>
                <w:sz w:val="20"/>
                <w:szCs w:val="20"/>
                <w:color w:val="auto"/>
              </w:rPr>
              <w:t>Restricted stock units</w:t>
            </w:r>
          </w:p>
        </w:tc>
        <w:tc>
          <w:tcPr>
            <w:tcW w:w="20" w:type="dxa"/>
            <w:vAlign w:val="bottom"/>
            <w:tcBorders>
              <w:top w:val="single" w:sz="8" w:color="DBDBDB"/>
            </w:tcBorders>
            <w:shd w:val="clear" w:color="auto" w:fill="DBDBDB"/>
          </w:tcPr>
          <w:p>
            <w:pPr>
              <w:spacing w:after="0"/>
              <w:rPr>
                <w:sz w:val="19"/>
                <w:szCs w:val="19"/>
                <w:color w:val="auto"/>
              </w:rPr>
            </w:pPr>
          </w:p>
        </w:tc>
        <w:tc>
          <w:tcPr>
            <w:tcW w:w="80" w:type="dxa"/>
            <w:vAlign w:val="bottom"/>
            <w:tcBorders>
              <w:top w:val="single" w:sz="8" w:color="DBDBDB"/>
            </w:tcBorders>
            <w:shd w:val="clear" w:color="auto" w:fill="DBDBDB"/>
          </w:tcPr>
          <w:p>
            <w:pPr>
              <w:spacing w:after="0"/>
              <w:rPr>
                <w:sz w:val="19"/>
                <w:szCs w:val="19"/>
                <w:color w:val="auto"/>
              </w:rPr>
            </w:pPr>
          </w:p>
        </w:tc>
        <w:tc>
          <w:tcPr>
            <w:tcW w:w="20" w:type="dxa"/>
            <w:vAlign w:val="bottom"/>
            <w:tcBorders>
              <w:top w:val="single" w:sz="8" w:color="DBDBDB"/>
            </w:tcBorders>
            <w:shd w:val="clear" w:color="auto" w:fill="DBDBDB"/>
          </w:tcPr>
          <w:p>
            <w:pPr>
              <w:spacing w:after="0"/>
              <w:rPr>
                <w:sz w:val="19"/>
                <w:szCs w:val="19"/>
                <w:color w:val="auto"/>
              </w:rPr>
            </w:pPr>
          </w:p>
        </w:tc>
        <w:tc>
          <w:tcPr>
            <w:tcW w:w="1080" w:type="dxa"/>
            <w:vAlign w:val="bottom"/>
            <w:tcBorders>
              <w:top w:val="single" w:sz="8" w:color="auto"/>
            </w:tcBorders>
            <w:shd w:val="clear" w:color="auto" w:fill="DBDBDB"/>
          </w:tcPr>
          <w:p>
            <w:pPr>
              <w:spacing w:after="0"/>
              <w:rPr>
                <w:sz w:val="19"/>
                <w:szCs w:val="19"/>
                <w:color w:val="auto"/>
              </w:rPr>
            </w:pPr>
          </w:p>
        </w:tc>
        <w:tc>
          <w:tcPr>
            <w:tcW w:w="520" w:type="dxa"/>
            <w:vAlign w:val="bottom"/>
            <w:tcBorders>
              <w:top w:val="single" w:sz="8" w:color="auto"/>
            </w:tcBorders>
            <w:shd w:val="clear" w:color="auto" w:fill="DBDBDB"/>
          </w:tcPr>
          <w:p>
            <w:pPr>
              <w:jc w:val="right"/>
              <w:spacing w:after="0" w:line="225" w:lineRule="exact"/>
              <w:rPr>
                <w:sz w:val="20"/>
                <w:szCs w:val="20"/>
                <w:color w:val="auto"/>
              </w:rPr>
            </w:pPr>
            <w:r>
              <w:rPr>
                <w:rFonts w:ascii="Times New Roman" w:cs="Times New Roman" w:eastAsia="Times New Roman" w:hAnsi="Times New Roman"/>
                <w:sz w:val="20"/>
                <w:szCs w:val="20"/>
                <w:color w:val="auto"/>
              </w:rPr>
              <w:t>2,335</w:t>
            </w:r>
          </w:p>
        </w:tc>
        <w:tc>
          <w:tcPr>
            <w:tcW w:w="200" w:type="dxa"/>
            <w:vAlign w:val="bottom"/>
            <w:tcBorders>
              <w:top w:val="single" w:sz="8" w:color="DBDBDB"/>
            </w:tcBorders>
            <w:shd w:val="clear" w:color="auto" w:fill="DBDBDB"/>
          </w:tcPr>
          <w:p>
            <w:pPr>
              <w:spacing w:after="0"/>
              <w:rPr>
                <w:sz w:val="19"/>
                <w:szCs w:val="19"/>
                <w:color w:val="auto"/>
              </w:rPr>
            </w:pPr>
          </w:p>
        </w:tc>
        <w:tc>
          <w:tcPr>
            <w:tcW w:w="20" w:type="dxa"/>
            <w:vAlign w:val="bottom"/>
            <w:tcBorders>
              <w:top w:val="single" w:sz="8" w:color="DBDBDB"/>
            </w:tcBorders>
            <w:shd w:val="clear" w:color="auto" w:fill="DBDBDB"/>
          </w:tcPr>
          <w:p>
            <w:pPr>
              <w:spacing w:after="0"/>
              <w:rPr>
                <w:sz w:val="19"/>
                <w:szCs w:val="19"/>
                <w:color w:val="auto"/>
              </w:rPr>
            </w:pPr>
          </w:p>
        </w:tc>
        <w:tc>
          <w:tcPr>
            <w:tcW w:w="1600" w:type="dxa"/>
            <w:vAlign w:val="bottom"/>
            <w:tcBorders>
              <w:top w:val="single" w:sz="8" w:color="auto"/>
            </w:tcBorders>
            <w:shd w:val="clear" w:color="auto" w:fill="DBDBDB"/>
          </w:tcPr>
          <w:p>
            <w:pPr>
              <w:ind w:left="1140"/>
              <w:spacing w:after="0" w:line="225" w:lineRule="exact"/>
              <w:rPr>
                <w:sz w:val="20"/>
                <w:szCs w:val="20"/>
                <w:color w:val="auto"/>
              </w:rPr>
            </w:pPr>
            <w:r>
              <w:rPr>
                <w:rFonts w:ascii="Times New Roman" w:cs="Times New Roman" w:eastAsia="Times New Roman" w:hAnsi="Times New Roman"/>
                <w:sz w:val="20"/>
                <w:szCs w:val="20"/>
                <w:color w:val="auto"/>
                <w:w w:val="97"/>
              </w:rPr>
              <w:t>2,709</w:t>
            </w:r>
          </w:p>
        </w:tc>
      </w:tr>
      <w:tr>
        <w:trPr>
          <w:trHeight w:val="252"/>
        </w:trPr>
        <w:tc>
          <w:tcPr>
            <w:tcW w:w="8260" w:type="dxa"/>
            <w:vAlign w:val="bottom"/>
            <w:gridSpan w:val="5"/>
          </w:tcPr>
          <w:p>
            <w:pPr>
              <w:ind w:left="20"/>
              <w:spacing w:after="0"/>
              <w:rPr>
                <w:sz w:val="20"/>
                <w:szCs w:val="20"/>
                <w:color w:val="auto"/>
              </w:rPr>
            </w:pPr>
            <w:r>
              <w:rPr>
                <w:rFonts w:ascii="Times New Roman" w:cs="Times New Roman" w:eastAsia="Times New Roman" w:hAnsi="Times New Roman"/>
                <w:sz w:val="20"/>
                <w:szCs w:val="20"/>
                <w:color w:val="auto"/>
              </w:rPr>
              <w:t>Shares for Notes 2026</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w:t>
            </w:r>
          </w:p>
        </w:tc>
        <w:tc>
          <w:tcPr>
            <w:tcW w:w="1820" w:type="dxa"/>
            <w:vAlign w:val="bottom"/>
            <w:gridSpan w:val="3"/>
          </w:tcPr>
          <w:p>
            <w:pPr>
              <w:ind w:left="1360"/>
              <w:spacing w:after="0"/>
              <w:rPr>
                <w:sz w:val="20"/>
                <w:szCs w:val="20"/>
                <w:color w:val="auto"/>
              </w:rPr>
            </w:pPr>
            <w:r>
              <w:rPr>
                <w:rFonts w:ascii="Times New Roman" w:cs="Times New Roman" w:eastAsia="Times New Roman" w:hAnsi="Times New Roman"/>
                <w:sz w:val="20"/>
                <w:szCs w:val="20"/>
                <w:color w:val="auto"/>
                <w:w w:val="97"/>
              </w:rPr>
              <w:t>5,153</w:t>
            </w:r>
          </w:p>
        </w:tc>
      </w:tr>
      <w:tr>
        <w:trPr>
          <w:trHeight w:val="254"/>
        </w:trPr>
        <w:tc>
          <w:tcPr>
            <w:tcW w:w="7060" w:type="dxa"/>
            <w:vAlign w:val="bottom"/>
            <w:tcBorders>
              <w:bottom w:val="single" w:sz="8" w:color="DBDBDB"/>
            </w:tcBorders>
            <w:shd w:val="clear" w:color="auto" w:fill="DBDBDB"/>
          </w:tcPr>
          <w:p>
            <w:pPr>
              <w:ind w:left="20"/>
              <w:spacing w:after="0" w:line="229" w:lineRule="exact"/>
              <w:rPr>
                <w:sz w:val="20"/>
                <w:szCs w:val="20"/>
                <w:color w:val="auto"/>
              </w:rPr>
            </w:pPr>
            <w:r>
              <w:rPr>
                <w:rFonts w:ascii="Times New Roman" w:cs="Times New Roman" w:eastAsia="Times New Roman" w:hAnsi="Times New Roman"/>
                <w:sz w:val="20"/>
                <w:szCs w:val="20"/>
                <w:color w:val="auto"/>
              </w:rPr>
              <w:t>Shares for Notes 2030</w:t>
            </w:r>
          </w:p>
        </w:tc>
        <w:tc>
          <w:tcPr>
            <w:tcW w:w="20" w:type="dxa"/>
            <w:vAlign w:val="bottom"/>
            <w:shd w:val="clear" w:color="auto" w:fill="DBDBDB"/>
          </w:tcPr>
          <w:p>
            <w:pPr>
              <w:spacing w:after="0"/>
              <w:rPr>
                <w:sz w:val="22"/>
                <w:szCs w:val="22"/>
                <w:color w:val="auto"/>
              </w:rPr>
            </w:pPr>
          </w:p>
        </w:tc>
        <w:tc>
          <w:tcPr>
            <w:tcW w:w="80" w:type="dxa"/>
            <w:vAlign w:val="bottom"/>
            <w:tcBorders>
              <w:bottom w:val="single" w:sz="8" w:color="DBDBDB"/>
            </w:tcBorders>
            <w:shd w:val="clear" w:color="auto" w:fill="DBDBDB"/>
          </w:tcPr>
          <w:p>
            <w:pPr>
              <w:spacing w:after="0"/>
              <w:rPr>
                <w:sz w:val="22"/>
                <w:szCs w:val="22"/>
                <w:color w:val="auto"/>
              </w:rPr>
            </w:pPr>
          </w:p>
        </w:tc>
        <w:tc>
          <w:tcPr>
            <w:tcW w:w="20" w:type="dxa"/>
            <w:vAlign w:val="bottom"/>
            <w:tcBorders>
              <w:bottom w:val="single" w:sz="8" w:color="DBDBDB"/>
            </w:tcBorders>
            <w:shd w:val="clear" w:color="auto" w:fill="DBDBDB"/>
          </w:tcPr>
          <w:p>
            <w:pPr>
              <w:spacing w:after="0"/>
              <w:rPr>
                <w:sz w:val="22"/>
                <w:szCs w:val="22"/>
                <w:color w:val="auto"/>
              </w:rPr>
            </w:pPr>
          </w:p>
        </w:tc>
        <w:tc>
          <w:tcPr>
            <w:tcW w:w="1080" w:type="dxa"/>
            <w:vAlign w:val="bottom"/>
            <w:tcBorders>
              <w:bottom w:val="single" w:sz="8" w:color="auto"/>
            </w:tcBorders>
            <w:shd w:val="clear" w:color="auto" w:fill="DBDBDB"/>
          </w:tcPr>
          <w:p>
            <w:pPr>
              <w:spacing w:after="0"/>
              <w:rPr>
                <w:sz w:val="22"/>
                <w:szCs w:val="22"/>
                <w:color w:val="auto"/>
              </w:rPr>
            </w:pPr>
          </w:p>
        </w:tc>
        <w:tc>
          <w:tcPr>
            <w:tcW w:w="520" w:type="dxa"/>
            <w:vAlign w:val="bottom"/>
            <w:tcBorders>
              <w:bottom w:val="single" w:sz="8" w:color="auto"/>
            </w:tcBorders>
            <w:shd w:val="clear" w:color="auto" w:fill="DBDBDB"/>
          </w:tcPr>
          <w:p>
            <w:pPr>
              <w:jc w:val="right"/>
              <w:spacing w:after="0" w:line="229" w:lineRule="exact"/>
              <w:rPr>
                <w:sz w:val="20"/>
                <w:szCs w:val="20"/>
                <w:color w:val="auto"/>
              </w:rPr>
            </w:pPr>
            <w:r>
              <w:rPr>
                <w:rFonts w:ascii="Times New Roman" w:cs="Times New Roman" w:eastAsia="Times New Roman" w:hAnsi="Times New Roman"/>
                <w:sz w:val="20"/>
                <w:szCs w:val="20"/>
                <w:color w:val="auto"/>
              </w:rPr>
              <w:t>2,886</w:t>
            </w:r>
          </w:p>
        </w:tc>
        <w:tc>
          <w:tcPr>
            <w:tcW w:w="200" w:type="dxa"/>
            <w:vAlign w:val="bottom"/>
            <w:tcBorders>
              <w:bottom w:val="single" w:sz="8" w:color="DBDBDB"/>
            </w:tcBorders>
            <w:shd w:val="clear" w:color="auto" w:fill="DBDBDB"/>
          </w:tcPr>
          <w:p>
            <w:pPr>
              <w:spacing w:after="0"/>
              <w:rPr>
                <w:sz w:val="22"/>
                <w:szCs w:val="22"/>
                <w:color w:val="auto"/>
              </w:rPr>
            </w:pPr>
          </w:p>
        </w:tc>
        <w:tc>
          <w:tcPr>
            <w:tcW w:w="20" w:type="dxa"/>
            <w:vAlign w:val="bottom"/>
            <w:tcBorders>
              <w:bottom w:val="single" w:sz="8" w:color="DBDBDB"/>
            </w:tcBorders>
            <w:shd w:val="clear" w:color="auto" w:fill="DBDBDB"/>
          </w:tcPr>
          <w:p>
            <w:pPr>
              <w:spacing w:after="0"/>
              <w:rPr>
                <w:sz w:val="22"/>
                <w:szCs w:val="22"/>
                <w:color w:val="auto"/>
              </w:rPr>
            </w:pPr>
          </w:p>
        </w:tc>
        <w:tc>
          <w:tcPr>
            <w:tcW w:w="1600" w:type="dxa"/>
            <w:vAlign w:val="bottom"/>
            <w:tcBorders>
              <w:bottom w:val="single" w:sz="8" w:color="auto"/>
            </w:tcBorders>
            <w:shd w:val="clear" w:color="auto" w:fill="DBDBDB"/>
          </w:tcPr>
          <w:p>
            <w:pPr>
              <w:jc w:val="right"/>
              <w:spacing w:after="0" w:line="229" w:lineRule="exact"/>
              <w:rPr>
                <w:sz w:val="20"/>
                <w:szCs w:val="20"/>
                <w:color w:val="auto"/>
              </w:rPr>
            </w:pPr>
            <w:r>
              <w:rPr>
                <w:rFonts w:ascii="Times New Roman" w:cs="Times New Roman" w:eastAsia="Times New Roman" w:hAnsi="Times New Roman"/>
                <w:sz w:val="20"/>
                <w:szCs w:val="20"/>
                <w:color w:val="auto"/>
              </w:rPr>
              <w:t>63</w:t>
            </w:r>
          </w:p>
        </w:tc>
      </w:tr>
      <w:tr>
        <w:trPr>
          <w:trHeight w:val="227"/>
        </w:trPr>
        <w:tc>
          <w:tcPr>
            <w:tcW w:w="7060" w:type="dxa"/>
            <w:vAlign w:val="bottom"/>
          </w:tcPr>
          <w:p>
            <w:pPr>
              <w:ind w:left="20"/>
              <w:spacing w:after="0" w:line="227" w:lineRule="exact"/>
              <w:rPr>
                <w:sz w:val="20"/>
                <w:szCs w:val="20"/>
                <w:color w:val="auto"/>
              </w:rPr>
            </w:pPr>
            <w:r>
              <w:rPr>
                <w:rFonts w:ascii="Times New Roman" w:cs="Times New Roman" w:eastAsia="Times New Roman" w:hAnsi="Times New Roman"/>
                <w:sz w:val="20"/>
                <w:szCs w:val="20"/>
                <w:color w:val="auto"/>
              </w:rPr>
              <w:t>Total antidilutive shares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line="227" w:lineRule="exact"/>
              <w:rPr>
                <w:sz w:val="20"/>
                <w:szCs w:val="20"/>
                <w:color w:val="auto"/>
              </w:rPr>
            </w:pPr>
            <w:r>
              <w:rPr>
                <w:rFonts w:ascii="Times New Roman" w:cs="Times New Roman" w:eastAsia="Times New Roman" w:hAnsi="Times New Roman"/>
                <w:sz w:val="20"/>
                <w:szCs w:val="20"/>
                <w:color w:val="auto"/>
              </w:rPr>
              <w:t>5,361</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ind w:left="1140"/>
              <w:spacing w:after="0" w:line="227" w:lineRule="exact"/>
              <w:rPr>
                <w:sz w:val="20"/>
                <w:szCs w:val="20"/>
                <w:color w:val="auto"/>
              </w:rPr>
            </w:pPr>
            <w:r>
              <w:rPr>
                <w:rFonts w:ascii="Times New Roman" w:cs="Times New Roman" w:eastAsia="Times New Roman" w:hAnsi="Times New Roman"/>
                <w:sz w:val="20"/>
                <w:szCs w:val="20"/>
                <w:color w:val="auto"/>
                <w:w w:val="97"/>
              </w:rPr>
              <w:t>7,925</w:t>
            </w:r>
          </w:p>
        </w:tc>
      </w:tr>
      <w:tr>
        <w:trPr>
          <w:trHeight w:val="20"/>
        </w:trPr>
        <w:tc>
          <w:tcPr>
            <w:tcW w:w="7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NOTE G—INVENTORIES</w:t>
      </w:r>
    </w:p>
    <w:p>
      <w:pPr>
        <w:spacing w:after="0" w:line="22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At December 31, 2025 and 2024, inventories consisted of the following (in thousands):</w:t>
      </w: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255"/>
        </w:trPr>
        <w:tc>
          <w:tcPr>
            <w:tcW w:w="6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540" w:type="dxa"/>
            <w:vAlign w:val="bottom"/>
            <w:tcBorders>
              <w:bottom w:val="single" w:sz="8" w:color="auto"/>
            </w:tcBorders>
            <w:gridSpan w:val="4"/>
          </w:tcPr>
          <w:p>
            <w:pPr>
              <w:ind w:left="900"/>
              <w:spacing w:after="0"/>
              <w:rPr>
                <w:sz w:val="20"/>
                <w:szCs w:val="20"/>
                <w:color w:val="auto"/>
              </w:rPr>
            </w:pPr>
            <w:r>
              <w:rPr>
                <w:rFonts w:ascii="Times New Roman" w:cs="Times New Roman" w:eastAsia="Times New Roman" w:hAnsi="Times New Roman"/>
                <w:sz w:val="20"/>
                <w:szCs w:val="20"/>
                <w:b w:val="1"/>
                <w:bCs w:val="1"/>
                <w:color w:val="auto"/>
              </w:rPr>
              <w:t>As of December 31,</w:t>
            </w:r>
          </w:p>
        </w:tc>
      </w:tr>
      <w:tr>
        <w:trPr>
          <w:trHeight w:val="229"/>
        </w:trPr>
        <w:tc>
          <w:tcPr>
            <w:tcW w:w="6840" w:type="dxa"/>
            <w:vAlign w:val="bottom"/>
            <w:tcBorders>
              <w:bottom w:val="single" w:sz="8" w:color="DBDBDB"/>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20"/>
                <w:szCs w:val="20"/>
                <w:b w:val="1"/>
                <w:bCs w:val="1"/>
                <w:color w:val="auto"/>
              </w:rPr>
              <w:t>2025</w:t>
            </w:r>
          </w:p>
        </w:tc>
        <w:tc>
          <w:tcPr>
            <w:tcW w:w="20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225"/>
        </w:trPr>
        <w:tc>
          <w:tcPr>
            <w:tcW w:w="6840" w:type="dxa"/>
            <w:vAlign w:val="bottom"/>
            <w:shd w:val="clear" w:color="auto" w:fill="DBDBDB"/>
          </w:tcPr>
          <w:p>
            <w:pPr>
              <w:ind w:left="20"/>
              <w:spacing w:after="0" w:line="220" w:lineRule="exact"/>
              <w:rPr>
                <w:sz w:val="20"/>
                <w:szCs w:val="20"/>
                <w:color w:val="auto"/>
              </w:rPr>
            </w:pPr>
            <w:r>
              <w:rPr>
                <w:rFonts w:ascii="Times New Roman" w:cs="Times New Roman" w:eastAsia="Times New Roman" w:hAnsi="Times New Roman"/>
                <w:sz w:val="20"/>
                <w:szCs w:val="20"/>
                <w:color w:val="auto"/>
              </w:rPr>
              <w:t>Raw materials</w:t>
            </w:r>
          </w:p>
        </w:tc>
        <w:tc>
          <w:tcPr>
            <w:tcW w:w="100" w:type="dxa"/>
            <w:vAlign w:val="bottom"/>
            <w:tcBorders>
              <w:right w:val="single" w:sz="8" w:color="DBDBDB"/>
            </w:tcBorders>
            <w:shd w:val="clear" w:color="auto" w:fill="DBDBDB"/>
          </w:tcPr>
          <w:p>
            <w:pPr>
              <w:spacing w:after="0"/>
              <w:rPr>
                <w:sz w:val="19"/>
                <w:szCs w:val="19"/>
                <w:color w:val="auto"/>
              </w:rPr>
            </w:pPr>
          </w:p>
        </w:tc>
        <w:tc>
          <w:tcPr>
            <w:tcW w:w="120" w:type="dxa"/>
            <w:vAlign w:val="bottom"/>
            <w:shd w:val="clear" w:color="auto" w:fill="DBDBDB"/>
          </w:tcPr>
          <w:p>
            <w:pPr>
              <w:jc w:val="right"/>
              <w:spacing w:after="0" w:line="225"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600" w:type="dxa"/>
            <w:vAlign w:val="bottom"/>
            <w:shd w:val="clear" w:color="auto" w:fill="DBDBDB"/>
          </w:tcPr>
          <w:p>
            <w:pPr>
              <w:jc w:val="right"/>
              <w:spacing w:after="0" w:line="225" w:lineRule="exact"/>
              <w:rPr>
                <w:sz w:val="20"/>
                <w:szCs w:val="20"/>
                <w:color w:val="auto"/>
              </w:rPr>
            </w:pPr>
            <w:r>
              <w:rPr>
                <w:rFonts w:ascii="Times New Roman" w:cs="Times New Roman" w:eastAsia="Times New Roman" w:hAnsi="Times New Roman"/>
                <w:sz w:val="20"/>
                <w:szCs w:val="20"/>
                <w:color w:val="auto"/>
              </w:rPr>
              <w:t>85,740</w:t>
            </w:r>
          </w:p>
        </w:tc>
        <w:tc>
          <w:tcPr>
            <w:tcW w:w="200" w:type="dxa"/>
            <w:vAlign w:val="bottom"/>
            <w:shd w:val="clear" w:color="auto" w:fill="DBDBDB"/>
          </w:tcPr>
          <w:p>
            <w:pPr>
              <w:spacing w:after="0"/>
              <w:rPr>
                <w:sz w:val="19"/>
                <w:szCs w:val="19"/>
                <w:color w:val="auto"/>
              </w:rPr>
            </w:pPr>
          </w:p>
        </w:tc>
        <w:tc>
          <w:tcPr>
            <w:tcW w:w="140" w:type="dxa"/>
            <w:vAlign w:val="bottom"/>
            <w:shd w:val="clear" w:color="auto" w:fill="DBDBDB"/>
          </w:tcPr>
          <w:p>
            <w:pPr>
              <w:jc w:val="right"/>
              <w:spacing w:after="0" w:line="225" w:lineRule="exact"/>
              <w:rPr>
                <w:sz w:val="20"/>
                <w:szCs w:val="20"/>
                <w:color w:val="auto"/>
              </w:rPr>
            </w:pPr>
            <w:r>
              <w:rPr>
                <w:rFonts w:ascii="Times New Roman" w:cs="Times New Roman" w:eastAsia="Times New Roman" w:hAnsi="Times New Roman"/>
                <w:sz w:val="20"/>
                <w:szCs w:val="20"/>
                <w:color w:val="auto"/>
                <w:highlight w:val="lightGray"/>
                <w:w w:val="99"/>
              </w:rPr>
              <w:t>$</w:t>
            </w:r>
          </w:p>
        </w:tc>
        <w:tc>
          <w:tcPr>
            <w:tcW w:w="1600" w:type="dxa"/>
            <w:vAlign w:val="bottom"/>
            <w:shd w:val="clear" w:color="auto" w:fill="DBDBDB"/>
          </w:tcPr>
          <w:p>
            <w:pPr>
              <w:ind w:left="1040"/>
              <w:spacing w:after="0" w:line="225" w:lineRule="exact"/>
              <w:rPr>
                <w:sz w:val="20"/>
                <w:szCs w:val="20"/>
                <w:color w:val="auto"/>
              </w:rPr>
            </w:pPr>
            <w:r>
              <w:rPr>
                <w:rFonts w:ascii="Times New Roman" w:cs="Times New Roman" w:eastAsia="Times New Roman" w:hAnsi="Times New Roman"/>
                <w:sz w:val="20"/>
                <w:szCs w:val="20"/>
                <w:color w:val="auto"/>
                <w:w w:val="98"/>
              </w:rPr>
              <w:t>50,379</w:t>
            </w:r>
          </w:p>
        </w:tc>
      </w:tr>
      <w:tr>
        <w:trPr>
          <w:trHeight w:val="235"/>
        </w:trPr>
        <w:tc>
          <w:tcPr>
            <w:tcW w:w="69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Work in process and sub-assemblies</w:t>
            </w: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95,538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ind w:left="1040"/>
              <w:spacing w:after="0"/>
              <w:rPr>
                <w:sz w:val="20"/>
                <w:szCs w:val="20"/>
                <w:color w:val="auto"/>
              </w:rPr>
            </w:pPr>
            <w:r>
              <w:rPr>
                <w:rFonts w:ascii="Times New Roman" w:cs="Times New Roman" w:eastAsia="Times New Roman" w:hAnsi="Times New Roman"/>
                <w:sz w:val="20"/>
                <w:szCs w:val="20"/>
                <w:color w:val="auto"/>
                <w:w w:val="98"/>
              </w:rPr>
              <w:t>35,716</w:t>
            </w:r>
          </w:p>
        </w:tc>
      </w:tr>
      <w:tr>
        <w:trPr>
          <w:trHeight w:val="235"/>
        </w:trPr>
        <w:tc>
          <w:tcPr>
            <w:tcW w:w="68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20"/>
                <w:szCs w:val="20"/>
                <w:color w:val="auto"/>
              </w:rPr>
              <w:t>Finished goods</w:t>
            </w:r>
          </w:p>
        </w:tc>
        <w:tc>
          <w:tcPr>
            <w:tcW w:w="100" w:type="dxa"/>
            <w:vAlign w:val="bottom"/>
            <w:tcBorders>
              <w:right w:val="single" w:sz="8" w:color="DBDBDB"/>
            </w:tcBorders>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6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18,822</w:t>
            </w:r>
          </w:p>
        </w:tc>
        <w:tc>
          <w:tcPr>
            <w:tcW w:w="20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1600" w:type="dxa"/>
            <w:vAlign w:val="bottom"/>
            <w:shd w:val="clear" w:color="auto" w:fill="DBDBDB"/>
          </w:tcPr>
          <w:p>
            <w:pPr>
              <w:ind w:left="1040"/>
              <w:spacing w:after="0"/>
              <w:rPr>
                <w:sz w:val="20"/>
                <w:szCs w:val="20"/>
                <w:color w:val="auto"/>
              </w:rPr>
            </w:pPr>
            <w:r>
              <w:rPr>
                <w:rFonts w:ascii="Times New Roman" w:cs="Times New Roman" w:eastAsia="Times New Roman" w:hAnsi="Times New Roman"/>
                <w:sz w:val="20"/>
                <w:szCs w:val="20"/>
                <w:color w:val="auto"/>
                <w:w w:val="98"/>
              </w:rPr>
              <w:t>17,291</w:t>
            </w:r>
          </w:p>
        </w:tc>
      </w:tr>
      <w:tr>
        <w:trPr>
          <w:trHeight w:val="238"/>
        </w:trPr>
        <w:tc>
          <w:tcPr>
            <w:tcW w:w="6940" w:type="dxa"/>
            <w:vAlign w:val="bottom"/>
            <w:tcBorders>
              <w:bottom w:val="single" w:sz="8" w:color="DBDBDB"/>
            </w:tcBorders>
            <w:gridSpan w:val="2"/>
          </w:tcPr>
          <w:p>
            <w:pPr>
              <w:ind w:left="20"/>
              <w:spacing w:after="0"/>
              <w:rPr>
                <w:sz w:val="20"/>
                <w:szCs w:val="20"/>
                <w:color w:val="auto"/>
              </w:rPr>
            </w:pPr>
            <w:r>
              <w:rPr>
                <w:rFonts w:ascii="Times New Roman" w:cs="Times New Roman" w:eastAsia="Times New Roman" w:hAnsi="Times New Roman"/>
                <w:sz w:val="20"/>
                <w:szCs w:val="20"/>
                <w:color w:val="auto"/>
              </w:rPr>
              <w:t>Allowance for inventory</w:t>
            </w:r>
          </w:p>
        </w:tc>
        <w:tc>
          <w:tcPr>
            <w:tcW w:w="1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(16,995)</w:t>
            </w:r>
          </w:p>
        </w:tc>
        <w:tc>
          <w:tcPr>
            <w:tcW w:w="200" w:type="dxa"/>
            <w:vAlign w:val="bottom"/>
            <w:tcBorders>
              <w:bottom w:val="single" w:sz="8" w:color="DBDBDB"/>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20"/>
                <w:szCs w:val="20"/>
                <w:color w:val="auto"/>
                <w:w w:val="96"/>
              </w:rPr>
              <w:t>(15,251)</w:t>
            </w:r>
          </w:p>
        </w:tc>
      </w:tr>
      <w:tr>
        <w:trPr>
          <w:trHeight w:val="268"/>
        </w:trPr>
        <w:tc>
          <w:tcPr>
            <w:tcW w:w="6840" w:type="dxa"/>
            <w:vAlign w:val="bottom"/>
            <w:tcBorders>
              <w:bottom w:val="single" w:sz="8" w:color="DBDBDB"/>
            </w:tcBorders>
            <w:shd w:val="clear" w:color="auto" w:fill="DBDBDB"/>
          </w:tcPr>
          <w:p>
            <w:pPr>
              <w:ind w:left="20"/>
              <w:spacing w:after="0" w:line="220" w:lineRule="exact"/>
              <w:rPr>
                <w:sz w:val="20"/>
                <w:szCs w:val="20"/>
                <w:color w:val="auto"/>
              </w:rPr>
            </w:pPr>
            <w:r>
              <w:rPr>
                <w:rFonts w:ascii="Times New Roman" w:cs="Times New Roman" w:eastAsia="Times New Roman" w:hAnsi="Times New Roman"/>
                <w:sz w:val="20"/>
                <w:szCs w:val="20"/>
                <w:color w:val="auto"/>
              </w:rPr>
              <w:t>Total inventory</w:t>
            </w:r>
          </w:p>
        </w:tc>
        <w:tc>
          <w:tcPr>
            <w:tcW w:w="100" w:type="dxa"/>
            <w:vAlign w:val="bottom"/>
            <w:tcBorders>
              <w:bottom w:val="single" w:sz="8" w:color="DBDBDB"/>
              <w:right w:val="single" w:sz="8" w:color="DBDBDB"/>
            </w:tcBorders>
            <w:shd w:val="clear" w:color="auto" w:fill="DBDBDB"/>
          </w:tcPr>
          <w:p>
            <w:pPr>
              <w:spacing w:after="0"/>
              <w:rPr>
                <w:sz w:val="22"/>
                <w:szCs w:val="22"/>
                <w:color w:val="auto"/>
              </w:rPr>
            </w:pPr>
          </w:p>
        </w:tc>
        <w:tc>
          <w:tcPr>
            <w:tcW w:w="12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60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rPr>
              <w:t>183,105</w:t>
            </w:r>
          </w:p>
        </w:tc>
        <w:tc>
          <w:tcPr>
            <w:tcW w:w="200" w:type="dxa"/>
            <w:vAlign w:val="bottom"/>
            <w:tcBorders>
              <w:bottom w:val="single" w:sz="8" w:color="DBDBDB"/>
            </w:tcBorders>
            <w:shd w:val="clear" w:color="auto" w:fill="DBDBDB"/>
          </w:tcPr>
          <w:p>
            <w:pPr>
              <w:spacing w:after="0"/>
              <w:rPr>
                <w:sz w:val="22"/>
                <w:szCs w:val="22"/>
                <w:color w:val="auto"/>
              </w:rPr>
            </w:pPr>
          </w:p>
        </w:tc>
        <w:tc>
          <w:tcPr>
            <w:tcW w:w="14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highlight w:val="lightGray"/>
                <w:w w:val="99"/>
              </w:rPr>
              <w:t>$</w:t>
            </w:r>
          </w:p>
        </w:tc>
        <w:tc>
          <w:tcPr>
            <w:tcW w:w="1600" w:type="dxa"/>
            <w:vAlign w:val="bottom"/>
            <w:tcBorders>
              <w:bottom w:val="single" w:sz="8" w:color="DBDBDB"/>
            </w:tcBorders>
            <w:shd w:val="clear" w:color="auto" w:fill="DBDBDB"/>
          </w:tcPr>
          <w:p>
            <w:pPr>
              <w:ind w:left="1040"/>
              <w:spacing w:after="0" w:line="220" w:lineRule="exact"/>
              <w:rPr>
                <w:sz w:val="20"/>
                <w:szCs w:val="20"/>
                <w:color w:val="auto"/>
              </w:rPr>
            </w:pPr>
            <w:r>
              <w:rPr>
                <w:rFonts w:ascii="Times New Roman" w:cs="Times New Roman" w:eastAsia="Times New Roman" w:hAnsi="Times New Roman"/>
                <w:sz w:val="20"/>
                <w:szCs w:val="20"/>
                <w:color w:val="auto"/>
                <w:w w:val="98"/>
              </w:rPr>
              <w:t>88,135</w:t>
            </w:r>
          </w:p>
        </w:tc>
      </w:tr>
      <w:tr>
        <w:trPr>
          <w:trHeight w:val="20"/>
        </w:trPr>
        <w:tc>
          <w:tcPr>
            <w:tcW w:w="684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right w:val="single" w:sz="8" w:color="auto"/>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r>
    </w:tbl>
    <w:p>
      <w:pPr>
        <w:spacing w:after="0" w:line="206" w:lineRule="exact"/>
        <w:rPr>
          <w:sz w:val="20"/>
          <w:szCs w:val="20"/>
          <w:color w:val="auto"/>
        </w:rPr>
      </w:pPr>
    </w:p>
    <w:p>
      <w:pPr>
        <w:jc w:val="both"/>
        <w:ind w:firstLine="706"/>
        <w:spacing w:after="0" w:line="250" w:lineRule="auto"/>
        <w:rPr>
          <w:sz w:val="20"/>
          <w:szCs w:val="20"/>
          <w:color w:val="auto"/>
        </w:rPr>
      </w:pPr>
      <w:r>
        <w:rPr>
          <w:rFonts w:ascii="Times New Roman" w:cs="Times New Roman" w:eastAsia="Times New Roman" w:hAnsi="Times New Roman"/>
          <w:sz w:val="20"/>
          <w:szCs w:val="20"/>
          <w:color w:val="auto"/>
        </w:rPr>
        <w:t>For the years 2025, 2024 and 2023, the inventory reserve adjustment expensed for inventory was $7.8 million, $3.4 million and $8.7 million, respectively. For the years December 31, 2025, 2024 and 2023, the direct inventory write-offs related to scrap, discontinued products, and damaged inventories were $9.3 million, $3.7 million and $10.6 million, respectively.</w:t>
      </w:r>
    </w:p>
    <w:p>
      <w:pPr>
        <w:spacing w:after="0" w:line="2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NOTE H—PROPERTY, PLANT AND EQUIPMENT</w:t>
      </w:r>
    </w:p>
    <w:p>
      <w:pPr>
        <w:spacing w:after="0" w:line="22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Property, plant and equipment consisted of the following for the periods indicated (in thousands):</w:t>
      </w:r>
    </w:p>
    <w:p>
      <w:pPr>
        <w:spacing w:after="0" w:line="217"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44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ind w:right="22"/>
              <w:spacing w:after="0"/>
              <w:rPr>
                <w:sz w:val="20"/>
                <w:szCs w:val="20"/>
                <w:color w:val="auto"/>
              </w:rPr>
            </w:pPr>
            <w:r>
              <w:rPr>
                <w:rFonts w:ascii="Times New Roman" w:cs="Times New Roman" w:eastAsia="Times New Roman" w:hAnsi="Times New Roman"/>
                <w:sz w:val="20"/>
                <w:szCs w:val="20"/>
                <w:b w:val="1"/>
                <w:bCs w:val="1"/>
                <w:color w:val="auto"/>
                <w:w w:val="97"/>
              </w:rPr>
              <w:t>December 31,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58"/>
        </w:trPr>
        <w:tc>
          <w:tcPr>
            <w:tcW w:w="4420" w:type="dxa"/>
            <w:vAlign w:val="bottom"/>
            <w:tcBorders>
              <w:bottom w:val="single" w:sz="8" w:color="DBDBDB"/>
            </w:tcBorders>
          </w:tcPr>
          <w:p>
            <w:pPr>
              <w:spacing w:after="0"/>
              <w:rPr>
                <w:sz w:val="22"/>
                <w:szCs w:val="22"/>
                <w:color w:val="auto"/>
              </w:rPr>
            </w:pPr>
          </w:p>
        </w:tc>
        <w:tc>
          <w:tcPr>
            <w:tcW w:w="3080" w:type="dxa"/>
            <w:vAlign w:val="bottom"/>
            <w:tcBorders>
              <w:bottom w:val="single" w:sz="8" w:color="DBDBDB"/>
            </w:tcBorders>
          </w:tcPr>
          <w:p>
            <w:pPr>
              <w:spacing w:after="0"/>
              <w:rPr>
                <w:sz w:val="22"/>
                <w:szCs w:val="22"/>
                <w:color w:val="auto"/>
              </w:rPr>
            </w:pPr>
          </w:p>
        </w:tc>
        <w:tc>
          <w:tcPr>
            <w:tcW w:w="20" w:type="dxa"/>
            <w:vAlign w:val="bottom"/>
            <w:tcBorders>
              <w:bottom w:val="single" w:sz="8" w:color="DBDBDB"/>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20"/>
                <w:szCs w:val="20"/>
                <w:b w:val="1"/>
                <w:bCs w:val="1"/>
                <w:color w:val="auto"/>
              </w:rPr>
              <w:t>2025</w:t>
            </w:r>
          </w:p>
        </w:tc>
        <w:tc>
          <w:tcPr>
            <w:tcW w:w="180" w:type="dxa"/>
            <w:vAlign w:val="bottom"/>
            <w:tcBorders>
              <w:bottom w:val="single" w:sz="8" w:color="DBDBDB"/>
            </w:tcBorders>
          </w:tcPr>
          <w:p>
            <w:pPr>
              <w:spacing w:after="0"/>
              <w:rPr>
                <w:sz w:val="22"/>
                <w:szCs w:val="22"/>
                <w:color w:val="auto"/>
              </w:rPr>
            </w:pPr>
          </w:p>
        </w:tc>
        <w:tc>
          <w:tcPr>
            <w:tcW w:w="20" w:type="dxa"/>
            <w:vAlign w:val="bottom"/>
            <w:tcBorders>
              <w:bottom w:val="single" w:sz="8" w:color="DBDBDB"/>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20"/>
                <w:szCs w:val="20"/>
                <w:b w:val="1"/>
                <w:bCs w:val="1"/>
                <w:color w:val="auto"/>
              </w:rPr>
              <w:t>2024</w:t>
            </w:r>
          </w:p>
        </w:tc>
        <w:tc>
          <w:tcPr>
            <w:tcW w:w="20" w:type="dxa"/>
            <w:vAlign w:val="bottom"/>
            <w:tcBorders>
              <w:bottom w:val="single" w:sz="8" w:color="DBDBDB"/>
            </w:tcBorders>
          </w:tcPr>
          <w:p>
            <w:pPr>
              <w:spacing w:after="0"/>
              <w:rPr>
                <w:sz w:val="22"/>
                <w:szCs w:val="22"/>
                <w:color w:val="auto"/>
              </w:rPr>
            </w:pPr>
          </w:p>
        </w:tc>
      </w:tr>
      <w:tr>
        <w:trPr>
          <w:trHeight w:val="220"/>
        </w:trPr>
        <w:tc>
          <w:tcPr>
            <w:tcW w:w="4420" w:type="dxa"/>
            <w:vAlign w:val="bottom"/>
            <w:tcBorders>
              <w:bottom w:val="single" w:sz="8" w:color="DBDBDB"/>
            </w:tcBorders>
            <w:shd w:val="clear" w:color="auto" w:fill="DBDBDB"/>
          </w:tcPr>
          <w:p>
            <w:pPr>
              <w:spacing w:after="0" w:line="220" w:lineRule="exact"/>
              <w:rPr>
                <w:sz w:val="20"/>
                <w:szCs w:val="20"/>
                <w:color w:val="auto"/>
              </w:rPr>
            </w:pPr>
            <w:r>
              <w:rPr>
                <w:rFonts w:ascii="Times New Roman" w:cs="Times New Roman" w:eastAsia="Times New Roman" w:hAnsi="Times New Roman"/>
                <w:sz w:val="20"/>
                <w:szCs w:val="20"/>
                <w:color w:val="auto"/>
              </w:rPr>
              <w:t>Land improvements</w:t>
            </w:r>
          </w:p>
        </w:tc>
        <w:tc>
          <w:tcPr>
            <w:tcW w:w="3080" w:type="dxa"/>
            <w:vAlign w:val="bottom"/>
            <w:tcBorders>
              <w:bottom w:val="single" w:sz="8" w:color="DBDBDB"/>
            </w:tcBorders>
            <w:shd w:val="clear" w:color="auto" w:fill="DBDBDB"/>
          </w:tcPr>
          <w:p>
            <w:pPr>
              <w:spacing w:after="0"/>
              <w:rPr>
                <w:sz w:val="19"/>
                <w:szCs w:val="19"/>
                <w:color w:val="auto"/>
              </w:rPr>
            </w:pPr>
          </w:p>
        </w:tc>
        <w:tc>
          <w:tcPr>
            <w:tcW w:w="20" w:type="dxa"/>
            <w:vAlign w:val="bottom"/>
            <w:tcBorders>
              <w:bottom w:val="single" w:sz="8" w:color="DBDBDB"/>
            </w:tcBorders>
            <w:shd w:val="clear" w:color="auto" w:fill="DBDBDB"/>
          </w:tcPr>
          <w:p>
            <w:pPr>
              <w:spacing w:after="0"/>
              <w:rPr>
                <w:sz w:val="19"/>
                <w:szCs w:val="19"/>
                <w:color w:val="auto"/>
              </w:rPr>
            </w:pPr>
          </w:p>
        </w:tc>
        <w:tc>
          <w:tcPr>
            <w:tcW w:w="10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28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rPr>
              <w:t>806</w:t>
            </w:r>
          </w:p>
        </w:tc>
        <w:tc>
          <w:tcPr>
            <w:tcW w:w="180" w:type="dxa"/>
            <w:vAlign w:val="bottom"/>
            <w:tcBorders>
              <w:bottom w:val="single" w:sz="8" w:color="DBDBDB"/>
            </w:tcBorders>
            <w:shd w:val="clear" w:color="auto" w:fill="DBDBDB"/>
          </w:tcPr>
          <w:p>
            <w:pPr>
              <w:spacing w:after="0"/>
              <w:rPr>
                <w:sz w:val="19"/>
                <w:szCs w:val="19"/>
                <w:color w:val="auto"/>
              </w:rPr>
            </w:pPr>
          </w:p>
        </w:tc>
        <w:tc>
          <w:tcPr>
            <w:tcW w:w="20" w:type="dxa"/>
            <w:vAlign w:val="bottom"/>
            <w:tcBorders>
              <w:bottom w:val="single" w:sz="8" w:color="DBDBDB"/>
            </w:tcBorders>
            <w:shd w:val="clear" w:color="auto" w:fill="DBDBDB"/>
          </w:tcPr>
          <w:p>
            <w:pPr>
              <w:spacing w:after="0"/>
              <w:rPr>
                <w:sz w:val="19"/>
                <w:szCs w:val="19"/>
                <w:color w:val="auto"/>
              </w:rPr>
            </w:pPr>
          </w:p>
        </w:tc>
        <w:tc>
          <w:tcPr>
            <w:tcW w:w="12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26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rPr>
              <w:t>806</w:t>
            </w:r>
          </w:p>
        </w:tc>
        <w:tc>
          <w:tcPr>
            <w:tcW w:w="20" w:type="dxa"/>
            <w:vAlign w:val="bottom"/>
            <w:tcBorders>
              <w:bottom w:val="single" w:sz="8" w:color="DBDBDB"/>
            </w:tcBorders>
            <w:shd w:val="clear" w:color="auto" w:fill="DBDBDB"/>
          </w:tcPr>
          <w:p>
            <w:pPr>
              <w:spacing w:after="0"/>
              <w:rPr>
                <w:sz w:val="19"/>
                <w:szCs w:val="19"/>
                <w:color w:val="auto"/>
              </w:rPr>
            </w:pPr>
          </w:p>
        </w:tc>
      </w:tr>
      <w:tr>
        <w:trPr>
          <w:trHeight w:val="220"/>
        </w:trPr>
        <w:tc>
          <w:tcPr>
            <w:tcW w:w="4420" w:type="dxa"/>
            <w:vAlign w:val="bottom"/>
            <w:tcBorders>
              <w:bottom w:val="single" w:sz="8" w:color="DBDBDB"/>
            </w:tcBorders>
          </w:tcPr>
          <w:p>
            <w:pPr>
              <w:spacing w:after="0" w:line="220" w:lineRule="exact"/>
              <w:rPr>
                <w:sz w:val="20"/>
                <w:szCs w:val="20"/>
                <w:color w:val="auto"/>
              </w:rPr>
            </w:pPr>
            <w:r>
              <w:rPr>
                <w:rFonts w:ascii="Times New Roman" w:cs="Times New Roman" w:eastAsia="Times New Roman" w:hAnsi="Times New Roman"/>
                <w:sz w:val="20"/>
                <w:szCs w:val="20"/>
                <w:color w:val="auto"/>
              </w:rPr>
              <w:t>Building and improvements</w:t>
            </w:r>
          </w:p>
        </w:tc>
        <w:tc>
          <w:tcPr>
            <w:tcW w:w="3080" w:type="dxa"/>
            <w:vAlign w:val="bottom"/>
            <w:tcBorders>
              <w:bottom w:val="single" w:sz="8" w:color="DBDBDB"/>
            </w:tcBorders>
          </w:tcPr>
          <w:p>
            <w:pPr>
              <w:spacing w:after="0"/>
              <w:rPr>
                <w:sz w:val="19"/>
                <w:szCs w:val="19"/>
                <w:color w:val="auto"/>
              </w:rPr>
            </w:pPr>
          </w:p>
        </w:tc>
        <w:tc>
          <w:tcPr>
            <w:tcW w:w="20" w:type="dxa"/>
            <w:vAlign w:val="bottom"/>
            <w:tcBorders>
              <w:bottom w:val="single" w:sz="8" w:color="DBDBDB"/>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1280" w:type="dxa"/>
            <w:vAlign w:val="bottom"/>
            <w:tcBorders>
              <w:bottom w:val="single" w:sz="8" w:color="DBDBDB"/>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138,163</w:t>
            </w:r>
          </w:p>
        </w:tc>
        <w:tc>
          <w:tcPr>
            <w:tcW w:w="180" w:type="dxa"/>
            <w:vAlign w:val="bottom"/>
            <w:tcBorders>
              <w:bottom w:val="single" w:sz="8" w:color="DBDBDB"/>
            </w:tcBorders>
          </w:tcPr>
          <w:p>
            <w:pPr>
              <w:spacing w:after="0"/>
              <w:rPr>
                <w:sz w:val="19"/>
                <w:szCs w:val="19"/>
                <w:color w:val="auto"/>
              </w:rPr>
            </w:pPr>
          </w:p>
        </w:tc>
        <w:tc>
          <w:tcPr>
            <w:tcW w:w="20" w:type="dxa"/>
            <w:vAlign w:val="bottom"/>
            <w:tcBorders>
              <w:bottom w:val="single" w:sz="8" w:color="DBDBDB"/>
            </w:tcBorders>
          </w:tcPr>
          <w:p>
            <w:pPr>
              <w:spacing w:after="0"/>
              <w:rPr>
                <w:sz w:val="19"/>
                <w:szCs w:val="19"/>
                <w:color w:val="auto"/>
              </w:rPr>
            </w:pPr>
          </w:p>
        </w:tc>
        <w:tc>
          <w:tcPr>
            <w:tcW w:w="120" w:type="dxa"/>
            <w:vAlign w:val="bottom"/>
            <w:tcBorders>
              <w:bottom w:val="single" w:sz="8" w:color="DBDBDB"/>
            </w:tcBorders>
          </w:tcPr>
          <w:p>
            <w:pPr>
              <w:spacing w:after="0"/>
              <w:rPr>
                <w:sz w:val="19"/>
                <w:szCs w:val="19"/>
                <w:color w:val="auto"/>
              </w:rPr>
            </w:pPr>
          </w:p>
        </w:tc>
        <w:tc>
          <w:tcPr>
            <w:tcW w:w="1260" w:type="dxa"/>
            <w:vAlign w:val="bottom"/>
            <w:tcBorders>
              <w:bottom w:val="single" w:sz="8" w:color="DBDBDB"/>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118,648</w:t>
            </w:r>
          </w:p>
        </w:tc>
        <w:tc>
          <w:tcPr>
            <w:tcW w:w="20" w:type="dxa"/>
            <w:vAlign w:val="bottom"/>
            <w:tcBorders>
              <w:bottom w:val="single" w:sz="8" w:color="DBDBDB"/>
            </w:tcBorders>
          </w:tcPr>
          <w:p>
            <w:pPr>
              <w:spacing w:after="0"/>
              <w:rPr>
                <w:sz w:val="19"/>
                <w:szCs w:val="19"/>
                <w:color w:val="auto"/>
              </w:rPr>
            </w:pPr>
          </w:p>
        </w:tc>
      </w:tr>
      <w:tr>
        <w:trPr>
          <w:trHeight w:val="211"/>
        </w:trPr>
        <w:tc>
          <w:tcPr>
            <w:tcW w:w="4420" w:type="dxa"/>
            <w:vAlign w:val="bottom"/>
            <w:tcBorders>
              <w:bottom w:val="single" w:sz="8" w:color="DBDBDB"/>
            </w:tcBorders>
            <w:shd w:val="clear" w:color="auto" w:fill="DBDBDB"/>
          </w:tcPr>
          <w:p>
            <w:pPr>
              <w:spacing w:after="0" w:line="210" w:lineRule="exact"/>
              <w:rPr>
                <w:sz w:val="20"/>
                <w:szCs w:val="20"/>
                <w:color w:val="auto"/>
              </w:rPr>
            </w:pPr>
            <w:r>
              <w:rPr>
                <w:rFonts w:ascii="Times New Roman" w:cs="Times New Roman" w:eastAsia="Times New Roman" w:hAnsi="Times New Roman"/>
                <w:sz w:val="20"/>
                <w:szCs w:val="20"/>
                <w:color w:val="auto"/>
              </w:rPr>
              <w:t>Machinery and equipment</w:t>
            </w:r>
          </w:p>
        </w:tc>
        <w:tc>
          <w:tcPr>
            <w:tcW w:w="3080" w:type="dxa"/>
            <w:vAlign w:val="bottom"/>
            <w:tcBorders>
              <w:bottom w:val="single" w:sz="8" w:color="DBDBDB"/>
            </w:tcBorders>
            <w:shd w:val="clear" w:color="auto" w:fill="DBDBDB"/>
          </w:tcPr>
          <w:p>
            <w:pPr>
              <w:spacing w:after="0"/>
              <w:rPr>
                <w:sz w:val="18"/>
                <w:szCs w:val="18"/>
                <w:color w:val="auto"/>
              </w:rPr>
            </w:pPr>
          </w:p>
        </w:tc>
        <w:tc>
          <w:tcPr>
            <w:tcW w:w="2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1280" w:type="dxa"/>
            <w:vAlign w:val="bottom"/>
            <w:tcBorders>
              <w:bottom w:val="single" w:sz="8" w:color="DBDBDB"/>
            </w:tcBorders>
            <w:shd w:val="clear" w:color="auto" w:fill="DBDBDB"/>
          </w:tcPr>
          <w:p>
            <w:pPr>
              <w:jc w:val="right"/>
              <w:spacing w:after="0" w:line="210" w:lineRule="exact"/>
              <w:rPr>
                <w:sz w:val="20"/>
                <w:szCs w:val="20"/>
                <w:color w:val="auto"/>
              </w:rPr>
            </w:pPr>
            <w:r>
              <w:rPr>
                <w:rFonts w:ascii="Times New Roman" w:cs="Times New Roman" w:eastAsia="Times New Roman" w:hAnsi="Times New Roman"/>
                <w:sz w:val="20"/>
                <w:szCs w:val="20"/>
                <w:color w:val="auto"/>
              </w:rPr>
              <w:t>404,145</w:t>
            </w:r>
          </w:p>
        </w:tc>
        <w:tc>
          <w:tcPr>
            <w:tcW w:w="180" w:type="dxa"/>
            <w:vAlign w:val="bottom"/>
            <w:tcBorders>
              <w:bottom w:val="single" w:sz="8" w:color="DBDBDB"/>
            </w:tcBorders>
            <w:shd w:val="clear" w:color="auto" w:fill="DBDBDB"/>
          </w:tcPr>
          <w:p>
            <w:pPr>
              <w:spacing w:after="0"/>
              <w:rPr>
                <w:sz w:val="18"/>
                <w:szCs w:val="18"/>
                <w:color w:val="auto"/>
              </w:rPr>
            </w:pPr>
          </w:p>
        </w:tc>
        <w:tc>
          <w:tcPr>
            <w:tcW w:w="2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1260" w:type="dxa"/>
            <w:vAlign w:val="bottom"/>
            <w:tcBorders>
              <w:bottom w:val="single" w:sz="8" w:color="DBDBDB"/>
            </w:tcBorders>
            <w:shd w:val="clear" w:color="auto" w:fill="DBDBDB"/>
          </w:tcPr>
          <w:p>
            <w:pPr>
              <w:jc w:val="right"/>
              <w:spacing w:after="0" w:line="210" w:lineRule="exact"/>
              <w:rPr>
                <w:sz w:val="20"/>
                <w:szCs w:val="20"/>
                <w:color w:val="auto"/>
              </w:rPr>
            </w:pPr>
            <w:r>
              <w:rPr>
                <w:rFonts w:ascii="Times New Roman" w:cs="Times New Roman" w:eastAsia="Times New Roman" w:hAnsi="Times New Roman"/>
                <w:sz w:val="20"/>
                <w:szCs w:val="20"/>
                <w:color w:val="auto"/>
              </w:rPr>
              <w:t>275,617</w:t>
            </w:r>
          </w:p>
        </w:tc>
        <w:tc>
          <w:tcPr>
            <w:tcW w:w="20" w:type="dxa"/>
            <w:vAlign w:val="bottom"/>
            <w:tcBorders>
              <w:bottom w:val="single" w:sz="8" w:color="DBDBDB"/>
            </w:tcBorders>
            <w:shd w:val="clear" w:color="auto" w:fill="DBDBDB"/>
          </w:tcPr>
          <w:p>
            <w:pPr>
              <w:spacing w:after="0"/>
              <w:rPr>
                <w:sz w:val="18"/>
                <w:szCs w:val="18"/>
                <w:color w:val="auto"/>
              </w:rPr>
            </w:pPr>
          </w:p>
        </w:tc>
      </w:tr>
      <w:tr>
        <w:trPr>
          <w:trHeight w:val="220"/>
        </w:trPr>
        <w:tc>
          <w:tcPr>
            <w:tcW w:w="4420" w:type="dxa"/>
            <w:vAlign w:val="bottom"/>
            <w:tcBorders>
              <w:bottom w:val="single" w:sz="8" w:color="DBDBDB"/>
            </w:tcBorders>
          </w:tcPr>
          <w:p>
            <w:pPr>
              <w:spacing w:after="0" w:line="220" w:lineRule="exact"/>
              <w:rPr>
                <w:sz w:val="20"/>
                <w:szCs w:val="20"/>
                <w:color w:val="auto"/>
              </w:rPr>
            </w:pPr>
            <w:r>
              <w:rPr>
                <w:rFonts w:ascii="Times New Roman" w:cs="Times New Roman" w:eastAsia="Times New Roman" w:hAnsi="Times New Roman"/>
                <w:sz w:val="20"/>
                <w:szCs w:val="20"/>
                <w:color w:val="auto"/>
              </w:rPr>
              <w:t>Furniture and fixtures</w:t>
            </w:r>
          </w:p>
        </w:tc>
        <w:tc>
          <w:tcPr>
            <w:tcW w:w="3080" w:type="dxa"/>
            <w:vAlign w:val="bottom"/>
            <w:tcBorders>
              <w:bottom w:val="single" w:sz="8" w:color="DBDBDB"/>
            </w:tcBorders>
          </w:tcPr>
          <w:p>
            <w:pPr>
              <w:spacing w:after="0"/>
              <w:rPr>
                <w:sz w:val="19"/>
                <w:szCs w:val="19"/>
                <w:color w:val="auto"/>
              </w:rPr>
            </w:pPr>
          </w:p>
        </w:tc>
        <w:tc>
          <w:tcPr>
            <w:tcW w:w="20" w:type="dxa"/>
            <w:vAlign w:val="bottom"/>
            <w:tcBorders>
              <w:bottom w:val="single" w:sz="8" w:color="DBDBDB"/>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1280" w:type="dxa"/>
            <w:vAlign w:val="bottom"/>
            <w:tcBorders>
              <w:bottom w:val="single" w:sz="8" w:color="DBDBDB"/>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6,974</w:t>
            </w:r>
          </w:p>
        </w:tc>
        <w:tc>
          <w:tcPr>
            <w:tcW w:w="180" w:type="dxa"/>
            <w:vAlign w:val="bottom"/>
            <w:tcBorders>
              <w:bottom w:val="single" w:sz="8" w:color="DBDBDB"/>
            </w:tcBorders>
          </w:tcPr>
          <w:p>
            <w:pPr>
              <w:spacing w:after="0"/>
              <w:rPr>
                <w:sz w:val="19"/>
                <w:szCs w:val="19"/>
                <w:color w:val="auto"/>
              </w:rPr>
            </w:pPr>
          </w:p>
        </w:tc>
        <w:tc>
          <w:tcPr>
            <w:tcW w:w="20" w:type="dxa"/>
            <w:vAlign w:val="bottom"/>
            <w:tcBorders>
              <w:bottom w:val="single" w:sz="8" w:color="DBDBDB"/>
            </w:tcBorders>
          </w:tcPr>
          <w:p>
            <w:pPr>
              <w:spacing w:after="0"/>
              <w:rPr>
                <w:sz w:val="19"/>
                <w:szCs w:val="19"/>
                <w:color w:val="auto"/>
              </w:rPr>
            </w:pPr>
          </w:p>
        </w:tc>
        <w:tc>
          <w:tcPr>
            <w:tcW w:w="120" w:type="dxa"/>
            <w:vAlign w:val="bottom"/>
            <w:tcBorders>
              <w:bottom w:val="single" w:sz="8" w:color="DBDBDB"/>
            </w:tcBorders>
          </w:tcPr>
          <w:p>
            <w:pPr>
              <w:spacing w:after="0"/>
              <w:rPr>
                <w:sz w:val="19"/>
                <w:szCs w:val="19"/>
                <w:color w:val="auto"/>
              </w:rPr>
            </w:pPr>
          </w:p>
        </w:tc>
        <w:tc>
          <w:tcPr>
            <w:tcW w:w="1260" w:type="dxa"/>
            <w:vAlign w:val="bottom"/>
            <w:tcBorders>
              <w:bottom w:val="single" w:sz="8" w:color="DBDBDB"/>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5,150</w:t>
            </w:r>
          </w:p>
        </w:tc>
        <w:tc>
          <w:tcPr>
            <w:tcW w:w="20" w:type="dxa"/>
            <w:vAlign w:val="bottom"/>
            <w:tcBorders>
              <w:bottom w:val="single" w:sz="8" w:color="DBDBDB"/>
            </w:tcBorders>
          </w:tcPr>
          <w:p>
            <w:pPr>
              <w:spacing w:after="0"/>
              <w:rPr>
                <w:sz w:val="19"/>
                <w:szCs w:val="19"/>
                <w:color w:val="auto"/>
              </w:rPr>
            </w:pPr>
          </w:p>
        </w:tc>
      </w:tr>
      <w:tr>
        <w:trPr>
          <w:trHeight w:val="211"/>
        </w:trPr>
        <w:tc>
          <w:tcPr>
            <w:tcW w:w="4420" w:type="dxa"/>
            <w:vAlign w:val="bottom"/>
            <w:tcBorders>
              <w:bottom w:val="single" w:sz="8" w:color="DBDBDB"/>
            </w:tcBorders>
            <w:shd w:val="clear" w:color="auto" w:fill="DBDBDB"/>
          </w:tcPr>
          <w:p>
            <w:pPr>
              <w:spacing w:after="0" w:line="210" w:lineRule="exact"/>
              <w:rPr>
                <w:sz w:val="20"/>
                <w:szCs w:val="20"/>
                <w:color w:val="auto"/>
              </w:rPr>
            </w:pPr>
            <w:r>
              <w:rPr>
                <w:rFonts w:ascii="Times New Roman" w:cs="Times New Roman" w:eastAsia="Times New Roman" w:hAnsi="Times New Roman"/>
                <w:sz w:val="20"/>
                <w:szCs w:val="20"/>
                <w:color w:val="auto"/>
              </w:rPr>
              <w:t>Computer equipment and software</w:t>
            </w:r>
          </w:p>
        </w:tc>
        <w:tc>
          <w:tcPr>
            <w:tcW w:w="3080" w:type="dxa"/>
            <w:vAlign w:val="bottom"/>
            <w:tcBorders>
              <w:bottom w:val="single" w:sz="8" w:color="DBDBDB"/>
            </w:tcBorders>
            <w:shd w:val="clear" w:color="auto" w:fill="DBDBDB"/>
          </w:tcPr>
          <w:p>
            <w:pPr>
              <w:spacing w:after="0"/>
              <w:rPr>
                <w:sz w:val="18"/>
                <w:szCs w:val="18"/>
                <w:color w:val="auto"/>
              </w:rPr>
            </w:pPr>
          </w:p>
        </w:tc>
        <w:tc>
          <w:tcPr>
            <w:tcW w:w="2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1280" w:type="dxa"/>
            <w:vAlign w:val="bottom"/>
            <w:tcBorders>
              <w:bottom w:val="single" w:sz="8" w:color="DBDBDB"/>
            </w:tcBorders>
            <w:shd w:val="clear" w:color="auto" w:fill="DBDBDB"/>
          </w:tcPr>
          <w:p>
            <w:pPr>
              <w:jc w:val="right"/>
              <w:spacing w:after="0" w:line="210" w:lineRule="exact"/>
              <w:rPr>
                <w:sz w:val="20"/>
                <w:szCs w:val="20"/>
                <w:color w:val="auto"/>
              </w:rPr>
            </w:pPr>
            <w:r>
              <w:rPr>
                <w:rFonts w:ascii="Times New Roman" w:cs="Times New Roman" w:eastAsia="Times New Roman" w:hAnsi="Times New Roman"/>
                <w:sz w:val="20"/>
                <w:szCs w:val="20"/>
                <w:color w:val="auto"/>
              </w:rPr>
              <w:t>17,180</w:t>
            </w:r>
          </w:p>
        </w:tc>
        <w:tc>
          <w:tcPr>
            <w:tcW w:w="180" w:type="dxa"/>
            <w:vAlign w:val="bottom"/>
            <w:tcBorders>
              <w:bottom w:val="single" w:sz="8" w:color="DBDBDB"/>
            </w:tcBorders>
            <w:shd w:val="clear" w:color="auto" w:fill="DBDBDB"/>
          </w:tcPr>
          <w:p>
            <w:pPr>
              <w:spacing w:after="0"/>
              <w:rPr>
                <w:sz w:val="18"/>
                <w:szCs w:val="18"/>
                <w:color w:val="auto"/>
              </w:rPr>
            </w:pPr>
          </w:p>
        </w:tc>
        <w:tc>
          <w:tcPr>
            <w:tcW w:w="2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1260" w:type="dxa"/>
            <w:vAlign w:val="bottom"/>
            <w:tcBorders>
              <w:bottom w:val="single" w:sz="8" w:color="DBDBDB"/>
            </w:tcBorders>
            <w:shd w:val="clear" w:color="auto" w:fill="DBDBDB"/>
          </w:tcPr>
          <w:p>
            <w:pPr>
              <w:jc w:val="right"/>
              <w:spacing w:after="0" w:line="210" w:lineRule="exact"/>
              <w:rPr>
                <w:sz w:val="20"/>
                <w:szCs w:val="20"/>
                <w:color w:val="auto"/>
              </w:rPr>
            </w:pPr>
            <w:r>
              <w:rPr>
                <w:rFonts w:ascii="Times New Roman" w:cs="Times New Roman" w:eastAsia="Times New Roman" w:hAnsi="Times New Roman"/>
                <w:sz w:val="20"/>
                <w:szCs w:val="20"/>
                <w:color w:val="auto"/>
              </w:rPr>
              <w:t>13,369</w:t>
            </w:r>
          </w:p>
        </w:tc>
        <w:tc>
          <w:tcPr>
            <w:tcW w:w="20" w:type="dxa"/>
            <w:vAlign w:val="bottom"/>
            <w:tcBorders>
              <w:bottom w:val="single" w:sz="8" w:color="DBDBDB"/>
            </w:tcBorders>
            <w:shd w:val="clear" w:color="auto" w:fill="DBDBDB"/>
          </w:tcPr>
          <w:p>
            <w:pPr>
              <w:spacing w:after="0"/>
              <w:rPr>
                <w:sz w:val="18"/>
                <w:szCs w:val="18"/>
                <w:color w:val="auto"/>
              </w:rPr>
            </w:pPr>
          </w:p>
        </w:tc>
      </w:tr>
      <w:tr>
        <w:trPr>
          <w:trHeight w:val="222"/>
        </w:trPr>
        <w:tc>
          <w:tcPr>
            <w:tcW w:w="4420" w:type="dxa"/>
            <w:vAlign w:val="bottom"/>
            <w:tcBorders>
              <w:bottom w:val="single" w:sz="8" w:color="DBDBDB"/>
            </w:tcBorders>
          </w:tcPr>
          <w:p>
            <w:pPr>
              <w:spacing w:after="0" w:line="222" w:lineRule="exact"/>
              <w:rPr>
                <w:sz w:val="20"/>
                <w:szCs w:val="20"/>
                <w:color w:val="auto"/>
              </w:rPr>
            </w:pPr>
            <w:r>
              <w:rPr>
                <w:rFonts w:ascii="Times New Roman" w:cs="Times New Roman" w:eastAsia="Times New Roman" w:hAnsi="Times New Roman"/>
                <w:sz w:val="20"/>
                <w:szCs w:val="20"/>
                <w:color w:val="auto"/>
              </w:rPr>
              <w:t>Transportation equipment</w:t>
            </w:r>
          </w:p>
        </w:tc>
        <w:tc>
          <w:tcPr>
            <w:tcW w:w="3080" w:type="dxa"/>
            <w:vAlign w:val="bottom"/>
            <w:tcBorders>
              <w:bottom w:val="single" w:sz="8" w:color="DBDBDB"/>
            </w:tcBorders>
          </w:tcPr>
          <w:p>
            <w:pPr>
              <w:spacing w:after="0"/>
              <w:rPr>
                <w:sz w:val="19"/>
                <w:szCs w:val="19"/>
                <w:color w:val="auto"/>
              </w:rPr>
            </w:pPr>
          </w:p>
        </w:tc>
        <w:tc>
          <w:tcPr>
            <w:tcW w:w="20" w:type="dxa"/>
            <w:vAlign w:val="bottom"/>
            <w:tcBorders>
              <w:bottom w:val="single" w:sz="8" w:color="DBDBDB"/>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line="222" w:lineRule="exact"/>
              <w:rPr>
                <w:sz w:val="20"/>
                <w:szCs w:val="20"/>
                <w:color w:val="auto"/>
              </w:rPr>
            </w:pPr>
            <w:r>
              <w:rPr>
                <w:rFonts w:ascii="Times New Roman" w:cs="Times New Roman" w:eastAsia="Times New Roman" w:hAnsi="Times New Roman"/>
                <w:sz w:val="20"/>
                <w:szCs w:val="20"/>
                <w:color w:val="auto"/>
              </w:rPr>
              <w:t>786</w:t>
            </w:r>
          </w:p>
        </w:tc>
        <w:tc>
          <w:tcPr>
            <w:tcW w:w="180" w:type="dxa"/>
            <w:vAlign w:val="bottom"/>
            <w:tcBorders>
              <w:bottom w:val="single" w:sz="8" w:color="DBDBDB"/>
            </w:tcBorders>
          </w:tcPr>
          <w:p>
            <w:pPr>
              <w:spacing w:after="0"/>
              <w:rPr>
                <w:sz w:val="19"/>
                <w:szCs w:val="19"/>
                <w:color w:val="auto"/>
              </w:rPr>
            </w:pPr>
          </w:p>
        </w:tc>
        <w:tc>
          <w:tcPr>
            <w:tcW w:w="20" w:type="dxa"/>
            <w:vAlign w:val="bottom"/>
            <w:tcBorders>
              <w:bottom w:val="single" w:sz="8" w:color="DBDBD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line="222" w:lineRule="exact"/>
              <w:rPr>
                <w:sz w:val="20"/>
                <w:szCs w:val="20"/>
                <w:color w:val="auto"/>
              </w:rPr>
            </w:pPr>
            <w:r>
              <w:rPr>
                <w:rFonts w:ascii="Times New Roman" w:cs="Times New Roman" w:eastAsia="Times New Roman" w:hAnsi="Times New Roman"/>
                <w:sz w:val="20"/>
                <w:szCs w:val="20"/>
                <w:color w:val="auto"/>
              </w:rPr>
              <w:t>647</w:t>
            </w:r>
          </w:p>
        </w:tc>
        <w:tc>
          <w:tcPr>
            <w:tcW w:w="20" w:type="dxa"/>
            <w:vAlign w:val="bottom"/>
            <w:tcBorders>
              <w:bottom w:val="single" w:sz="8" w:color="DBDBDB"/>
            </w:tcBorders>
          </w:tcPr>
          <w:p>
            <w:pPr>
              <w:spacing w:after="0"/>
              <w:rPr>
                <w:sz w:val="19"/>
                <w:szCs w:val="19"/>
                <w:color w:val="auto"/>
              </w:rPr>
            </w:pPr>
          </w:p>
        </w:tc>
      </w:tr>
      <w:tr>
        <w:trPr>
          <w:trHeight w:val="220"/>
        </w:trPr>
        <w:tc>
          <w:tcPr>
            <w:tcW w:w="4420" w:type="dxa"/>
            <w:vAlign w:val="bottom"/>
            <w:tcBorders>
              <w:bottom w:val="single" w:sz="8" w:color="DBDBDB"/>
            </w:tcBorders>
            <w:shd w:val="clear" w:color="auto" w:fill="DBDBDB"/>
          </w:tcPr>
          <w:p>
            <w:pPr>
              <w:spacing w:after="0"/>
              <w:rPr>
                <w:sz w:val="19"/>
                <w:szCs w:val="19"/>
                <w:color w:val="auto"/>
              </w:rPr>
            </w:pPr>
          </w:p>
        </w:tc>
        <w:tc>
          <w:tcPr>
            <w:tcW w:w="3080" w:type="dxa"/>
            <w:vAlign w:val="bottom"/>
            <w:tcBorders>
              <w:bottom w:val="single" w:sz="8" w:color="DBDBDB"/>
            </w:tcBorders>
            <w:shd w:val="clear" w:color="auto" w:fill="DBDBDB"/>
          </w:tcPr>
          <w:p>
            <w:pPr>
              <w:spacing w:after="0"/>
              <w:rPr>
                <w:sz w:val="19"/>
                <w:szCs w:val="19"/>
                <w:color w:val="auto"/>
              </w:rPr>
            </w:pPr>
          </w:p>
        </w:tc>
        <w:tc>
          <w:tcPr>
            <w:tcW w:w="20" w:type="dxa"/>
            <w:vAlign w:val="bottom"/>
            <w:tcBorders>
              <w:bottom w:val="single" w:sz="8" w:color="DBDBDB"/>
            </w:tcBorders>
            <w:shd w:val="clear" w:color="auto" w:fill="DBDBDB"/>
          </w:tcPr>
          <w:p>
            <w:pPr>
              <w:spacing w:after="0"/>
              <w:rPr>
                <w:sz w:val="19"/>
                <w:szCs w:val="19"/>
                <w:color w:val="auto"/>
              </w:rPr>
            </w:pPr>
          </w:p>
        </w:tc>
        <w:tc>
          <w:tcPr>
            <w:tcW w:w="100" w:type="dxa"/>
            <w:vAlign w:val="bottom"/>
            <w:tcBorders>
              <w:bottom w:val="single" w:sz="8" w:color="DBDBDB"/>
            </w:tcBorders>
            <w:shd w:val="clear" w:color="auto" w:fill="DBDBDB"/>
          </w:tcPr>
          <w:p>
            <w:pPr>
              <w:spacing w:after="0"/>
              <w:rPr>
                <w:sz w:val="19"/>
                <w:szCs w:val="19"/>
                <w:color w:val="auto"/>
              </w:rPr>
            </w:pPr>
          </w:p>
        </w:tc>
        <w:tc>
          <w:tcPr>
            <w:tcW w:w="128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rPr>
              <w:t>568,054</w:t>
            </w:r>
          </w:p>
        </w:tc>
        <w:tc>
          <w:tcPr>
            <w:tcW w:w="180" w:type="dxa"/>
            <w:vAlign w:val="bottom"/>
            <w:tcBorders>
              <w:bottom w:val="single" w:sz="8" w:color="DBDBDB"/>
            </w:tcBorders>
            <w:shd w:val="clear" w:color="auto" w:fill="DBDBDB"/>
          </w:tcPr>
          <w:p>
            <w:pPr>
              <w:spacing w:after="0"/>
              <w:rPr>
                <w:sz w:val="19"/>
                <w:szCs w:val="19"/>
                <w:color w:val="auto"/>
              </w:rPr>
            </w:pPr>
          </w:p>
        </w:tc>
        <w:tc>
          <w:tcPr>
            <w:tcW w:w="20" w:type="dxa"/>
            <w:vAlign w:val="bottom"/>
            <w:tcBorders>
              <w:bottom w:val="single" w:sz="8" w:color="DBDBDB"/>
            </w:tcBorders>
            <w:shd w:val="clear" w:color="auto" w:fill="DBDBDB"/>
          </w:tcPr>
          <w:p>
            <w:pPr>
              <w:spacing w:after="0"/>
              <w:rPr>
                <w:sz w:val="19"/>
                <w:szCs w:val="19"/>
                <w:color w:val="auto"/>
              </w:rPr>
            </w:pPr>
          </w:p>
        </w:tc>
        <w:tc>
          <w:tcPr>
            <w:tcW w:w="120" w:type="dxa"/>
            <w:vAlign w:val="bottom"/>
            <w:tcBorders>
              <w:bottom w:val="single" w:sz="8" w:color="DBDBDB"/>
            </w:tcBorders>
            <w:shd w:val="clear" w:color="auto" w:fill="DBDBDB"/>
          </w:tcPr>
          <w:p>
            <w:pPr>
              <w:spacing w:after="0"/>
              <w:rPr>
                <w:sz w:val="19"/>
                <w:szCs w:val="19"/>
                <w:color w:val="auto"/>
              </w:rPr>
            </w:pPr>
          </w:p>
        </w:tc>
        <w:tc>
          <w:tcPr>
            <w:tcW w:w="126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rPr>
              <w:t>414,237</w:t>
            </w:r>
          </w:p>
        </w:tc>
        <w:tc>
          <w:tcPr>
            <w:tcW w:w="20" w:type="dxa"/>
            <w:vAlign w:val="bottom"/>
            <w:tcBorders>
              <w:bottom w:val="single" w:sz="8" w:color="DBDBDB"/>
            </w:tcBorders>
            <w:shd w:val="clear" w:color="auto" w:fill="DBDBDB"/>
          </w:tcPr>
          <w:p>
            <w:pPr>
              <w:spacing w:after="0"/>
              <w:rPr>
                <w:sz w:val="19"/>
                <w:szCs w:val="19"/>
                <w:color w:val="auto"/>
              </w:rPr>
            </w:pPr>
          </w:p>
        </w:tc>
      </w:tr>
      <w:tr>
        <w:trPr>
          <w:trHeight w:val="222"/>
        </w:trPr>
        <w:tc>
          <w:tcPr>
            <w:tcW w:w="4420" w:type="dxa"/>
            <w:vAlign w:val="bottom"/>
            <w:tcBorders>
              <w:bottom w:val="single" w:sz="8" w:color="DBDBDB"/>
            </w:tcBorders>
          </w:tcPr>
          <w:p>
            <w:pPr>
              <w:spacing w:after="0" w:line="222" w:lineRule="exact"/>
              <w:rPr>
                <w:sz w:val="20"/>
                <w:szCs w:val="20"/>
                <w:color w:val="auto"/>
              </w:rPr>
            </w:pPr>
            <w:r>
              <w:rPr>
                <w:rFonts w:ascii="Times New Roman" w:cs="Times New Roman" w:eastAsia="Times New Roman" w:hAnsi="Times New Roman"/>
                <w:sz w:val="20"/>
                <w:szCs w:val="20"/>
                <w:color w:val="auto"/>
              </w:rPr>
              <w:t>Less accumulated depreciation and amortization</w:t>
            </w:r>
          </w:p>
        </w:tc>
        <w:tc>
          <w:tcPr>
            <w:tcW w:w="3080" w:type="dxa"/>
            <w:vAlign w:val="bottom"/>
            <w:tcBorders>
              <w:bottom w:val="single" w:sz="8" w:color="DBDBDB"/>
            </w:tcBorders>
          </w:tcPr>
          <w:p>
            <w:pPr>
              <w:spacing w:after="0"/>
              <w:rPr>
                <w:sz w:val="19"/>
                <w:szCs w:val="19"/>
                <w:color w:val="auto"/>
              </w:rPr>
            </w:pPr>
          </w:p>
        </w:tc>
        <w:tc>
          <w:tcPr>
            <w:tcW w:w="20" w:type="dxa"/>
            <w:vAlign w:val="bottom"/>
            <w:tcBorders>
              <w:bottom w:val="single" w:sz="8" w:color="DBDBDB"/>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line="222" w:lineRule="exact"/>
              <w:rPr>
                <w:sz w:val="20"/>
                <w:szCs w:val="20"/>
                <w:color w:val="auto"/>
              </w:rPr>
            </w:pPr>
            <w:r>
              <w:rPr>
                <w:rFonts w:ascii="Times New Roman" w:cs="Times New Roman" w:eastAsia="Times New Roman" w:hAnsi="Times New Roman"/>
                <w:sz w:val="20"/>
                <w:szCs w:val="20"/>
                <w:color w:val="auto"/>
              </w:rPr>
              <w:t>(232,913)</w:t>
            </w:r>
          </w:p>
        </w:tc>
        <w:tc>
          <w:tcPr>
            <w:tcW w:w="180" w:type="dxa"/>
            <w:vAlign w:val="bottom"/>
            <w:tcBorders>
              <w:bottom w:val="single" w:sz="8" w:color="DBDBDB"/>
            </w:tcBorders>
          </w:tcPr>
          <w:p>
            <w:pPr>
              <w:spacing w:after="0"/>
              <w:rPr>
                <w:sz w:val="19"/>
                <w:szCs w:val="19"/>
                <w:color w:val="auto"/>
              </w:rPr>
            </w:pPr>
          </w:p>
        </w:tc>
        <w:tc>
          <w:tcPr>
            <w:tcW w:w="20" w:type="dxa"/>
            <w:vAlign w:val="bottom"/>
            <w:tcBorders>
              <w:bottom w:val="single" w:sz="8" w:color="DBDBD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line="222" w:lineRule="exact"/>
              <w:rPr>
                <w:sz w:val="20"/>
                <w:szCs w:val="20"/>
                <w:color w:val="auto"/>
              </w:rPr>
            </w:pPr>
            <w:r>
              <w:rPr>
                <w:rFonts w:ascii="Times New Roman" w:cs="Times New Roman" w:eastAsia="Times New Roman" w:hAnsi="Times New Roman"/>
                <w:sz w:val="20"/>
                <w:szCs w:val="20"/>
                <w:color w:val="auto"/>
              </w:rPr>
              <w:t>(204,500)</w:t>
            </w:r>
          </w:p>
        </w:tc>
        <w:tc>
          <w:tcPr>
            <w:tcW w:w="20" w:type="dxa"/>
            <w:vAlign w:val="bottom"/>
            <w:tcBorders>
              <w:bottom w:val="single" w:sz="8" w:color="DBDBDB"/>
            </w:tcBorders>
          </w:tcPr>
          <w:p>
            <w:pPr>
              <w:spacing w:after="0"/>
              <w:rPr>
                <w:sz w:val="19"/>
                <w:szCs w:val="19"/>
                <w:color w:val="auto"/>
              </w:rPr>
            </w:pPr>
          </w:p>
        </w:tc>
      </w:tr>
      <w:tr>
        <w:trPr>
          <w:trHeight w:val="221"/>
        </w:trPr>
        <w:tc>
          <w:tcPr>
            <w:tcW w:w="4420" w:type="dxa"/>
            <w:vAlign w:val="bottom"/>
            <w:tcBorders>
              <w:bottom w:val="single" w:sz="8" w:color="DBDBDB"/>
            </w:tcBorders>
            <w:shd w:val="clear" w:color="auto" w:fill="DBDBDB"/>
          </w:tcPr>
          <w:p>
            <w:pPr>
              <w:spacing w:after="0"/>
              <w:rPr>
                <w:sz w:val="19"/>
                <w:szCs w:val="19"/>
                <w:color w:val="auto"/>
              </w:rPr>
            </w:pPr>
          </w:p>
        </w:tc>
        <w:tc>
          <w:tcPr>
            <w:tcW w:w="3080" w:type="dxa"/>
            <w:vAlign w:val="bottom"/>
            <w:tcBorders>
              <w:bottom w:val="single" w:sz="8" w:color="DBDBDB"/>
            </w:tcBorders>
            <w:shd w:val="clear" w:color="auto" w:fill="DBDBDB"/>
          </w:tcPr>
          <w:p>
            <w:pPr>
              <w:spacing w:after="0"/>
              <w:rPr>
                <w:sz w:val="19"/>
                <w:szCs w:val="19"/>
                <w:color w:val="auto"/>
              </w:rPr>
            </w:pPr>
          </w:p>
        </w:tc>
        <w:tc>
          <w:tcPr>
            <w:tcW w:w="20" w:type="dxa"/>
            <w:vAlign w:val="bottom"/>
            <w:tcBorders>
              <w:bottom w:val="single" w:sz="8" w:color="DBDBDB"/>
            </w:tcBorders>
            <w:shd w:val="clear" w:color="auto" w:fill="DBDBDB"/>
          </w:tcPr>
          <w:p>
            <w:pPr>
              <w:spacing w:after="0"/>
              <w:rPr>
                <w:sz w:val="19"/>
                <w:szCs w:val="19"/>
                <w:color w:val="auto"/>
              </w:rPr>
            </w:pPr>
          </w:p>
        </w:tc>
        <w:tc>
          <w:tcPr>
            <w:tcW w:w="100" w:type="dxa"/>
            <w:vAlign w:val="bottom"/>
            <w:tcBorders>
              <w:bottom w:val="single" w:sz="8" w:color="DBDBDB"/>
            </w:tcBorders>
            <w:shd w:val="clear" w:color="auto" w:fill="DBDBDB"/>
          </w:tcPr>
          <w:p>
            <w:pPr>
              <w:spacing w:after="0"/>
              <w:rPr>
                <w:sz w:val="19"/>
                <w:szCs w:val="19"/>
                <w:color w:val="auto"/>
              </w:rPr>
            </w:pPr>
          </w:p>
        </w:tc>
        <w:tc>
          <w:tcPr>
            <w:tcW w:w="1280" w:type="dxa"/>
            <w:vAlign w:val="bottom"/>
            <w:tcBorders>
              <w:bottom w:val="single" w:sz="8" w:color="DBDBDB"/>
            </w:tcBorders>
            <w:shd w:val="clear" w:color="auto" w:fill="DBDBDB"/>
          </w:tcPr>
          <w:p>
            <w:pPr>
              <w:jc w:val="right"/>
              <w:spacing w:after="0" w:line="221" w:lineRule="exact"/>
              <w:rPr>
                <w:sz w:val="20"/>
                <w:szCs w:val="20"/>
                <w:color w:val="auto"/>
              </w:rPr>
            </w:pPr>
            <w:r>
              <w:rPr>
                <w:rFonts w:ascii="Times New Roman" w:cs="Times New Roman" w:eastAsia="Times New Roman" w:hAnsi="Times New Roman"/>
                <w:sz w:val="20"/>
                <w:szCs w:val="20"/>
                <w:color w:val="auto"/>
              </w:rPr>
              <w:t>335,141</w:t>
            </w:r>
          </w:p>
        </w:tc>
        <w:tc>
          <w:tcPr>
            <w:tcW w:w="180" w:type="dxa"/>
            <w:vAlign w:val="bottom"/>
            <w:tcBorders>
              <w:bottom w:val="single" w:sz="8" w:color="DBDBDB"/>
            </w:tcBorders>
            <w:shd w:val="clear" w:color="auto" w:fill="DBDBDB"/>
          </w:tcPr>
          <w:p>
            <w:pPr>
              <w:spacing w:after="0"/>
              <w:rPr>
                <w:sz w:val="19"/>
                <w:szCs w:val="19"/>
                <w:color w:val="auto"/>
              </w:rPr>
            </w:pPr>
          </w:p>
        </w:tc>
        <w:tc>
          <w:tcPr>
            <w:tcW w:w="20" w:type="dxa"/>
            <w:vAlign w:val="bottom"/>
            <w:tcBorders>
              <w:bottom w:val="single" w:sz="8" w:color="DBDBDB"/>
            </w:tcBorders>
            <w:shd w:val="clear" w:color="auto" w:fill="DBDBDB"/>
          </w:tcPr>
          <w:p>
            <w:pPr>
              <w:spacing w:after="0"/>
              <w:rPr>
                <w:sz w:val="19"/>
                <w:szCs w:val="19"/>
                <w:color w:val="auto"/>
              </w:rPr>
            </w:pPr>
          </w:p>
        </w:tc>
        <w:tc>
          <w:tcPr>
            <w:tcW w:w="120" w:type="dxa"/>
            <w:vAlign w:val="bottom"/>
            <w:tcBorders>
              <w:bottom w:val="single" w:sz="8" w:color="DBDBDB"/>
            </w:tcBorders>
            <w:shd w:val="clear" w:color="auto" w:fill="DBDBDB"/>
          </w:tcPr>
          <w:p>
            <w:pPr>
              <w:spacing w:after="0"/>
              <w:rPr>
                <w:sz w:val="19"/>
                <w:szCs w:val="19"/>
                <w:color w:val="auto"/>
              </w:rPr>
            </w:pPr>
          </w:p>
        </w:tc>
        <w:tc>
          <w:tcPr>
            <w:tcW w:w="1260" w:type="dxa"/>
            <w:vAlign w:val="bottom"/>
            <w:tcBorders>
              <w:bottom w:val="single" w:sz="8" w:color="DBDBDB"/>
            </w:tcBorders>
            <w:shd w:val="clear" w:color="auto" w:fill="DBDBDB"/>
          </w:tcPr>
          <w:p>
            <w:pPr>
              <w:jc w:val="right"/>
              <w:spacing w:after="0" w:line="221" w:lineRule="exact"/>
              <w:rPr>
                <w:sz w:val="20"/>
                <w:szCs w:val="20"/>
                <w:color w:val="auto"/>
              </w:rPr>
            </w:pPr>
            <w:r>
              <w:rPr>
                <w:rFonts w:ascii="Times New Roman" w:cs="Times New Roman" w:eastAsia="Times New Roman" w:hAnsi="Times New Roman"/>
                <w:sz w:val="20"/>
                <w:szCs w:val="20"/>
                <w:color w:val="auto"/>
              </w:rPr>
              <w:t>209,737</w:t>
            </w:r>
          </w:p>
        </w:tc>
        <w:tc>
          <w:tcPr>
            <w:tcW w:w="20" w:type="dxa"/>
            <w:vAlign w:val="bottom"/>
            <w:tcBorders>
              <w:bottom w:val="single" w:sz="8" w:color="DBDBDB"/>
            </w:tcBorders>
            <w:shd w:val="clear" w:color="auto" w:fill="DBDBDB"/>
          </w:tcPr>
          <w:p>
            <w:pPr>
              <w:spacing w:after="0"/>
              <w:rPr>
                <w:sz w:val="19"/>
                <w:szCs w:val="19"/>
                <w:color w:val="auto"/>
              </w:rPr>
            </w:pPr>
          </w:p>
        </w:tc>
      </w:tr>
      <w:tr>
        <w:trPr>
          <w:trHeight w:val="221"/>
        </w:trPr>
        <w:tc>
          <w:tcPr>
            <w:tcW w:w="4420" w:type="dxa"/>
            <w:vAlign w:val="bottom"/>
            <w:tcBorders>
              <w:bottom w:val="single" w:sz="8" w:color="DBDBDB"/>
            </w:tcBorders>
          </w:tcPr>
          <w:p>
            <w:pPr>
              <w:spacing w:after="0" w:line="221" w:lineRule="exact"/>
              <w:rPr>
                <w:sz w:val="20"/>
                <w:szCs w:val="20"/>
                <w:color w:val="auto"/>
              </w:rPr>
            </w:pPr>
            <w:r>
              <w:rPr>
                <w:rFonts w:ascii="Times New Roman" w:cs="Times New Roman" w:eastAsia="Times New Roman" w:hAnsi="Times New Roman"/>
                <w:sz w:val="20"/>
                <w:szCs w:val="20"/>
                <w:color w:val="auto"/>
              </w:rPr>
              <w:t>Construction in progress</w:t>
            </w:r>
          </w:p>
        </w:tc>
        <w:tc>
          <w:tcPr>
            <w:tcW w:w="3080" w:type="dxa"/>
            <w:vAlign w:val="bottom"/>
            <w:tcBorders>
              <w:bottom w:val="single" w:sz="8" w:color="DBDBDB"/>
            </w:tcBorders>
          </w:tcPr>
          <w:p>
            <w:pPr>
              <w:spacing w:after="0"/>
              <w:rPr>
                <w:sz w:val="19"/>
                <w:szCs w:val="19"/>
                <w:color w:val="auto"/>
              </w:rPr>
            </w:pPr>
          </w:p>
        </w:tc>
        <w:tc>
          <w:tcPr>
            <w:tcW w:w="20" w:type="dxa"/>
            <w:vAlign w:val="bottom"/>
            <w:tcBorders>
              <w:bottom w:val="single" w:sz="8" w:color="DBDBDB"/>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1280" w:type="dxa"/>
            <w:vAlign w:val="bottom"/>
            <w:tcBorders>
              <w:bottom w:val="single" w:sz="8" w:color="DBDBDB"/>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39,808</w:t>
            </w:r>
          </w:p>
        </w:tc>
        <w:tc>
          <w:tcPr>
            <w:tcW w:w="180" w:type="dxa"/>
            <w:vAlign w:val="bottom"/>
            <w:tcBorders>
              <w:bottom w:val="single" w:sz="8" w:color="DBDBDB"/>
            </w:tcBorders>
          </w:tcPr>
          <w:p>
            <w:pPr>
              <w:spacing w:after="0"/>
              <w:rPr>
                <w:sz w:val="19"/>
                <w:szCs w:val="19"/>
                <w:color w:val="auto"/>
              </w:rPr>
            </w:pPr>
          </w:p>
        </w:tc>
        <w:tc>
          <w:tcPr>
            <w:tcW w:w="20" w:type="dxa"/>
            <w:vAlign w:val="bottom"/>
            <w:tcBorders>
              <w:bottom w:val="single" w:sz="8" w:color="DBDBDB"/>
            </w:tcBorders>
          </w:tcPr>
          <w:p>
            <w:pPr>
              <w:spacing w:after="0"/>
              <w:rPr>
                <w:sz w:val="19"/>
                <w:szCs w:val="19"/>
                <w:color w:val="auto"/>
              </w:rPr>
            </w:pPr>
          </w:p>
        </w:tc>
        <w:tc>
          <w:tcPr>
            <w:tcW w:w="120" w:type="dxa"/>
            <w:vAlign w:val="bottom"/>
            <w:tcBorders>
              <w:bottom w:val="single" w:sz="8" w:color="DBDBDB"/>
            </w:tcBorders>
          </w:tcPr>
          <w:p>
            <w:pPr>
              <w:spacing w:after="0"/>
              <w:rPr>
                <w:sz w:val="19"/>
                <w:szCs w:val="19"/>
                <w:color w:val="auto"/>
              </w:rPr>
            </w:pPr>
          </w:p>
        </w:tc>
        <w:tc>
          <w:tcPr>
            <w:tcW w:w="1260" w:type="dxa"/>
            <w:vAlign w:val="bottom"/>
            <w:tcBorders>
              <w:bottom w:val="single" w:sz="8" w:color="DBDBDB"/>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8,397</w:t>
            </w:r>
          </w:p>
        </w:tc>
        <w:tc>
          <w:tcPr>
            <w:tcW w:w="20" w:type="dxa"/>
            <w:vAlign w:val="bottom"/>
            <w:tcBorders>
              <w:bottom w:val="single" w:sz="8" w:color="DBDBDB"/>
            </w:tcBorders>
          </w:tcPr>
          <w:p>
            <w:pPr>
              <w:spacing w:after="0"/>
              <w:rPr>
                <w:sz w:val="19"/>
                <w:szCs w:val="19"/>
                <w:color w:val="auto"/>
              </w:rPr>
            </w:pPr>
          </w:p>
        </w:tc>
      </w:tr>
      <w:tr>
        <w:trPr>
          <w:trHeight w:val="228"/>
        </w:trPr>
        <w:tc>
          <w:tcPr>
            <w:tcW w:w="4420" w:type="dxa"/>
            <w:vAlign w:val="bottom"/>
            <w:tcBorders>
              <w:bottom w:val="single" w:sz="8" w:color="DBDBDB"/>
            </w:tcBorders>
            <w:shd w:val="clear" w:color="auto" w:fill="DBDBDB"/>
          </w:tcPr>
          <w:p>
            <w:pPr>
              <w:spacing w:after="0" w:line="208" w:lineRule="exact"/>
              <w:rPr>
                <w:sz w:val="20"/>
                <w:szCs w:val="20"/>
                <w:color w:val="auto"/>
              </w:rPr>
            </w:pPr>
            <w:r>
              <w:rPr>
                <w:rFonts w:ascii="Times New Roman" w:cs="Times New Roman" w:eastAsia="Times New Roman" w:hAnsi="Times New Roman"/>
                <w:sz w:val="20"/>
                <w:szCs w:val="20"/>
                <w:color w:val="auto"/>
              </w:rPr>
              <w:t>Land</w:t>
            </w:r>
          </w:p>
        </w:tc>
        <w:tc>
          <w:tcPr>
            <w:tcW w:w="3080" w:type="dxa"/>
            <w:vAlign w:val="bottom"/>
            <w:tcBorders>
              <w:bottom w:val="single" w:sz="8" w:color="DBDBDB"/>
            </w:tcBorders>
            <w:shd w:val="clear" w:color="auto" w:fill="DBDBDB"/>
          </w:tcPr>
          <w:p>
            <w:pPr>
              <w:spacing w:after="0"/>
              <w:rPr>
                <w:sz w:val="19"/>
                <w:szCs w:val="19"/>
                <w:color w:val="auto"/>
              </w:rPr>
            </w:pPr>
          </w:p>
        </w:tc>
        <w:tc>
          <w:tcPr>
            <w:tcW w:w="20" w:type="dxa"/>
            <w:vAlign w:val="bottom"/>
            <w:tcBorders>
              <w:bottom w:val="single" w:sz="8" w:color="DBDBDB"/>
            </w:tcBorders>
            <w:shd w:val="clear" w:color="auto" w:fill="DBDBDB"/>
          </w:tcPr>
          <w:p>
            <w:pPr>
              <w:spacing w:after="0"/>
              <w:rPr>
                <w:sz w:val="19"/>
                <w:szCs w:val="19"/>
                <w:color w:val="auto"/>
              </w:rPr>
            </w:pPr>
          </w:p>
        </w:tc>
        <w:tc>
          <w:tcPr>
            <w:tcW w:w="100" w:type="dxa"/>
            <w:vAlign w:val="bottom"/>
            <w:tcBorders>
              <w:bottom w:val="single" w:sz="8" w:color="auto"/>
            </w:tcBorders>
            <w:shd w:val="clear" w:color="auto" w:fill="DBDBDB"/>
          </w:tcPr>
          <w:p>
            <w:pPr>
              <w:spacing w:after="0"/>
              <w:rPr>
                <w:sz w:val="19"/>
                <w:szCs w:val="19"/>
                <w:color w:val="auto"/>
              </w:rPr>
            </w:pPr>
          </w:p>
        </w:tc>
        <w:tc>
          <w:tcPr>
            <w:tcW w:w="1280" w:type="dxa"/>
            <w:vAlign w:val="bottom"/>
            <w:tcBorders>
              <w:bottom w:val="single" w:sz="8" w:color="auto"/>
            </w:tcBorders>
            <w:shd w:val="clear" w:color="auto" w:fill="DBDBDB"/>
          </w:tcPr>
          <w:p>
            <w:pPr>
              <w:jc w:val="right"/>
              <w:spacing w:after="0" w:line="208" w:lineRule="exact"/>
              <w:rPr>
                <w:sz w:val="20"/>
                <w:szCs w:val="20"/>
                <w:color w:val="auto"/>
              </w:rPr>
            </w:pPr>
            <w:r>
              <w:rPr>
                <w:rFonts w:ascii="Times New Roman" w:cs="Times New Roman" w:eastAsia="Times New Roman" w:hAnsi="Times New Roman"/>
                <w:sz w:val="20"/>
                <w:szCs w:val="20"/>
                <w:color w:val="auto"/>
              </w:rPr>
              <w:t>1,101</w:t>
            </w:r>
          </w:p>
        </w:tc>
        <w:tc>
          <w:tcPr>
            <w:tcW w:w="180" w:type="dxa"/>
            <w:vAlign w:val="bottom"/>
            <w:tcBorders>
              <w:bottom w:val="single" w:sz="8" w:color="DBDBDB"/>
            </w:tcBorders>
            <w:shd w:val="clear" w:color="auto" w:fill="DBDBDB"/>
          </w:tcPr>
          <w:p>
            <w:pPr>
              <w:spacing w:after="0"/>
              <w:rPr>
                <w:sz w:val="19"/>
                <w:szCs w:val="19"/>
                <w:color w:val="auto"/>
              </w:rPr>
            </w:pPr>
          </w:p>
        </w:tc>
        <w:tc>
          <w:tcPr>
            <w:tcW w:w="20" w:type="dxa"/>
            <w:vAlign w:val="bottom"/>
            <w:tcBorders>
              <w:bottom w:val="single" w:sz="8" w:color="DBDBDB"/>
            </w:tcBorders>
            <w:shd w:val="clear" w:color="auto" w:fill="DBDBDB"/>
          </w:tcPr>
          <w:p>
            <w:pPr>
              <w:spacing w:after="0"/>
              <w:rPr>
                <w:sz w:val="19"/>
                <w:szCs w:val="19"/>
                <w:color w:val="auto"/>
              </w:rPr>
            </w:pPr>
          </w:p>
        </w:tc>
        <w:tc>
          <w:tcPr>
            <w:tcW w:w="120" w:type="dxa"/>
            <w:vAlign w:val="bottom"/>
            <w:tcBorders>
              <w:bottom w:val="single" w:sz="8" w:color="auto"/>
            </w:tcBorders>
            <w:shd w:val="clear" w:color="auto" w:fill="DBDBDB"/>
          </w:tcPr>
          <w:p>
            <w:pPr>
              <w:spacing w:after="0"/>
              <w:rPr>
                <w:sz w:val="19"/>
                <w:szCs w:val="19"/>
                <w:color w:val="auto"/>
              </w:rPr>
            </w:pPr>
          </w:p>
        </w:tc>
        <w:tc>
          <w:tcPr>
            <w:tcW w:w="1260" w:type="dxa"/>
            <w:vAlign w:val="bottom"/>
            <w:tcBorders>
              <w:bottom w:val="single" w:sz="8" w:color="auto"/>
            </w:tcBorders>
            <w:shd w:val="clear" w:color="auto" w:fill="DBDBDB"/>
          </w:tcPr>
          <w:p>
            <w:pPr>
              <w:jc w:val="right"/>
              <w:spacing w:after="0" w:line="208" w:lineRule="exact"/>
              <w:rPr>
                <w:sz w:val="20"/>
                <w:szCs w:val="20"/>
                <w:color w:val="auto"/>
              </w:rPr>
            </w:pPr>
            <w:r>
              <w:rPr>
                <w:rFonts w:ascii="Times New Roman" w:cs="Times New Roman" w:eastAsia="Times New Roman" w:hAnsi="Times New Roman"/>
                <w:sz w:val="20"/>
                <w:szCs w:val="20"/>
                <w:color w:val="auto"/>
              </w:rPr>
              <w:t>1,101</w:t>
            </w:r>
          </w:p>
        </w:tc>
        <w:tc>
          <w:tcPr>
            <w:tcW w:w="20" w:type="dxa"/>
            <w:vAlign w:val="bottom"/>
            <w:tcBorders>
              <w:bottom w:val="single" w:sz="8" w:color="DBDBDB"/>
            </w:tcBorders>
            <w:shd w:val="clear" w:color="auto" w:fill="DBDBDB"/>
          </w:tcPr>
          <w:p>
            <w:pPr>
              <w:spacing w:after="0"/>
              <w:rPr>
                <w:sz w:val="19"/>
                <w:szCs w:val="19"/>
                <w:color w:val="auto"/>
              </w:rPr>
            </w:pPr>
          </w:p>
        </w:tc>
      </w:tr>
      <w:tr>
        <w:trPr>
          <w:trHeight w:val="233"/>
        </w:trPr>
        <w:tc>
          <w:tcPr>
            <w:tcW w:w="4420" w:type="dxa"/>
            <w:vAlign w:val="bottom"/>
          </w:tcPr>
          <w:p>
            <w:pPr>
              <w:spacing w:after="0"/>
              <w:rPr>
                <w:sz w:val="20"/>
                <w:szCs w:val="20"/>
                <w:color w:val="auto"/>
              </w:rPr>
            </w:pPr>
            <w:r>
              <w:rPr>
                <w:rFonts w:ascii="Times New Roman" w:cs="Times New Roman" w:eastAsia="Times New Roman" w:hAnsi="Times New Roman"/>
                <w:sz w:val="20"/>
                <w:szCs w:val="20"/>
                <w:color w:val="auto"/>
              </w:rPr>
              <w:t>Total property, plant and equipment, net</w:t>
            </w:r>
          </w:p>
        </w:tc>
        <w:tc>
          <w:tcPr>
            <w:tcW w:w="30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376,050</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219,235</w:t>
            </w:r>
          </w:p>
        </w:tc>
        <w:tc>
          <w:tcPr>
            <w:tcW w:w="20" w:type="dxa"/>
            <w:vAlign w:val="bottom"/>
          </w:tcPr>
          <w:p>
            <w:pPr>
              <w:spacing w:after="0"/>
              <w:rPr>
                <w:sz w:val="20"/>
                <w:szCs w:val="20"/>
                <w:color w:val="auto"/>
              </w:rPr>
            </w:pPr>
          </w:p>
        </w:tc>
      </w:tr>
      <w:tr>
        <w:trPr>
          <w:trHeight w:val="20"/>
        </w:trPr>
        <w:tc>
          <w:tcPr>
            <w:tcW w:w="44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84"/>
        </w:trPr>
        <w:tc>
          <w:tcPr>
            <w:tcW w:w="4420" w:type="dxa"/>
            <w:vAlign w:val="bottom"/>
          </w:tcPr>
          <w:p>
            <w:pPr>
              <w:spacing w:after="0"/>
              <w:rPr>
                <w:sz w:val="24"/>
                <w:szCs w:val="24"/>
                <w:color w:val="auto"/>
              </w:rPr>
            </w:pPr>
          </w:p>
        </w:tc>
        <w:tc>
          <w:tcPr>
            <w:tcW w:w="3200" w:type="dxa"/>
            <w:vAlign w:val="bottom"/>
            <w:gridSpan w:val="3"/>
          </w:tcPr>
          <w:p>
            <w:pPr>
              <w:jc w:val="right"/>
              <w:ind w:right="2102"/>
              <w:spacing w:after="0"/>
              <w:rPr>
                <w:sz w:val="20"/>
                <w:szCs w:val="20"/>
                <w:color w:val="auto"/>
              </w:rPr>
            </w:pPr>
            <w:r>
              <w:rPr>
                <w:rFonts w:ascii="Times New Roman" w:cs="Times New Roman" w:eastAsia="Times New Roman" w:hAnsi="Times New Roman"/>
                <w:sz w:val="20"/>
                <w:szCs w:val="20"/>
                <w:color w:val="auto"/>
              </w:rPr>
              <w:t>F-17</w:t>
            </w: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880" w:h="15480" w:orient="portrait"/>
          <w:cols w:equalWidth="0" w:num="1">
            <w:col w:w="10620"/>
          </w:cols>
          <w:pgMar w:left="620" w:top="410" w:right="640" w:bottom="0" w:gutter="0" w:footer="0" w:header="0"/>
        </w:sectPr>
      </w:pPr>
    </w:p>
    <w:bookmarkStart w:id="77" w:name="page78"/>
    <w:bookmarkEnd w:id="77"/>
    <w:p>
      <w:pPr>
        <w:jc w:val="both"/>
        <w:ind w:firstLine="706"/>
        <w:spacing w:after="0" w:line="250" w:lineRule="auto"/>
        <w:rPr>
          <w:sz w:val="20"/>
          <w:szCs w:val="20"/>
          <w:color w:val="auto"/>
        </w:rPr>
      </w:pPr>
      <w:r>
        <w:rPr>
          <w:rFonts w:ascii="Times New Roman" w:cs="Times New Roman" w:eastAsia="Times New Roman" w:hAnsi="Times New Roman"/>
          <w:sz w:val="20"/>
          <w:szCs w:val="20"/>
          <w:color w:val="auto"/>
        </w:rPr>
        <w:t>For the years ended December 31, 2025, 2024 and 2023, depreciation expense of property, plant and equipment was $27.2 million, $20.2 million and $19.7 million, respectively. For the years ended December 31, 2025, 2024 and 2023, there was no capitalized interest.</w:t>
      </w:r>
    </w:p>
    <w:p>
      <w:pPr>
        <w:spacing w:after="0" w:line="182" w:lineRule="exact"/>
        <w:rPr>
          <w:sz w:val="20"/>
          <w:szCs w:val="20"/>
          <w:color w:val="auto"/>
        </w:rPr>
      </w:pPr>
    </w:p>
    <w:p>
      <w:pPr>
        <w:jc w:val="both"/>
        <w:ind w:firstLine="706"/>
        <w:spacing w:after="0" w:line="246" w:lineRule="auto"/>
        <w:rPr>
          <w:sz w:val="20"/>
          <w:szCs w:val="20"/>
          <w:color w:val="auto"/>
        </w:rPr>
      </w:pPr>
      <w:r>
        <w:rPr>
          <w:rFonts w:ascii="Times New Roman" w:cs="Times New Roman" w:eastAsia="Times New Roman" w:hAnsi="Times New Roman"/>
          <w:sz w:val="20"/>
          <w:szCs w:val="20"/>
          <w:color w:val="auto"/>
        </w:rPr>
        <w:t xml:space="preserve">As of December 31, 2025, the Company concluded that its continued loss history constitutes a triggering event as described in ASC 360-10-35-21, </w:t>
      </w:r>
      <w:r>
        <w:rPr>
          <w:rFonts w:ascii="Times New Roman" w:cs="Times New Roman" w:eastAsia="Times New Roman" w:hAnsi="Times New Roman"/>
          <w:sz w:val="20"/>
          <w:szCs w:val="20"/>
          <w:i w:val="1"/>
          <w:iCs w:val="1"/>
          <w:color w:val="auto"/>
        </w:rPr>
        <w:t>Property, Plant, and Equipment</w:t>
      </w:r>
      <w:r>
        <w:rPr>
          <w:rFonts w:ascii="Times New Roman" w:cs="Times New Roman" w:eastAsia="Times New Roman" w:hAnsi="Times New Roman"/>
          <w:sz w:val="20"/>
          <w:szCs w:val="20"/>
          <w:color w:val="auto"/>
        </w:rPr>
        <w:t>. The Company performed a recoverability test and concluded that future undiscounted cash flows exceed the carrying amount of the Company’s long-lived assets and therefore no impairment charge was recorded.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I—INTANGIBLE ASSETS</w:t>
      </w:r>
    </w:p>
    <w:p>
      <w:pPr>
        <w:spacing w:after="0" w:line="2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Intangible assets consisted of the following for the periods indicated (in thousands):</w:t>
      </w:r>
    </w:p>
    <w:p>
      <w:pPr>
        <w:spacing w:after="0" w:line="224" w:lineRule="exact"/>
        <w:rPr>
          <w:sz w:val="20"/>
          <w:szCs w:val="20"/>
          <w:color w:val="auto"/>
        </w:rPr>
      </w:pPr>
    </w:p>
    <w:tbl>
      <w:tblPr>
        <w:tblLayout w:type="fixed"/>
        <w:tblInd w:w="60" w:type="dxa"/>
        <w:tblCellMar>
          <w:top w:w="0" w:type="dxa"/>
          <w:left w:w="0" w:type="dxa"/>
          <w:bottom w:w="0" w:type="dxa"/>
          <w:right w:w="0" w:type="dxa"/>
        </w:tblCellMar>
      </w:tblPr>
      <w:tr>
        <w:trPr>
          <w:trHeight w:val="255"/>
        </w:trPr>
        <w:tc>
          <w:tcPr>
            <w:tcW w:w="5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December 31, 2025</w:t>
            </w:r>
          </w:p>
        </w:tc>
        <w:tc>
          <w:tcPr>
            <w:tcW w:w="1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r>
      <w:tr>
        <w:trPr>
          <w:trHeight w:val="207"/>
        </w:trPr>
        <w:tc>
          <w:tcPr>
            <w:tcW w:w="5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342"/>
              <w:spacing w:after="0" w:line="207" w:lineRule="exact"/>
              <w:rPr>
                <w:sz w:val="20"/>
                <w:szCs w:val="20"/>
                <w:color w:val="auto"/>
              </w:rPr>
            </w:pPr>
            <w:r>
              <w:rPr>
                <w:rFonts w:ascii="Times New Roman" w:cs="Times New Roman" w:eastAsia="Times New Roman" w:hAnsi="Times New Roman"/>
                <w:sz w:val="20"/>
                <w:szCs w:val="20"/>
                <w:b w:val="1"/>
                <w:bCs w:val="1"/>
                <w:color w:val="auto"/>
              </w:rPr>
              <w:t>Gross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320"/>
              <w:spacing w:after="0" w:line="207" w:lineRule="exact"/>
              <w:rPr>
                <w:sz w:val="20"/>
                <w:szCs w:val="20"/>
                <w:color w:val="auto"/>
              </w:rPr>
            </w:pPr>
            <w:r>
              <w:rPr>
                <w:rFonts w:ascii="Times New Roman" w:cs="Times New Roman" w:eastAsia="Times New Roman" w:hAnsi="Times New Roman"/>
                <w:sz w:val="20"/>
                <w:szCs w:val="20"/>
                <w:b w:val="1"/>
                <w:bCs w:val="1"/>
                <w:color w:val="auto"/>
                <w:w w:val="98"/>
              </w:rPr>
              <w:t>Accumulated</w:t>
            </w:r>
          </w:p>
        </w:tc>
        <w:tc>
          <w:tcPr>
            <w:tcW w:w="100" w:type="dxa"/>
            <w:vAlign w:val="bottom"/>
          </w:tcPr>
          <w:p>
            <w:pPr>
              <w:spacing w:after="0"/>
              <w:rPr>
                <w:sz w:val="18"/>
                <w:szCs w:val="18"/>
                <w:color w:val="auto"/>
              </w:rPr>
            </w:pPr>
          </w:p>
        </w:tc>
        <w:tc>
          <w:tcPr>
            <w:tcW w:w="1280" w:type="dxa"/>
            <w:vAlign w:val="bottom"/>
          </w:tcPr>
          <w:p>
            <w:pPr>
              <w:jc w:val="right"/>
              <w:ind w:right="162"/>
              <w:spacing w:after="0" w:line="207" w:lineRule="exact"/>
              <w:rPr>
                <w:sz w:val="20"/>
                <w:szCs w:val="20"/>
                <w:color w:val="auto"/>
              </w:rPr>
            </w:pPr>
            <w:r>
              <w:rPr>
                <w:rFonts w:ascii="Times New Roman" w:cs="Times New Roman" w:eastAsia="Times New Roman" w:hAnsi="Times New Roman"/>
                <w:sz w:val="20"/>
                <w:szCs w:val="20"/>
                <w:b w:val="1"/>
                <w:bCs w:val="1"/>
                <w:color w:val="auto"/>
              </w:rPr>
              <w:t>Intangible</w:t>
            </w:r>
          </w:p>
        </w:tc>
      </w:tr>
      <w:tr>
        <w:trPr>
          <w:trHeight w:val="255"/>
        </w:trPr>
        <w:tc>
          <w:tcPr>
            <w:tcW w:w="5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jc w:val="right"/>
              <w:ind w:right="242"/>
              <w:spacing w:after="0"/>
              <w:rPr>
                <w:sz w:val="20"/>
                <w:szCs w:val="20"/>
                <w:color w:val="auto"/>
              </w:rPr>
            </w:pPr>
            <w:r>
              <w:rPr>
                <w:rFonts w:ascii="Times New Roman" w:cs="Times New Roman" w:eastAsia="Times New Roman" w:hAnsi="Times New Roman"/>
                <w:sz w:val="20"/>
                <w:szCs w:val="20"/>
                <w:b w:val="1"/>
                <w:bCs w:val="1"/>
                <w:color w:val="auto"/>
              </w:rPr>
              <w:t>Amount</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20"/>
                <w:szCs w:val="20"/>
                <w:b w:val="1"/>
                <w:bCs w:val="1"/>
                <w:color w:val="auto"/>
                <w:w w:val="98"/>
              </w:rPr>
              <w:t>amortization</w:t>
            </w:r>
          </w:p>
        </w:tc>
        <w:tc>
          <w:tcPr>
            <w:tcW w:w="100" w:type="dxa"/>
            <w:vAlign w:val="bottom"/>
          </w:tcPr>
          <w:p>
            <w:pPr>
              <w:spacing w:after="0"/>
              <w:rPr>
                <w:sz w:val="22"/>
                <w:szCs w:val="22"/>
                <w:color w:val="auto"/>
              </w:rPr>
            </w:pPr>
          </w:p>
        </w:tc>
        <w:tc>
          <w:tcPr>
            <w:tcW w:w="1280" w:type="dxa"/>
            <w:vAlign w:val="bottom"/>
          </w:tcPr>
          <w:p>
            <w:pPr>
              <w:jc w:val="right"/>
              <w:ind w:right="182"/>
              <w:spacing w:after="0"/>
              <w:rPr>
                <w:sz w:val="20"/>
                <w:szCs w:val="20"/>
                <w:color w:val="auto"/>
              </w:rPr>
            </w:pPr>
            <w:r>
              <w:rPr>
                <w:rFonts w:ascii="Times New Roman" w:cs="Times New Roman" w:eastAsia="Times New Roman" w:hAnsi="Times New Roman"/>
                <w:sz w:val="20"/>
                <w:szCs w:val="20"/>
                <w:b w:val="1"/>
                <w:bCs w:val="1"/>
                <w:color w:val="auto"/>
              </w:rPr>
              <w:t>assets, net</w:t>
            </w:r>
          </w:p>
        </w:tc>
      </w:tr>
      <w:tr>
        <w:trPr>
          <w:trHeight w:val="221"/>
        </w:trPr>
        <w:tc>
          <w:tcPr>
            <w:tcW w:w="5820" w:type="dxa"/>
            <w:vAlign w:val="bottom"/>
            <w:tcBorders>
              <w:top w:val="single" w:sz="8" w:color="DBDBDB"/>
              <w:bottom w:val="single" w:sz="8" w:color="DBDBDB"/>
            </w:tcBorders>
            <w:shd w:val="clear" w:color="auto" w:fill="DBDBDB"/>
          </w:tcPr>
          <w:p>
            <w:pPr>
              <w:spacing w:after="0" w:line="221" w:lineRule="exact"/>
              <w:rPr>
                <w:sz w:val="20"/>
                <w:szCs w:val="20"/>
                <w:color w:val="auto"/>
              </w:rPr>
            </w:pPr>
            <w:r>
              <w:rPr>
                <w:rFonts w:ascii="Times New Roman" w:cs="Times New Roman" w:eastAsia="Times New Roman" w:hAnsi="Times New Roman"/>
                <w:sz w:val="20"/>
                <w:szCs w:val="20"/>
                <w:color w:val="auto"/>
              </w:rPr>
              <w:t>Patents</w:t>
            </w:r>
          </w:p>
        </w:tc>
        <w:tc>
          <w:tcPr>
            <w:tcW w:w="100" w:type="dxa"/>
            <w:vAlign w:val="bottom"/>
            <w:tcBorders>
              <w:top w:val="single" w:sz="8" w:color="DBDBDB"/>
              <w:bottom w:val="single" w:sz="8" w:color="DBDBDB"/>
            </w:tcBorders>
            <w:shd w:val="clear" w:color="auto" w:fill="DBDBDB"/>
          </w:tcPr>
          <w:p>
            <w:pPr>
              <w:spacing w:after="0"/>
              <w:rPr>
                <w:sz w:val="19"/>
                <w:szCs w:val="19"/>
                <w:color w:val="auto"/>
              </w:rPr>
            </w:pPr>
          </w:p>
        </w:tc>
        <w:tc>
          <w:tcPr>
            <w:tcW w:w="120" w:type="dxa"/>
            <w:vAlign w:val="bottom"/>
            <w:tcBorders>
              <w:top w:val="single" w:sz="8" w:color="auto"/>
              <w:bottom w:val="single" w:sz="8" w:color="DBDBDB"/>
            </w:tcBorders>
            <w:shd w:val="clear" w:color="auto" w:fill="DBDBDB"/>
          </w:tcPr>
          <w:p>
            <w:pPr>
              <w:jc w:val="right"/>
              <w:spacing w:after="0" w:line="221" w:lineRule="exact"/>
              <w:rPr>
                <w:sz w:val="20"/>
                <w:szCs w:val="20"/>
                <w:color w:val="auto"/>
              </w:rPr>
            </w:pPr>
            <w:r>
              <w:rPr>
                <w:rFonts w:ascii="Times New Roman" w:cs="Times New Roman" w:eastAsia="Times New Roman" w:hAnsi="Times New Roman"/>
                <w:sz w:val="20"/>
                <w:szCs w:val="20"/>
                <w:color w:val="auto"/>
                <w:highlight w:val="lightGray"/>
                <w:w w:val="99"/>
              </w:rPr>
              <w:t>$</w:t>
            </w:r>
          </w:p>
        </w:tc>
        <w:tc>
          <w:tcPr>
            <w:tcW w:w="1260" w:type="dxa"/>
            <w:vAlign w:val="bottom"/>
            <w:tcBorders>
              <w:top w:val="single" w:sz="8" w:color="auto"/>
              <w:bottom w:val="single" w:sz="8" w:color="DBDBDB"/>
            </w:tcBorders>
            <w:shd w:val="clear" w:color="auto" w:fill="DBDBDB"/>
          </w:tcPr>
          <w:p>
            <w:pPr>
              <w:jc w:val="right"/>
              <w:spacing w:after="0" w:line="221" w:lineRule="exact"/>
              <w:rPr>
                <w:sz w:val="20"/>
                <w:szCs w:val="20"/>
                <w:color w:val="auto"/>
              </w:rPr>
            </w:pPr>
            <w:r>
              <w:rPr>
                <w:rFonts w:ascii="Times New Roman" w:cs="Times New Roman" w:eastAsia="Times New Roman" w:hAnsi="Times New Roman"/>
                <w:sz w:val="20"/>
                <w:szCs w:val="20"/>
                <w:color w:val="auto"/>
              </w:rPr>
              <w:t>10,263</w:t>
            </w:r>
          </w:p>
        </w:tc>
        <w:tc>
          <w:tcPr>
            <w:tcW w:w="220" w:type="dxa"/>
            <w:vAlign w:val="bottom"/>
            <w:tcBorders>
              <w:top w:val="single" w:sz="8" w:color="DBDBDB"/>
              <w:bottom w:val="single" w:sz="8" w:color="DBDBDB"/>
              <w:right w:val="single" w:sz="8" w:color="DBDBDB"/>
            </w:tcBorders>
            <w:shd w:val="clear" w:color="auto" w:fill="DBDBDB"/>
          </w:tcPr>
          <w:p>
            <w:pPr>
              <w:spacing w:after="0"/>
              <w:rPr>
                <w:sz w:val="19"/>
                <w:szCs w:val="19"/>
                <w:color w:val="auto"/>
              </w:rPr>
            </w:pPr>
          </w:p>
        </w:tc>
        <w:tc>
          <w:tcPr>
            <w:tcW w:w="100" w:type="dxa"/>
            <w:vAlign w:val="bottom"/>
            <w:tcBorders>
              <w:top w:val="single" w:sz="8" w:color="auto"/>
              <w:bottom w:val="single" w:sz="8" w:color="DBDBDB"/>
            </w:tcBorders>
            <w:shd w:val="clear" w:color="auto" w:fill="DBDBDB"/>
          </w:tcPr>
          <w:p>
            <w:pPr>
              <w:jc w:val="right"/>
              <w:spacing w:after="0" w:line="221"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280" w:type="dxa"/>
            <w:vAlign w:val="bottom"/>
            <w:tcBorders>
              <w:top w:val="single" w:sz="8" w:color="auto"/>
              <w:bottom w:val="single" w:sz="8" w:color="DBDBDB"/>
            </w:tcBorders>
            <w:shd w:val="clear" w:color="auto" w:fill="DBDBDB"/>
          </w:tcPr>
          <w:p>
            <w:pPr>
              <w:jc w:val="right"/>
              <w:spacing w:after="0" w:line="221" w:lineRule="exact"/>
              <w:rPr>
                <w:sz w:val="20"/>
                <w:szCs w:val="20"/>
                <w:color w:val="auto"/>
              </w:rPr>
            </w:pPr>
            <w:r>
              <w:rPr>
                <w:rFonts w:ascii="Times New Roman" w:cs="Times New Roman" w:eastAsia="Times New Roman" w:hAnsi="Times New Roman"/>
                <w:sz w:val="20"/>
                <w:szCs w:val="20"/>
                <w:color w:val="auto"/>
              </w:rPr>
              <w:t>(6,797)</w:t>
            </w:r>
          </w:p>
        </w:tc>
        <w:tc>
          <w:tcPr>
            <w:tcW w:w="200" w:type="dxa"/>
            <w:vAlign w:val="bottom"/>
            <w:tcBorders>
              <w:top w:val="single" w:sz="8" w:color="DBDBDB"/>
              <w:bottom w:val="single" w:sz="8" w:color="DBDBDB"/>
              <w:right w:val="single" w:sz="8" w:color="DBDBDB"/>
            </w:tcBorders>
            <w:shd w:val="clear" w:color="auto" w:fill="DBDBDB"/>
          </w:tcPr>
          <w:p>
            <w:pPr>
              <w:spacing w:after="0"/>
              <w:rPr>
                <w:sz w:val="19"/>
                <w:szCs w:val="19"/>
                <w:color w:val="auto"/>
              </w:rPr>
            </w:pPr>
          </w:p>
        </w:tc>
        <w:tc>
          <w:tcPr>
            <w:tcW w:w="100" w:type="dxa"/>
            <w:vAlign w:val="bottom"/>
            <w:tcBorders>
              <w:top w:val="single" w:sz="8" w:color="auto"/>
              <w:bottom w:val="single" w:sz="8" w:color="DBDBDB"/>
            </w:tcBorders>
            <w:shd w:val="clear" w:color="auto" w:fill="DBDBDB"/>
          </w:tcPr>
          <w:p>
            <w:pPr>
              <w:jc w:val="right"/>
              <w:spacing w:after="0" w:line="221"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280" w:type="dxa"/>
            <w:vAlign w:val="bottom"/>
            <w:tcBorders>
              <w:top w:val="single" w:sz="8" w:color="auto"/>
              <w:bottom w:val="single" w:sz="8" w:color="DBDBDB"/>
            </w:tcBorders>
            <w:shd w:val="clear" w:color="auto" w:fill="DBDBDB"/>
          </w:tcPr>
          <w:p>
            <w:pPr>
              <w:jc w:val="right"/>
              <w:spacing w:after="0" w:line="221" w:lineRule="exact"/>
              <w:rPr>
                <w:sz w:val="20"/>
                <w:szCs w:val="20"/>
                <w:color w:val="auto"/>
              </w:rPr>
            </w:pPr>
            <w:r>
              <w:rPr>
                <w:rFonts w:ascii="Times New Roman" w:cs="Times New Roman" w:eastAsia="Times New Roman" w:hAnsi="Times New Roman"/>
                <w:sz w:val="20"/>
                <w:szCs w:val="20"/>
                <w:color w:val="auto"/>
              </w:rPr>
              <w:t>3,466</w:t>
            </w:r>
          </w:p>
        </w:tc>
      </w:tr>
      <w:tr>
        <w:trPr>
          <w:trHeight w:val="223"/>
        </w:trPr>
        <w:tc>
          <w:tcPr>
            <w:tcW w:w="5820" w:type="dxa"/>
            <w:vAlign w:val="bottom"/>
            <w:tcBorders>
              <w:bottom w:val="single" w:sz="8" w:color="DBDBDB"/>
            </w:tcBorders>
          </w:tcPr>
          <w:p>
            <w:pPr>
              <w:spacing w:after="0" w:line="224" w:lineRule="exact"/>
              <w:rPr>
                <w:sz w:val="20"/>
                <w:szCs w:val="20"/>
                <w:color w:val="auto"/>
              </w:rPr>
            </w:pPr>
            <w:r>
              <w:rPr>
                <w:rFonts w:ascii="Times New Roman" w:cs="Times New Roman" w:eastAsia="Times New Roman" w:hAnsi="Times New Roman"/>
                <w:sz w:val="20"/>
                <w:szCs w:val="20"/>
                <w:color w:val="auto"/>
              </w:rPr>
              <w:t>Trademarks</w:t>
            </w:r>
          </w:p>
        </w:tc>
        <w:tc>
          <w:tcPr>
            <w:tcW w:w="100" w:type="dxa"/>
            <w:vAlign w:val="bottom"/>
            <w:tcBorders>
              <w:bottom w:val="single" w:sz="8" w:color="DBDBD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line="224" w:lineRule="exact"/>
              <w:rPr>
                <w:sz w:val="20"/>
                <w:szCs w:val="20"/>
                <w:color w:val="auto"/>
              </w:rPr>
            </w:pPr>
            <w:r>
              <w:rPr>
                <w:rFonts w:ascii="Times New Roman" w:cs="Times New Roman" w:eastAsia="Times New Roman" w:hAnsi="Times New Roman"/>
                <w:sz w:val="20"/>
                <w:szCs w:val="20"/>
                <w:color w:val="auto"/>
              </w:rPr>
              <w:t>243</w:t>
            </w:r>
          </w:p>
        </w:tc>
        <w:tc>
          <w:tcPr>
            <w:tcW w:w="220" w:type="dxa"/>
            <w:vAlign w:val="bottom"/>
            <w:tcBorders>
              <w:bottom w:val="single" w:sz="8" w:color="DBDBDB"/>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line="224" w:lineRule="exact"/>
              <w:rPr>
                <w:sz w:val="20"/>
                <w:szCs w:val="20"/>
                <w:color w:val="auto"/>
              </w:rPr>
            </w:pPr>
            <w:r>
              <w:rPr>
                <w:rFonts w:ascii="Times New Roman" w:cs="Times New Roman" w:eastAsia="Times New Roman" w:hAnsi="Times New Roman"/>
                <w:sz w:val="20"/>
                <w:szCs w:val="20"/>
                <w:color w:val="auto"/>
              </w:rPr>
              <w:t>(86)</w:t>
            </w:r>
          </w:p>
        </w:tc>
        <w:tc>
          <w:tcPr>
            <w:tcW w:w="200" w:type="dxa"/>
            <w:vAlign w:val="bottom"/>
            <w:tcBorders>
              <w:bottom w:val="single" w:sz="8" w:color="DBDBDB"/>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line="224" w:lineRule="exact"/>
              <w:rPr>
                <w:sz w:val="20"/>
                <w:szCs w:val="20"/>
                <w:color w:val="auto"/>
              </w:rPr>
            </w:pPr>
            <w:r>
              <w:rPr>
                <w:rFonts w:ascii="Times New Roman" w:cs="Times New Roman" w:eastAsia="Times New Roman" w:hAnsi="Times New Roman"/>
                <w:sz w:val="20"/>
                <w:szCs w:val="20"/>
                <w:color w:val="auto"/>
              </w:rPr>
              <w:t>157</w:t>
            </w:r>
          </w:p>
        </w:tc>
      </w:tr>
      <w:tr>
        <w:trPr>
          <w:trHeight w:val="267"/>
        </w:trPr>
        <w:tc>
          <w:tcPr>
            <w:tcW w:w="5820" w:type="dxa"/>
            <w:vAlign w:val="bottom"/>
            <w:tcBorders>
              <w:bottom w:val="single" w:sz="8" w:color="DBDBDB"/>
            </w:tcBorders>
            <w:shd w:val="clear" w:color="auto" w:fill="DBDBDB"/>
          </w:tcPr>
          <w:p>
            <w:pPr>
              <w:spacing w:after="0" w:line="220" w:lineRule="exact"/>
              <w:rPr>
                <w:sz w:val="20"/>
                <w:szCs w:val="20"/>
                <w:color w:val="auto"/>
              </w:rPr>
            </w:pPr>
            <w:r>
              <w:rPr>
                <w:rFonts w:ascii="Times New Roman" w:cs="Times New Roman" w:eastAsia="Times New Roman" w:hAnsi="Times New Roman"/>
                <w:sz w:val="20"/>
                <w:szCs w:val="20"/>
                <w:color w:val="auto"/>
              </w:rPr>
              <w:t>Total intangible assets</w:t>
            </w:r>
          </w:p>
        </w:tc>
        <w:tc>
          <w:tcPr>
            <w:tcW w:w="100" w:type="dxa"/>
            <w:vAlign w:val="bottom"/>
            <w:tcBorders>
              <w:bottom w:val="single" w:sz="8" w:color="DBDBDB"/>
            </w:tcBorders>
            <w:shd w:val="clear" w:color="auto" w:fill="DBDBDB"/>
          </w:tcPr>
          <w:p>
            <w:pPr>
              <w:spacing w:after="0"/>
              <w:rPr>
                <w:sz w:val="22"/>
                <w:szCs w:val="22"/>
                <w:color w:val="auto"/>
              </w:rPr>
            </w:pPr>
          </w:p>
        </w:tc>
        <w:tc>
          <w:tcPr>
            <w:tcW w:w="12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highlight w:val="lightGray"/>
                <w:w w:val="99"/>
              </w:rPr>
              <w:t>$</w:t>
            </w:r>
          </w:p>
        </w:tc>
        <w:tc>
          <w:tcPr>
            <w:tcW w:w="126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rPr>
              <w:t>10,506</w:t>
            </w:r>
          </w:p>
        </w:tc>
        <w:tc>
          <w:tcPr>
            <w:tcW w:w="220" w:type="dxa"/>
            <w:vAlign w:val="bottom"/>
            <w:tcBorders>
              <w:bottom w:val="single" w:sz="8" w:color="DBDBDB"/>
              <w:right w:val="single" w:sz="8" w:color="DBDBDB"/>
            </w:tcBorders>
            <w:shd w:val="clear" w:color="auto" w:fill="DBDBDB"/>
          </w:tcPr>
          <w:p>
            <w:pPr>
              <w:spacing w:after="0"/>
              <w:rPr>
                <w:sz w:val="22"/>
                <w:szCs w:val="22"/>
                <w:color w:val="auto"/>
              </w:rPr>
            </w:pPr>
          </w:p>
        </w:tc>
        <w:tc>
          <w:tcPr>
            <w:tcW w:w="10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28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rPr>
              <w:t>(6,883)</w:t>
            </w:r>
          </w:p>
        </w:tc>
        <w:tc>
          <w:tcPr>
            <w:tcW w:w="200" w:type="dxa"/>
            <w:vAlign w:val="bottom"/>
            <w:tcBorders>
              <w:bottom w:val="single" w:sz="8" w:color="DBDBDB"/>
              <w:right w:val="single" w:sz="8" w:color="DBDBDB"/>
            </w:tcBorders>
            <w:shd w:val="clear" w:color="auto" w:fill="DBDBDB"/>
          </w:tcPr>
          <w:p>
            <w:pPr>
              <w:spacing w:after="0"/>
              <w:rPr>
                <w:sz w:val="22"/>
                <w:szCs w:val="22"/>
                <w:color w:val="auto"/>
              </w:rPr>
            </w:pPr>
          </w:p>
        </w:tc>
        <w:tc>
          <w:tcPr>
            <w:tcW w:w="10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28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rPr>
              <w:t>3,623</w:t>
            </w:r>
          </w:p>
        </w:tc>
      </w:tr>
      <w:tr>
        <w:trPr>
          <w:trHeight w:val="20"/>
        </w:trPr>
        <w:tc>
          <w:tcPr>
            <w:tcW w:w="582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DBDBDB"/>
              <w:right w:val="single" w:sz="8" w:color="auto"/>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DBDBDB"/>
              <w:right w:val="single" w:sz="8" w:color="auto"/>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r>
    </w:tbl>
    <w:p>
      <w:pPr>
        <w:spacing w:after="0" w:line="207" w:lineRule="exact"/>
        <w:rPr>
          <w:sz w:val="20"/>
          <w:szCs w:val="20"/>
          <w:color w:val="auto"/>
        </w:rPr>
      </w:pPr>
    </w:p>
    <w:tbl>
      <w:tblPr>
        <w:tblLayout w:type="fixed"/>
        <w:tblInd w:w="60" w:type="dxa"/>
        <w:tblCellMar>
          <w:top w:w="0" w:type="dxa"/>
          <w:left w:w="0" w:type="dxa"/>
          <w:bottom w:w="0" w:type="dxa"/>
          <w:right w:w="0" w:type="dxa"/>
        </w:tblCellMar>
      </w:tblPr>
      <w:tr>
        <w:trPr>
          <w:trHeight w:val="257"/>
        </w:trPr>
        <w:tc>
          <w:tcPr>
            <w:tcW w:w="5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December 31, 2024</w:t>
            </w:r>
          </w:p>
        </w:tc>
        <w:tc>
          <w:tcPr>
            <w:tcW w:w="1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r>
      <w:tr>
        <w:trPr>
          <w:trHeight w:val="207"/>
        </w:trPr>
        <w:tc>
          <w:tcPr>
            <w:tcW w:w="5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342"/>
              <w:spacing w:after="0" w:line="207" w:lineRule="exact"/>
              <w:rPr>
                <w:sz w:val="20"/>
                <w:szCs w:val="20"/>
                <w:color w:val="auto"/>
              </w:rPr>
            </w:pPr>
            <w:r>
              <w:rPr>
                <w:rFonts w:ascii="Times New Roman" w:cs="Times New Roman" w:eastAsia="Times New Roman" w:hAnsi="Times New Roman"/>
                <w:sz w:val="20"/>
                <w:szCs w:val="20"/>
                <w:b w:val="1"/>
                <w:bCs w:val="1"/>
                <w:color w:val="auto"/>
              </w:rPr>
              <w:t>Gross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320"/>
              <w:spacing w:after="0" w:line="207" w:lineRule="exact"/>
              <w:rPr>
                <w:sz w:val="20"/>
                <w:szCs w:val="20"/>
                <w:color w:val="auto"/>
              </w:rPr>
            </w:pPr>
            <w:r>
              <w:rPr>
                <w:rFonts w:ascii="Times New Roman" w:cs="Times New Roman" w:eastAsia="Times New Roman" w:hAnsi="Times New Roman"/>
                <w:sz w:val="20"/>
                <w:szCs w:val="20"/>
                <w:b w:val="1"/>
                <w:bCs w:val="1"/>
                <w:color w:val="auto"/>
                <w:w w:val="98"/>
              </w:rPr>
              <w:t>Accumulated</w:t>
            </w:r>
          </w:p>
        </w:tc>
        <w:tc>
          <w:tcPr>
            <w:tcW w:w="100" w:type="dxa"/>
            <w:vAlign w:val="bottom"/>
          </w:tcPr>
          <w:p>
            <w:pPr>
              <w:spacing w:after="0"/>
              <w:rPr>
                <w:sz w:val="18"/>
                <w:szCs w:val="18"/>
                <w:color w:val="auto"/>
              </w:rPr>
            </w:pPr>
          </w:p>
        </w:tc>
        <w:tc>
          <w:tcPr>
            <w:tcW w:w="1280" w:type="dxa"/>
            <w:vAlign w:val="bottom"/>
          </w:tcPr>
          <w:p>
            <w:pPr>
              <w:jc w:val="right"/>
              <w:ind w:right="162"/>
              <w:spacing w:after="0" w:line="207" w:lineRule="exact"/>
              <w:rPr>
                <w:sz w:val="20"/>
                <w:szCs w:val="20"/>
                <w:color w:val="auto"/>
              </w:rPr>
            </w:pPr>
            <w:r>
              <w:rPr>
                <w:rFonts w:ascii="Times New Roman" w:cs="Times New Roman" w:eastAsia="Times New Roman" w:hAnsi="Times New Roman"/>
                <w:sz w:val="20"/>
                <w:szCs w:val="20"/>
                <w:b w:val="1"/>
                <w:bCs w:val="1"/>
                <w:color w:val="auto"/>
              </w:rPr>
              <w:t>Intangible</w:t>
            </w:r>
          </w:p>
        </w:tc>
      </w:tr>
      <w:tr>
        <w:trPr>
          <w:trHeight w:val="255"/>
        </w:trPr>
        <w:tc>
          <w:tcPr>
            <w:tcW w:w="5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jc w:val="right"/>
              <w:ind w:right="242"/>
              <w:spacing w:after="0"/>
              <w:rPr>
                <w:sz w:val="20"/>
                <w:szCs w:val="20"/>
                <w:color w:val="auto"/>
              </w:rPr>
            </w:pPr>
            <w:r>
              <w:rPr>
                <w:rFonts w:ascii="Times New Roman" w:cs="Times New Roman" w:eastAsia="Times New Roman" w:hAnsi="Times New Roman"/>
                <w:sz w:val="20"/>
                <w:szCs w:val="20"/>
                <w:b w:val="1"/>
                <w:bCs w:val="1"/>
                <w:color w:val="auto"/>
              </w:rPr>
              <w:t>Amount</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20"/>
                <w:szCs w:val="20"/>
                <w:b w:val="1"/>
                <w:bCs w:val="1"/>
                <w:color w:val="auto"/>
                <w:w w:val="98"/>
              </w:rPr>
              <w:t>amortization</w:t>
            </w:r>
          </w:p>
        </w:tc>
        <w:tc>
          <w:tcPr>
            <w:tcW w:w="100" w:type="dxa"/>
            <w:vAlign w:val="bottom"/>
          </w:tcPr>
          <w:p>
            <w:pPr>
              <w:spacing w:after="0"/>
              <w:rPr>
                <w:sz w:val="22"/>
                <w:szCs w:val="22"/>
                <w:color w:val="auto"/>
              </w:rPr>
            </w:pPr>
          </w:p>
        </w:tc>
        <w:tc>
          <w:tcPr>
            <w:tcW w:w="1280" w:type="dxa"/>
            <w:vAlign w:val="bottom"/>
          </w:tcPr>
          <w:p>
            <w:pPr>
              <w:jc w:val="right"/>
              <w:ind w:right="182"/>
              <w:spacing w:after="0"/>
              <w:rPr>
                <w:sz w:val="20"/>
                <w:szCs w:val="20"/>
                <w:color w:val="auto"/>
              </w:rPr>
            </w:pPr>
            <w:r>
              <w:rPr>
                <w:rFonts w:ascii="Times New Roman" w:cs="Times New Roman" w:eastAsia="Times New Roman" w:hAnsi="Times New Roman"/>
                <w:sz w:val="20"/>
                <w:szCs w:val="20"/>
                <w:b w:val="1"/>
                <w:bCs w:val="1"/>
                <w:color w:val="auto"/>
              </w:rPr>
              <w:t>assets, net</w:t>
            </w:r>
          </w:p>
        </w:tc>
      </w:tr>
      <w:tr>
        <w:trPr>
          <w:trHeight w:val="220"/>
        </w:trPr>
        <w:tc>
          <w:tcPr>
            <w:tcW w:w="5820" w:type="dxa"/>
            <w:vAlign w:val="bottom"/>
            <w:tcBorders>
              <w:top w:val="single" w:sz="8" w:color="DBDBDB"/>
              <w:bottom w:val="single" w:sz="8" w:color="DBDBDB"/>
            </w:tcBorders>
            <w:shd w:val="clear" w:color="auto" w:fill="DBDBDB"/>
          </w:tcPr>
          <w:p>
            <w:pPr>
              <w:spacing w:after="0" w:line="220" w:lineRule="exact"/>
              <w:rPr>
                <w:sz w:val="20"/>
                <w:szCs w:val="20"/>
                <w:color w:val="auto"/>
              </w:rPr>
            </w:pPr>
            <w:r>
              <w:rPr>
                <w:rFonts w:ascii="Times New Roman" w:cs="Times New Roman" w:eastAsia="Times New Roman" w:hAnsi="Times New Roman"/>
                <w:sz w:val="20"/>
                <w:szCs w:val="20"/>
                <w:color w:val="auto"/>
              </w:rPr>
              <w:t>Patents</w:t>
            </w:r>
          </w:p>
        </w:tc>
        <w:tc>
          <w:tcPr>
            <w:tcW w:w="100" w:type="dxa"/>
            <w:vAlign w:val="bottom"/>
            <w:tcBorders>
              <w:top w:val="single" w:sz="8" w:color="DBDBDB"/>
              <w:bottom w:val="single" w:sz="8" w:color="DBDBDB"/>
            </w:tcBorders>
            <w:shd w:val="clear" w:color="auto" w:fill="DBDBDB"/>
          </w:tcPr>
          <w:p>
            <w:pPr>
              <w:spacing w:after="0"/>
              <w:rPr>
                <w:sz w:val="19"/>
                <w:szCs w:val="19"/>
                <w:color w:val="auto"/>
              </w:rPr>
            </w:pPr>
          </w:p>
        </w:tc>
        <w:tc>
          <w:tcPr>
            <w:tcW w:w="120" w:type="dxa"/>
            <w:vAlign w:val="bottom"/>
            <w:tcBorders>
              <w:top w:val="single" w:sz="8" w:color="auto"/>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highlight w:val="lightGray"/>
                <w:w w:val="99"/>
              </w:rPr>
              <w:t>$</w:t>
            </w:r>
          </w:p>
        </w:tc>
        <w:tc>
          <w:tcPr>
            <w:tcW w:w="1260" w:type="dxa"/>
            <w:vAlign w:val="bottom"/>
            <w:tcBorders>
              <w:top w:val="single" w:sz="8" w:color="auto"/>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rPr>
              <w:t>9,873</w:t>
            </w:r>
          </w:p>
        </w:tc>
        <w:tc>
          <w:tcPr>
            <w:tcW w:w="220" w:type="dxa"/>
            <w:vAlign w:val="bottom"/>
            <w:tcBorders>
              <w:top w:val="single" w:sz="8" w:color="DBDBDB"/>
              <w:bottom w:val="single" w:sz="8" w:color="DBDBDB"/>
              <w:right w:val="single" w:sz="8" w:color="DBDBDB"/>
            </w:tcBorders>
            <w:shd w:val="clear" w:color="auto" w:fill="DBDBDB"/>
          </w:tcPr>
          <w:p>
            <w:pPr>
              <w:spacing w:after="0"/>
              <w:rPr>
                <w:sz w:val="19"/>
                <w:szCs w:val="19"/>
                <w:color w:val="auto"/>
              </w:rPr>
            </w:pPr>
          </w:p>
        </w:tc>
        <w:tc>
          <w:tcPr>
            <w:tcW w:w="100" w:type="dxa"/>
            <w:vAlign w:val="bottom"/>
            <w:tcBorders>
              <w:top w:val="single" w:sz="8" w:color="auto"/>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280" w:type="dxa"/>
            <w:vAlign w:val="bottom"/>
            <w:tcBorders>
              <w:top w:val="single" w:sz="8" w:color="auto"/>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rPr>
              <w:t>(6,355)</w:t>
            </w:r>
          </w:p>
        </w:tc>
        <w:tc>
          <w:tcPr>
            <w:tcW w:w="200" w:type="dxa"/>
            <w:vAlign w:val="bottom"/>
            <w:tcBorders>
              <w:top w:val="single" w:sz="8" w:color="DBDBDB"/>
              <w:bottom w:val="single" w:sz="8" w:color="DBDBDB"/>
              <w:right w:val="single" w:sz="8" w:color="DBDBDB"/>
            </w:tcBorders>
            <w:shd w:val="clear" w:color="auto" w:fill="DBDBDB"/>
          </w:tcPr>
          <w:p>
            <w:pPr>
              <w:spacing w:after="0"/>
              <w:rPr>
                <w:sz w:val="19"/>
                <w:szCs w:val="19"/>
                <w:color w:val="auto"/>
              </w:rPr>
            </w:pPr>
          </w:p>
        </w:tc>
        <w:tc>
          <w:tcPr>
            <w:tcW w:w="100" w:type="dxa"/>
            <w:vAlign w:val="bottom"/>
            <w:tcBorders>
              <w:top w:val="single" w:sz="8" w:color="auto"/>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280" w:type="dxa"/>
            <w:vAlign w:val="bottom"/>
            <w:tcBorders>
              <w:top w:val="single" w:sz="8" w:color="auto"/>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rPr>
              <w:t>3,518</w:t>
            </w:r>
          </w:p>
        </w:tc>
      </w:tr>
      <w:tr>
        <w:trPr>
          <w:trHeight w:val="225"/>
        </w:trPr>
        <w:tc>
          <w:tcPr>
            <w:tcW w:w="5820" w:type="dxa"/>
            <w:vAlign w:val="bottom"/>
            <w:tcBorders>
              <w:bottom w:val="single" w:sz="8" w:color="DBDBDB"/>
            </w:tcBorders>
          </w:tcPr>
          <w:p>
            <w:pPr>
              <w:spacing w:after="0" w:line="225" w:lineRule="exact"/>
              <w:rPr>
                <w:sz w:val="20"/>
                <w:szCs w:val="20"/>
                <w:color w:val="auto"/>
              </w:rPr>
            </w:pPr>
            <w:r>
              <w:rPr>
                <w:rFonts w:ascii="Times New Roman" w:cs="Times New Roman" w:eastAsia="Times New Roman" w:hAnsi="Times New Roman"/>
                <w:sz w:val="20"/>
                <w:szCs w:val="20"/>
                <w:color w:val="auto"/>
              </w:rPr>
              <w:t>Trademarks</w:t>
            </w:r>
          </w:p>
        </w:tc>
        <w:tc>
          <w:tcPr>
            <w:tcW w:w="100" w:type="dxa"/>
            <w:vAlign w:val="bottom"/>
            <w:tcBorders>
              <w:bottom w:val="single" w:sz="8" w:color="DBDBD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218</w:t>
            </w:r>
          </w:p>
        </w:tc>
        <w:tc>
          <w:tcPr>
            <w:tcW w:w="220" w:type="dxa"/>
            <w:vAlign w:val="bottom"/>
            <w:tcBorders>
              <w:bottom w:val="single" w:sz="8" w:color="DBDBDB"/>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(56)</w:t>
            </w:r>
          </w:p>
        </w:tc>
        <w:tc>
          <w:tcPr>
            <w:tcW w:w="200" w:type="dxa"/>
            <w:vAlign w:val="bottom"/>
            <w:tcBorders>
              <w:bottom w:val="single" w:sz="8" w:color="DBDBDB"/>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162</w:t>
            </w:r>
          </w:p>
        </w:tc>
      </w:tr>
      <w:tr>
        <w:trPr>
          <w:trHeight w:val="267"/>
        </w:trPr>
        <w:tc>
          <w:tcPr>
            <w:tcW w:w="5820" w:type="dxa"/>
            <w:vAlign w:val="bottom"/>
            <w:tcBorders>
              <w:bottom w:val="single" w:sz="8" w:color="DBDBDB"/>
            </w:tcBorders>
            <w:shd w:val="clear" w:color="auto" w:fill="DBDBDB"/>
          </w:tcPr>
          <w:p>
            <w:pPr>
              <w:spacing w:after="0" w:line="220" w:lineRule="exact"/>
              <w:rPr>
                <w:sz w:val="20"/>
                <w:szCs w:val="20"/>
                <w:color w:val="auto"/>
              </w:rPr>
            </w:pPr>
            <w:r>
              <w:rPr>
                <w:rFonts w:ascii="Times New Roman" w:cs="Times New Roman" w:eastAsia="Times New Roman" w:hAnsi="Times New Roman"/>
                <w:sz w:val="20"/>
                <w:szCs w:val="20"/>
                <w:color w:val="auto"/>
              </w:rPr>
              <w:t>Total intangible assets</w:t>
            </w:r>
          </w:p>
        </w:tc>
        <w:tc>
          <w:tcPr>
            <w:tcW w:w="100" w:type="dxa"/>
            <w:vAlign w:val="bottom"/>
            <w:tcBorders>
              <w:bottom w:val="single" w:sz="8" w:color="DBDBDB"/>
            </w:tcBorders>
            <w:shd w:val="clear" w:color="auto" w:fill="DBDBDB"/>
          </w:tcPr>
          <w:p>
            <w:pPr>
              <w:spacing w:after="0"/>
              <w:rPr>
                <w:sz w:val="22"/>
                <w:szCs w:val="22"/>
                <w:color w:val="auto"/>
              </w:rPr>
            </w:pPr>
          </w:p>
        </w:tc>
        <w:tc>
          <w:tcPr>
            <w:tcW w:w="12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highlight w:val="lightGray"/>
                <w:w w:val="99"/>
              </w:rPr>
              <w:t>$</w:t>
            </w:r>
          </w:p>
        </w:tc>
        <w:tc>
          <w:tcPr>
            <w:tcW w:w="126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rPr>
              <w:t>10,091</w:t>
            </w:r>
          </w:p>
        </w:tc>
        <w:tc>
          <w:tcPr>
            <w:tcW w:w="220" w:type="dxa"/>
            <w:vAlign w:val="bottom"/>
            <w:tcBorders>
              <w:bottom w:val="single" w:sz="8" w:color="DBDBDB"/>
              <w:right w:val="single" w:sz="8" w:color="DBDBDB"/>
            </w:tcBorders>
            <w:shd w:val="clear" w:color="auto" w:fill="DBDBDB"/>
          </w:tcPr>
          <w:p>
            <w:pPr>
              <w:spacing w:after="0"/>
              <w:rPr>
                <w:sz w:val="22"/>
                <w:szCs w:val="22"/>
                <w:color w:val="auto"/>
              </w:rPr>
            </w:pPr>
          </w:p>
        </w:tc>
        <w:tc>
          <w:tcPr>
            <w:tcW w:w="10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28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rPr>
              <w:t>(6,411)</w:t>
            </w:r>
          </w:p>
        </w:tc>
        <w:tc>
          <w:tcPr>
            <w:tcW w:w="200" w:type="dxa"/>
            <w:vAlign w:val="bottom"/>
            <w:tcBorders>
              <w:bottom w:val="single" w:sz="8" w:color="DBDBDB"/>
              <w:right w:val="single" w:sz="8" w:color="DBDBDB"/>
            </w:tcBorders>
            <w:shd w:val="clear" w:color="auto" w:fill="DBDBDB"/>
          </w:tcPr>
          <w:p>
            <w:pPr>
              <w:spacing w:after="0"/>
              <w:rPr>
                <w:sz w:val="22"/>
                <w:szCs w:val="22"/>
                <w:color w:val="auto"/>
              </w:rPr>
            </w:pPr>
          </w:p>
        </w:tc>
        <w:tc>
          <w:tcPr>
            <w:tcW w:w="10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28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rPr>
              <w:t>3,680</w:t>
            </w:r>
          </w:p>
        </w:tc>
      </w:tr>
      <w:tr>
        <w:trPr>
          <w:trHeight w:val="20"/>
        </w:trPr>
        <w:tc>
          <w:tcPr>
            <w:tcW w:w="582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DBDBDB"/>
              <w:right w:val="single" w:sz="8" w:color="auto"/>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DBDBDB"/>
              <w:right w:val="single" w:sz="8" w:color="auto"/>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r>
    </w:tbl>
    <w:p>
      <w:pPr>
        <w:spacing w:after="0" w:line="204" w:lineRule="exact"/>
        <w:rPr>
          <w:sz w:val="20"/>
          <w:szCs w:val="20"/>
          <w:color w:val="auto"/>
        </w:rPr>
      </w:pPr>
    </w:p>
    <w:p>
      <w:pPr>
        <w:jc w:val="both"/>
        <w:ind w:firstLine="706"/>
        <w:spacing w:after="0" w:line="251" w:lineRule="auto"/>
        <w:rPr>
          <w:sz w:val="20"/>
          <w:szCs w:val="20"/>
          <w:color w:val="auto"/>
        </w:rPr>
      </w:pPr>
      <w:r>
        <w:rPr>
          <w:rFonts w:ascii="Times New Roman" w:cs="Times New Roman" w:eastAsia="Times New Roman" w:hAnsi="Times New Roman"/>
          <w:sz w:val="20"/>
          <w:szCs w:val="20"/>
          <w:color w:val="auto"/>
        </w:rPr>
        <w:t>For the years ended December 31, 2025, 2024 and 2023, amortization expense for intangible assets, included in general and administrative expenses on the income statement, was $0.4 million, $0.4 million and $0.7 million, respectively. The remaining weighted average amortization period for intangible assets is approximately 8.7 years.</w:t>
      </w:r>
    </w:p>
    <w:p>
      <w:pPr>
        <w:spacing w:after="0" w:line="18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At December 31, 2025, future amortization expense for intangible assets is estimated to be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8870" w:type="dxa"/>
            <w:vAlign w:val="bottom"/>
            <w:tcBorders>
              <w:bottom w:val="single" w:sz="8" w:color="DBDBDB"/>
            </w:tcBorders>
          </w:tcPr>
          <w:p>
            <w:pPr>
              <w:spacing w:after="0"/>
              <w:rPr>
                <w:sz w:val="22"/>
                <w:szCs w:val="22"/>
                <w:color w:val="auto"/>
              </w:rPr>
            </w:pPr>
          </w:p>
        </w:tc>
        <w:tc>
          <w:tcPr>
            <w:tcW w:w="90" w:type="dxa"/>
            <w:vAlign w:val="bottom"/>
            <w:tcBorders>
              <w:bottom w:val="single" w:sz="8" w:color="DBDBDB"/>
            </w:tcBorders>
          </w:tcPr>
          <w:p>
            <w:pPr>
              <w:spacing w:after="0"/>
              <w:rPr>
                <w:sz w:val="22"/>
                <w:szCs w:val="22"/>
                <w:color w:val="auto"/>
              </w:rPr>
            </w:pPr>
          </w:p>
        </w:tc>
        <w:tc>
          <w:tcPr>
            <w:tcW w:w="20" w:type="dxa"/>
            <w:vAlign w:val="bottom"/>
            <w:tcBorders>
              <w:bottom w:val="single" w:sz="8" w:color="DBDBDB"/>
            </w:tcBorders>
          </w:tcPr>
          <w:p>
            <w:pPr>
              <w:spacing w:after="0"/>
              <w:rPr>
                <w:sz w:val="22"/>
                <w:szCs w:val="22"/>
                <w:color w:val="auto"/>
              </w:rPr>
            </w:pPr>
          </w:p>
        </w:tc>
        <w:tc>
          <w:tcPr>
            <w:tcW w:w="16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w w:val="97"/>
              </w:rPr>
              <w:t>December 31, 2025</w:t>
            </w:r>
          </w:p>
        </w:tc>
      </w:tr>
      <w:tr>
        <w:trPr>
          <w:trHeight w:val="225"/>
        </w:trPr>
        <w:tc>
          <w:tcPr>
            <w:tcW w:w="8870" w:type="dxa"/>
            <w:vAlign w:val="bottom"/>
            <w:shd w:val="clear" w:color="auto" w:fill="DBDBDB"/>
          </w:tcPr>
          <w:p>
            <w:pPr>
              <w:jc w:val="right"/>
              <w:ind w:right="8372"/>
              <w:spacing w:after="0" w:line="220" w:lineRule="exact"/>
              <w:rPr>
                <w:sz w:val="20"/>
                <w:szCs w:val="20"/>
                <w:color w:val="auto"/>
              </w:rPr>
            </w:pPr>
            <w:r>
              <w:rPr>
                <w:rFonts w:ascii="Times New Roman" w:cs="Times New Roman" w:eastAsia="Times New Roman" w:hAnsi="Times New Roman"/>
                <w:sz w:val="20"/>
                <w:szCs w:val="20"/>
                <w:color w:val="auto"/>
                <w:w w:val="94"/>
              </w:rPr>
              <w:t>2026</w:t>
            </w:r>
          </w:p>
        </w:tc>
        <w:tc>
          <w:tcPr>
            <w:tcW w:w="9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line="225" w:lineRule="exact"/>
              <w:rPr>
                <w:sz w:val="20"/>
                <w:szCs w:val="20"/>
                <w:color w:val="auto"/>
              </w:rPr>
            </w:pPr>
            <w:r>
              <w:rPr>
                <w:rFonts w:ascii="Times New Roman" w:cs="Times New Roman" w:eastAsia="Times New Roman" w:hAnsi="Times New Roman"/>
                <w:sz w:val="20"/>
                <w:szCs w:val="20"/>
                <w:color w:val="auto"/>
                <w:highlight w:val="lightGray"/>
                <w:w w:val="99"/>
              </w:rPr>
              <w:t>$</w:t>
            </w:r>
          </w:p>
        </w:tc>
        <w:tc>
          <w:tcPr>
            <w:tcW w:w="1500" w:type="dxa"/>
            <w:vAlign w:val="bottom"/>
            <w:shd w:val="clear" w:color="auto" w:fill="DBDBDB"/>
          </w:tcPr>
          <w:p>
            <w:pPr>
              <w:ind w:left="1200"/>
              <w:spacing w:after="0" w:line="225" w:lineRule="exact"/>
              <w:rPr>
                <w:sz w:val="20"/>
                <w:szCs w:val="20"/>
                <w:color w:val="auto"/>
              </w:rPr>
            </w:pPr>
            <w:r>
              <w:rPr>
                <w:rFonts w:ascii="Times New Roman" w:cs="Times New Roman" w:eastAsia="Times New Roman" w:hAnsi="Times New Roman"/>
                <w:sz w:val="20"/>
                <w:szCs w:val="20"/>
                <w:color w:val="auto"/>
                <w:w w:val="93"/>
              </w:rPr>
              <w:t>467</w:t>
            </w:r>
          </w:p>
        </w:tc>
      </w:tr>
      <w:tr>
        <w:trPr>
          <w:trHeight w:val="235"/>
        </w:trPr>
        <w:tc>
          <w:tcPr>
            <w:tcW w:w="8870" w:type="dxa"/>
            <w:vAlign w:val="bottom"/>
          </w:tcPr>
          <w:p>
            <w:pPr>
              <w:jc w:val="right"/>
              <w:ind w:right="8372"/>
              <w:spacing w:after="0"/>
              <w:rPr>
                <w:sz w:val="20"/>
                <w:szCs w:val="20"/>
                <w:color w:val="auto"/>
              </w:rPr>
            </w:pPr>
            <w:r>
              <w:rPr>
                <w:rFonts w:ascii="Times New Roman" w:cs="Times New Roman" w:eastAsia="Times New Roman" w:hAnsi="Times New Roman"/>
                <w:sz w:val="20"/>
                <w:szCs w:val="20"/>
                <w:color w:val="auto"/>
                <w:w w:val="94"/>
              </w:rPr>
              <w:t>2027</w:t>
            </w:r>
          </w:p>
        </w:tc>
        <w:tc>
          <w:tcPr>
            <w:tcW w:w="9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ind w:left="1200"/>
              <w:spacing w:after="0"/>
              <w:rPr>
                <w:sz w:val="20"/>
                <w:szCs w:val="20"/>
                <w:color w:val="auto"/>
              </w:rPr>
            </w:pPr>
            <w:r>
              <w:rPr>
                <w:rFonts w:ascii="Times New Roman" w:cs="Times New Roman" w:eastAsia="Times New Roman" w:hAnsi="Times New Roman"/>
                <w:sz w:val="20"/>
                <w:szCs w:val="20"/>
                <w:color w:val="auto"/>
                <w:w w:val="93"/>
              </w:rPr>
              <w:t>467</w:t>
            </w:r>
          </w:p>
        </w:tc>
      </w:tr>
      <w:tr>
        <w:trPr>
          <w:trHeight w:val="235"/>
        </w:trPr>
        <w:tc>
          <w:tcPr>
            <w:tcW w:w="8870" w:type="dxa"/>
            <w:vAlign w:val="bottom"/>
            <w:shd w:val="clear" w:color="auto" w:fill="DBDBDB"/>
          </w:tcPr>
          <w:p>
            <w:pPr>
              <w:jc w:val="right"/>
              <w:ind w:right="8372"/>
              <w:spacing w:after="0"/>
              <w:rPr>
                <w:sz w:val="20"/>
                <w:szCs w:val="20"/>
                <w:color w:val="auto"/>
              </w:rPr>
            </w:pPr>
            <w:r>
              <w:rPr>
                <w:rFonts w:ascii="Times New Roman" w:cs="Times New Roman" w:eastAsia="Times New Roman" w:hAnsi="Times New Roman"/>
                <w:sz w:val="20"/>
                <w:szCs w:val="20"/>
                <w:color w:val="auto"/>
                <w:w w:val="94"/>
              </w:rPr>
              <w:t>2028</w:t>
            </w:r>
          </w:p>
        </w:tc>
        <w:tc>
          <w:tcPr>
            <w:tcW w:w="90" w:type="dxa"/>
            <w:vAlign w:val="bottom"/>
            <w:shd w:val="clear" w:color="auto" w:fill="DBDBDB"/>
          </w:tcPr>
          <w:p>
            <w:pPr>
              <w:spacing w:after="0"/>
              <w:rPr>
                <w:sz w:val="20"/>
                <w:szCs w:val="20"/>
                <w:color w:val="auto"/>
              </w:rPr>
            </w:pPr>
          </w:p>
        </w:tc>
        <w:tc>
          <w:tcPr>
            <w:tcW w:w="2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500" w:type="dxa"/>
            <w:vAlign w:val="bottom"/>
            <w:shd w:val="clear" w:color="auto" w:fill="DBDBDB"/>
          </w:tcPr>
          <w:p>
            <w:pPr>
              <w:ind w:left="1200"/>
              <w:spacing w:after="0"/>
              <w:rPr>
                <w:sz w:val="20"/>
                <w:szCs w:val="20"/>
                <w:color w:val="auto"/>
              </w:rPr>
            </w:pPr>
            <w:r>
              <w:rPr>
                <w:rFonts w:ascii="Times New Roman" w:cs="Times New Roman" w:eastAsia="Times New Roman" w:hAnsi="Times New Roman"/>
                <w:sz w:val="20"/>
                <w:szCs w:val="20"/>
                <w:color w:val="auto"/>
                <w:w w:val="93"/>
              </w:rPr>
              <w:t>467</w:t>
            </w:r>
          </w:p>
        </w:tc>
      </w:tr>
      <w:tr>
        <w:trPr>
          <w:trHeight w:val="235"/>
        </w:trPr>
        <w:tc>
          <w:tcPr>
            <w:tcW w:w="8870" w:type="dxa"/>
            <w:vAlign w:val="bottom"/>
          </w:tcPr>
          <w:p>
            <w:pPr>
              <w:jc w:val="right"/>
              <w:ind w:right="8372"/>
              <w:spacing w:after="0"/>
              <w:rPr>
                <w:sz w:val="20"/>
                <w:szCs w:val="20"/>
                <w:color w:val="auto"/>
              </w:rPr>
            </w:pPr>
            <w:r>
              <w:rPr>
                <w:rFonts w:ascii="Times New Roman" w:cs="Times New Roman" w:eastAsia="Times New Roman" w:hAnsi="Times New Roman"/>
                <w:sz w:val="20"/>
                <w:szCs w:val="20"/>
                <w:color w:val="auto"/>
                <w:w w:val="94"/>
              </w:rPr>
              <w:t>2029</w:t>
            </w:r>
          </w:p>
        </w:tc>
        <w:tc>
          <w:tcPr>
            <w:tcW w:w="9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ind w:left="1200"/>
              <w:spacing w:after="0"/>
              <w:rPr>
                <w:sz w:val="20"/>
                <w:szCs w:val="20"/>
                <w:color w:val="auto"/>
              </w:rPr>
            </w:pPr>
            <w:r>
              <w:rPr>
                <w:rFonts w:ascii="Times New Roman" w:cs="Times New Roman" w:eastAsia="Times New Roman" w:hAnsi="Times New Roman"/>
                <w:sz w:val="20"/>
                <w:szCs w:val="20"/>
                <w:color w:val="auto"/>
                <w:w w:val="93"/>
              </w:rPr>
              <w:t>467</w:t>
            </w:r>
          </w:p>
        </w:tc>
      </w:tr>
      <w:tr>
        <w:trPr>
          <w:trHeight w:val="235"/>
        </w:trPr>
        <w:tc>
          <w:tcPr>
            <w:tcW w:w="8870" w:type="dxa"/>
            <w:vAlign w:val="bottom"/>
            <w:shd w:val="clear" w:color="auto" w:fill="DBDBDB"/>
          </w:tcPr>
          <w:p>
            <w:pPr>
              <w:jc w:val="right"/>
              <w:ind w:right="8372"/>
              <w:spacing w:after="0"/>
              <w:rPr>
                <w:sz w:val="20"/>
                <w:szCs w:val="20"/>
                <w:color w:val="auto"/>
              </w:rPr>
            </w:pPr>
            <w:r>
              <w:rPr>
                <w:rFonts w:ascii="Times New Roman" w:cs="Times New Roman" w:eastAsia="Times New Roman" w:hAnsi="Times New Roman"/>
                <w:sz w:val="20"/>
                <w:szCs w:val="20"/>
                <w:color w:val="auto"/>
                <w:w w:val="94"/>
              </w:rPr>
              <w:t>2030</w:t>
            </w:r>
          </w:p>
        </w:tc>
        <w:tc>
          <w:tcPr>
            <w:tcW w:w="90" w:type="dxa"/>
            <w:vAlign w:val="bottom"/>
            <w:shd w:val="clear" w:color="auto" w:fill="DBDBDB"/>
          </w:tcPr>
          <w:p>
            <w:pPr>
              <w:spacing w:after="0"/>
              <w:rPr>
                <w:sz w:val="20"/>
                <w:szCs w:val="20"/>
                <w:color w:val="auto"/>
              </w:rPr>
            </w:pPr>
          </w:p>
        </w:tc>
        <w:tc>
          <w:tcPr>
            <w:tcW w:w="2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500" w:type="dxa"/>
            <w:vAlign w:val="bottom"/>
            <w:shd w:val="clear" w:color="auto" w:fill="DBDBDB"/>
          </w:tcPr>
          <w:p>
            <w:pPr>
              <w:ind w:left="1200"/>
              <w:spacing w:after="0"/>
              <w:rPr>
                <w:sz w:val="20"/>
                <w:szCs w:val="20"/>
                <w:color w:val="auto"/>
              </w:rPr>
            </w:pPr>
            <w:r>
              <w:rPr>
                <w:rFonts w:ascii="Times New Roman" w:cs="Times New Roman" w:eastAsia="Times New Roman" w:hAnsi="Times New Roman"/>
                <w:sz w:val="20"/>
                <w:szCs w:val="20"/>
                <w:color w:val="auto"/>
                <w:w w:val="93"/>
              </w:rPr>
              <w:t>467</w:t>
            </w:r>
          </w:p>
        </w:tc>
      </w:tr>
      <w:tr>
        <w:trPr>
          <w:trHeight w:val="238"/>
        </w:trPr>
        <w:tc>
          <w:tcPr>
            <w:tcW w:w="8870" w:type="dxa"/>
            <w:vAlign w:val="bottom"/>
            <w:tcBorders>
              <w:bottom w:val="single" w:sz="8" w:color="DBDBDB"/>
            </w:tcBorders>
          </w:tcPr>
          <w:p>
            <w:pPr>
              <w:ind w:left="20"/>
              <w:spacing w:after="0"/>
              <w:rPr>
                <w:sz w:val="20"/>
                <w:szCs w:val="20"/>
                <w:color w:val="auto"/>
              </w:rPr>
            </w:pPr>
            <w:r>
              <w:rPr>
                <w:rFonts w:ascii="Times New Roman" w:cs="Times New Roman" w:eastAsia="Times New Roman" w:hAnsi="Times New Roman"/>
                <w:sz w:val="20"/>
                <w:szCs w:val="20"/>
                <w:color w:val="auto"/>
              </w:rPr>
              <w:t>Thereafter</w:t>
            </w:r>
          </w:p>
        </w:tc>
        <w:tc>
          <w:tcPr>
            <w:tcW w:w="90" w:type="dxa"/>
            <w:vAlign w:val="bottom"/>
            <w:tcBorders>
              <w:bottom w:val="single" w:sz="8" w:color="DBDBDB"/>
            </w:tcBorders>
          </w:tcPr>
          <w:p>
            <w:pPr>
              <w:spacing w:after="0"/>
              <w:rPr>
                <w:sz w:val="20"/>
                <w:szCs w:val="20"/>
                <w:color w:val="auto"/>
              </w:rPr>
            </w:pPr>
          </w:p>
        </w:tc>
        <w:tc>
          <w:tcPr>
            <w:tcW w:w="20" w:type="dxa"/>
            <w:vAlign w:val="bottom"/>
            <w:tcBorders>
              <w:bottom w:val="single" w:sz="8" w:color="DBDBDB"/>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20"/>
                <w:szCs w:val="20"/>
                <w:color w:val="auto"/>
                <w:w w:val="97"/>
              </w:rPr>
              <w:t>1,288</w:t>
            </w:r>
          </w:p>
        </w:tc>
      </w:tr>
      <w:tr>
        <w:trPr>
          <w:trHeight w:val="242"/>
        </w:trPr>
        <w:tc>
          <w:tcPr>
            <w:tcW w:w="8870" w:type="dxa"/>
            <w:vAlign w:val="bottom"/>
            <w:tcBorders>
              <w:bottom w:val="single" w:sz="8" w:color="DBDBDB"/>
            </w:tcBorders>
            <w:shd w:val="clear" w:color="auto" w:fill="DBDBDB"/>
          </w:tcPr>
          <w:p>
            <w:pPr>
              <w:ind w:left="20"/>
              <w:spacing w:after="0" w:line="220" w:lineRule="exact"/>
              <w:rPr>
                <w:sz w:val="20"/>
                <w:szCs w:val="20"/>
                <w:color w:val="auto"/>
              </w:rPr>
            </w:pPr>
            <w:r>
              <w:rPr>
                <w:rFonts w:ascii="Times New Roman" w:cs="Times New Roman" w:eastAsia="Times New Roman" w:hAnsi="Times New Roman"/>
                <w:sz w:val="20"/>
                <w:szCs w:val="20"/>
                <w:color w:val="auto"/>
              </w:rPr>
              <w:t>Total</w:t>
            </w:r>
          </w:p>
        </w:tc>
        <w:tc>
          <w:tcPr>
            <w:tcW w:w="90" w:type="dxa"/>
            <w:vAlign w:val="bottom"/>
            <w:tcBorders>
              <w:bottom w:val="single" w:sz="8" w:color="DBDBDB"/>
            </w:tcBorders>
            <w:shd w:val="clear" w:color="auto" w:fill="DBDBDB"/>
          </w:tcPr>
          <w:p>
            <w:pPr>
              <w:spacing w:after="0"/>
              <w:rPr>
                <w:sz w:val="21"/>
                <w:szCs w:val="21"/>
                <w:color w:val="auto"/>
              </w:rPr>
            </w:pPr>
          </w:p>
        </w:tc>
        <w:tc>
          <w:tcPr>
            <w:tcW w:w="20" w:type="dxa"/>
            <w:vAlign w:val="bottom"/>
            <w:tcBorders>
              <w:bottom w:val="single" w:sz="8" w:color="DBDBDB"/>
            </w:tcBorders>
            <w:shd w:val="clear" w:color="auto" w:fill="DBDBDB"/>
          </w:tcPr>
          <w:p>
            <w:pPr>
              <w:spacing w:after="0"/>
              <w:rPr>
                <w:sz w:val="21"/>
                <w:szCs w:val="21"/>
                <w:color w:val="auto"/>
              </w:rPr>
            </w:pPr>
          </w:p>
        </w:tc>
        <w:tc>
          <w:tcPr>
            <w:tcW w:w="120" w:type="dxa"/>
            <w:vAlign w:val="bottom"/>
            <w:tcBorders>
              <w:bottom w:val="single" w:sz="8" w:color="DBDBDB"/>
            </w:tcBorders>
            <w:shd w:val="clear" w:color="auto" w:fill="DBDBDB"/>
          </w:tcPr>
          <w:p>
            <w:pPr>
              <w:spacing w:after="0" w:line="220" w:lineRule="exact"/>
              <w:rPr>
                <w:sz w:val="20"/>
                <w:szCs w:val="20"/>
                <w:color w:val="auto"/>
              </w:rPr>
            </w:pPr>
            <w:r>
              <w:rPr>
                <w:rFonts w:ascii="Times New Roman" w:cs="Times New Roman" w:eastAsia="Times New Roman" w:hAnsi="Times New Roman"/>
                <w:sz w:val="20"/>
                <w:szCs w:val="20"/>
                <w:color w:val="auto"/>
                <w:highlight w:val="lightGray"/>
                <w:w w:val="99"/>
              </w:rPr>
              <w:t>$</w:t>
            </w:r>
          </w:p>
        </w:tc>
        <w:tc>
          <w:tcPr>
            <w:tcW w:w="1500" w:type="dxa"/>
            <w:vAlign w:val="bottom"/>
            <w:tcBorders>
              <w:bottom w:val="single" w:sz="8" w:color="DBDBDB"/>
            </w:tcBorders>
            <w:shd w:val="clear" w:color="auto" w:fill="DBDBDB"/>
          </w:tcPr>
          <w:p>
            <w:pPr>
              <w:ind w:left="1040"/>
              <w:spacing w:after="0" w:line="220" w:lineRule="exact"/>
              <w:rPr>
                <w:sz w:val="20"/>
                <w:szCs w:val="20"/>
                <w:color w:val="auto"/>
              </w:rPr>
            </w:pPr>
            <w:r>
              <w:rPr>
                <w:rFonts w:ascii="Times New Roman" w:cs="Times New Roman" w:eastAsia="Times New Roman" w:hAnsi="Times New Roman"/>
                <w:sz w:val="20"/>
                <w:szCs w:val="20"/>
                <w:color w:val="auto"/>
                <w:w w:val="97"/>
              </w:rPr>
              <w:t>3,623</w:t>
            </w:r>
          </w:p>
        </w:tc>
      </w:tr>
      <w:tr>
        <w:trPr>
          <w:trHeight w:val="20"/>
        </w:trPr>
        <w:tc>
          <w:tcPr>
            <w:tcW w:w="8870" w:type="dxa"/>
            <w:vAlign w:val="bottom"/>
          </w:tcPr>
          <w:p>
            <w:pPr>
              <w:spacing w:after="0" w:line="20" w:lineRule="exact"/>
              <w:rPr>
                <w:sz w:val="1"/>
                <w:szCs w:val="1"/>
                <w:color w:val="auto"/>
              </w:rPr>
            </w:pPr>
          </w:p>
        </w:tc>
        <w:tc>
          <w:tcPr>
            <w:tcW w:w="9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600"/>
          </w:cols>
          <w:pgMar w:left="640" w:top="410"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ectPr>
          <w:pgSz w:w="11880" w:h="15480" w:orient="portrait"/>
          <w:cols w:equalWidth="0" w:num="1">
            <w:col w:w="10600"/>
          </w:cols>
          <w:pgMar w:left="640" w:top="410" w:right="640" w:bottom="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20"/>
          <w:szCs w:val="20"/>
          <w:b w:val="1"/>
          <w:bCs w:val="1"/>
          <w:color w:val="auto"/>
        </w:rPr>
        <w:t>NOTE J—FAIR VALUE OF FINANCIAL INSTRUMENTS</w:t>
      </w:r>
    </w:p>
    <w:p>
      <w:pPr>
        <w:spacing w:after="0" w:line="222" w:lineRule="exact"/>
        <w:rPr>
          <w:sz w:val="20"/>
          <w:szCs w:val="20"/>
          <w:color w:val="auto"/>
        </w:rPr>
      </w:pPr>
    </w:p>
    <w:p>
      <w:pPr>
        <w:ind w:firstLine="706"/>
        <w:spacing w:after="0" w:line="268" w:lineRule="auto"/>
        <w:rPr>
          <w:sz w:val="20"/>
          <w:szCs w:val="20"/>
          <w:color w:val="auto"/>
        </w:rPr>
      </w:pPr>
      <w:r>
        <w:rPr>
          <w:rFonts w:ascii="Times New Roman" w:cs="Times New Roman" w:eastAsia="Times New Roman" w:hAnsi="Times New Roman"/>
          <w:sz w:val="20"/>
          <w:szCs w:val="20"/>
          <w:color w:val="auto"/>
        </w:rPr>
        <w:t>The following table presents a summary of the Company’s financial instruments measured at fair value on a recurring basis as of December 31, 2025 (in thousands):</w:t>
      </w:r>
    </w:p>
    <w:p>
      <w:pPr>
        <w:spacing w:after="0" w:line="161"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5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w w:val="97"/>
              </w:rPr>
              <w:t>Quoted</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6"/>
        </w:trPr>
        <w:tc>
          <w:tcPr>
            <w:tcW w:w="5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w w:val="97"/>
              </w:rPr>
              <w:t>prices</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Significant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5"/>
        </w:trPr>
        <w:tc>
          <w:tcPr>
            <w:tcW w:w="5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w w:val="97"/>
              </w:rPr>
              <w:t>in active</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center"/>
              <w:ind w:right="2"/>
              <w:spacing w:after="0"/>
              <w:rPr>
                <w:sz w:val="20"/>
                <w:szCs w:val="20"/>
                <w:color w:val="auto"/>
              </w:rPr>
            </w:pPr>
            <w:r>
              <w:rPr>
                <w:rFonts w:ascii="Times New Roman" w:cs="Times New Roman" w:eastAsia="Times New Roman" w:hAnsi="Times New Roman"/>
                <w:sz w:val="20"/>
                <w:szCs w:val="20"/>
                <w:b w:val="1"/>
                <w:bCs w:val="1"/>
                <w:color w:val="auto"/>
              </w:rPr>
              <w:t>other</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5"/>
        </w:trPr>
        <w:tc>
          <w:tcPr>
            <w:tcW w:w="5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gridSpan w:val="3"/>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9"/>
              </w:rPr>
              <w:t>markets for</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observable</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Significant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5"/>
        </w:trPr>
        <w:tc>
          <w:tcPr>
            <w:tcW w:w="5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8"/>
              </w:rPr>
              <w:t>identical</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remaining</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w w:val="96"/>
              </w:rPr>
              <w:t>unobservable</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25"/>
        </w:trPr>
        <w:tc>
          <w:tcPr>
            <w:tcW w:w="5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center"/>
              <w:ind w:right="120"/>
              <w:spacing w:after="0" w:line="225" w:lineRule="exact"/>
              <w:rPr>
                <w:sz w:val="20"/>
                <w:szCs w:val="20"/>
                <w:color w:val="auto"/>
              </w:rPr>
            </w:pPr>
            <w:r>
              <w:rPr>
                <w:rFonts w:ascii="Times New Roman" w:cs="Times New Roman" w:eastAsia="Times New Roman" w:hAnsi="Times New Roman"/>
                <w:sz w:val="20"/>
                <w:szCs w:val="20"/>
                <w:b w:val="1"/>
                <w:bCs w:val="1"/>
                <w:color w:val="auto"/>
                <w:w w:val="98"/>
              </w:rPr>
              <w:t>assets</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center"/>
              <w:ind w:right="22"/>
              <w:spacing w:after="0" w:line="225" w:lineRule="exact"/>
              <w:rPr>
                <w:sz w:val="20"/>
                <w:szCs w:val="20"/>
                <w:color w:val="auto"/>
              </w:rPr>
            </w:pPr>
            <w:r>
              <w:rPr>
                <w:rFonts w:ascii="Times New Roman" w:cs="Times New Roman" w:eastAsia="Times New Roman" w:hAnsi="Times New Roman"/>
                <w:sz w:val="20"/>
                <w:szCs w:val="20"/>
                <w:b w:val="1"/>
                <w:bCs w:val="1"/>
                <w:color w:val="auto"/>
                <w:w w:val="97"/>
              </w:rPr>
              <w:t>inputs</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gridSpan w:val="2"/>
          </w:tcPr>
          <w:p>
            <w:pPr>
              <w:ind w:left="20"/>
              <w:spacing w:after="0" w:line="225" w:lineRule="exact"/>
              <w:rPr>
                <w:sz w:val="20"/>
                <w:szCs w:val="20"/>
                <w:color w:val="auto"/>
              </w:rPr>
            </w:pPr>
            <w:r>
              <w:rPr>
                <w:rFonts w:ascii="Times New Roman" w:cs="Times New Roman" w:eastAsia="Times New Roman" w:hAnsi="Times New Roman"/>
                <w:sz w:val="20"/>
                <w:szCs w:val="20"/>
                <w:b w:val="1"/>
                <w:bCs w:val="1"/>
                <w:color w:val="auto"/>
                <w:w w:val="96"/>
              </w:rPr>
              <w:t>inputs (Level</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56"/>
        </w:trPr>
        <w:tc>
          <w:tcPr>
            <w:tcW w:w="5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5"/>
              </w:rPr>
              <w:t>(Level 1)</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jc w:val="center"/>
              <w:ind w:right="2"/>
              <w:spacing w:after="0"/>
              <w:rPr>
                <w:sz w:val="20"/>
                <w:szCs w:val="20"/>
                <w:color w:val="auto"/>
              </w:rPr>
            </w:pPr>
            <w:r>
              <w:rPr>
                <w:rFonts w:ascii="Times New Roman" w:cs="Times New Roman" w:eastAsia="Times New Roman" w:hAnsi="Times New Roman"/>
                <w:sz w:val="20"/>
                <w:szCs w:val="20"/>
                <w:b w:val="1"/>
                <w:bCs w:val="1"/>
                <w:color w:val="auto"/>
                <w:w w:val="98"/>
              </w:rPr>
              <w:t>(Level 2)</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ind w:left="380"/>
              <w:spacing w:after="0"/>
              <w:rPr>
                <w:sz w:val="20"/>
                <w:szCs w:val="20"/>
                <w:color w:val="auto"/>
              </w:rPr>
            </w:pPr>
            <w:r>
              <w:rPr>
                <w:rFonts w:ascii="Times New Roman" w:cs="Times New Roman" w:eastAsia="Times New Roman" w:hAnsi="Times New Roman"/>
                <w:sz w:val="20"/>
                <w:szCs w:val="20"/>
                <w:b w:val="1"/>
                <w:bCs w:val="1"/>
                <w:color w:val="auto"/>
              </w:rPr>
              <w:t>3)</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jc w:val="right"/>
              <w:ind w:right="202"/>
              <w:spacing w:after="0"/>
              <w:rPr>
                <w:sz w:val="20"/>
                <w:szCs w:val="20"/>
                <w:color w:val="auto"/>
              </w:rPr>
            </w:pPr>
            <w:r>
              <w:rPr>
                <w:rFonts w:ascii="Times New Roman" w:cs="Times New Roman" w:eastAsia="Times New Roman" w:hAnsi="Times New Roman"/>
                <w:sz w:val="20"/>
                <w:szCs w:val="20"/>
                <w:b w:val="1"/>
                <w:bCs w:val="1"/>
                <w:color w:val="auto"/>
              </w:rPr>
              <w:t>Total</w:t>
            </w:r>
          </w:p>
        </w:tc>
      </w:tr>
      <w:tr>
        <w:trPr>
          <w:trHeight w:val="225"/>
        </w:trPr>
        <w:tc>
          <w:tcPr>
            <w:tcW w:w="5480" w:type="dxa"/>
            <w:vAlign w:val="bottom"/>
            <w:tcBorders>
              <w:top w:val="single" w:sz="8" w:color="DBDBDB"/>
            </w:tcBorders>
            <w:shd w:val="clear" w:color="auto" w:fill="DBDBDB"/>
          </w:tcPr>
          <w:p>
            <w:pPr>
              <w:spacing w:after="0" w:line="220" w:lineRule="exact"/>
              <w:rPr>
                <w:sz w:val="20"/>
                <w:szCs w:val="20"/>
                <w:color w:val="auto"/>
              </w:rPr>
            </w:pPr>
            <w:r>
              <w:rPr>
                <w:rFonts w:ascii="Times New Roman" w:cs="Times New Roman" w:eastAsia="Times New Roman" w:hAnsi="Times New Roman"/>
                <w:sz w:val="20"/>
                <w:szCs w:val="20"/>
                <w:color w:val="auto"/>
              </w:rPr>
              <w:t>Assets:</w:t>
            </w:r>
          </w:p>
        </w:tc>
        <w:tc>
          <w:tcPr>
            <w:tcW w:w="20" w:type="dxa"/>
            <w:vAlign w:val="bottom"/>
            <w:tcBorders>
              <w:top w:val="single" w:sz="8" w:color="DBDBDB"/>
            </w:tcBorders>
            <w:shd w:val="clear" w:color="auto" w:fill="DBDBDB"/>
          </w:tcPr>
          <w:p>
            <w:pPr>
              <w:spacing w:after="0"/>
              <w:rPr>
                <w:sz w:val="19"/>
                <w:szCs w:val="19"/>
                <w:color w:val="auto"/>
              </w:rPr>
            </w:pPr>
          </w:p>
        </w:tc>
        <w:tc>
          <w:tcPr>
            <w:tcW w:w="80" w:type="dxa"/>
            <w:vAlign w:val="bottom"/>
            <w:tcBorders>
              <w:top w:val="single" w:sz="8" w:color="auto"/>
            </w:tcBorders>
            <w:shd w:val="clear" w:color="auto" w:fill="DBDBDB"/>
          </w:tcPr>
          <w:p>
            <w:pPr>
              <w:spacing w:after="0"/>
              <w:rPr>
                <w:sz w:val="19"/>
                <w:szCs w:val="19"/>
                <w:color w:val="auto"/>
              </w:rPr>
            </w:pPr>
          </w:p>
        </w:tc>
        <w:tc>
          <w:tcPr>
            <w:tcW w:w="2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auto"/>
            </w:tcBorders>
            <w:shd w:val="clear" w:color="auto" w:fill="DBDBDB"/>
          </w:tcPr>
          <w:p>
            <w:pPr>
              <w:spacing w:after="0"/>
              <w:rPr>
                <w:sz w:val="19"/>
                <w:szCs w:val="19"/>
                <w:color w:val="auto"/>
              </w:rPr>
            </w:pPr>
          </w:p>
        </w:tc>
        <w:tc>
          <w:tcPr>
            <w:tcW w:w="940" w:type="dxa"/>
            <w:vAlign w:val="bottom"/>
            <w:tcBorders>
              <w:top w:val="single" w:sz="8" w:color="auto"/>
            </w:tcBorders>
            <w:shd w:val="clear" w:color="auto" w:fill="DBDBDB"/>
          </w:tcPr>
          <w:p>
            <w:pPr>
              <w:spacing w:after="0"/>
              <w:rPr>
                <w:sz w:val="19"/>
                <w:szCs w:val="19"/>
                <w:color w:val="auto"/>
              </w:rPr>
            </w:pPr>
          </w:p>
        </w:tc>
        <w:tc>
          <w:tcPr>
            <w:tcW w:w="20" w:type="dxa"/>
            <w:vAlign w:val="bottom"/>
            <w:tcBorders>
              <w:top w:val="single" w:sz="8" w:color="DBDBDB"/>
            </w:tcBorders>
            <w:shd w:val="clear" w:color="auto" w:fill="DBDBDB"/>
          </w:tcPr>
          <w:p>
            <w:pPr>
              <w:spacing w:after="0"/>
              <w:rPr>
                <w:sz w:val="19"/>
                <w:szCs w:val="19"/>
                <w:color w:val="auto"/>
              </w:rPr>
            </w:pPr>
          </w:p>
        </w:tc>
        <w:tc>
          <w:tcPr>
            <w:tcW w:w="160" w:type="dxa"/>
            <w:vAlign w:val="bottom"/>
            <w:tcBorders>
              <w:top w:val="single" w:sz="8" w:color="DBDBDB"/>
            </w:tcBorders>
            <w:shd w:val="clear" w:color="auto" w:fill="DBDBDB"/>
          </w:tcPr>
          <w:p>
            <w:pPr>
              <w:spacing w:after="0"/>
              <w:rPr>
                <w:sz w:val="19"/>
                <w:szCs w:val="19"/>
                <w:color w:val="auto"/>
              </w:rPr>
            </w:pPr>
          </w:p>
        </w:tc>
        <w:tc>
          <w:tcPr>
            <w:tcW w:w="20" w:type="dxa"/>
            <w:vAlign w:val="bottom"/>
            <w:tcBorders>
              <w:top w:val="single" w:sz="8" w:color="DBDBDB"/>
            </w:tcBorders>
            <w:shd w:val="clear" w:color="auto" w:fill="DBDBDB"/>
          </w:tcPr>
          <w:p>
            <w:pPr>
              <w:spacing w:after="0"/>
              <w:rPr>
                <w:sz w:val="19"/>
                <w:szCs w:val="19"/>
                <w:color w:val="auto"/>
              </w:rPr>
            </w:pPr>
          </w:p>
        </w:tc>
        <w:tc>
          <w:tcPr>
            <w:tcW w:w="100" w:type="dxa"/>
            <w:vAlign w:val="bottom"/>
            <w:tcBorders>
              <w:top w:val="single" w:sz="8" w:color="auto"/>
            </w:tcBorders>
            <w:shd w:val="clear" w:color="auto" w:fill="DBDBDB"/>
          </w:tcPr>
          <w:p>
            <w:pPr>
              <w:spacing w:after="0"/>
              <w:rPr>
                <w:sz w:val="19"/>
                <w:szCs w:val="19"/>
                <w:color w:val="auto"/>
              </w:rPr>
            </w:pPr>
          </w:p>
        </w:tc>
        <w:tc>
          <w:tcPr>
            <w:tcW w:w="960" w:type="dxa"/>
            <w:vAlign w:val="bottom"/>
            <w:tcBorders>
              <w:top w:val="single" w:sz="8" w:color="auto"/>
            </w:tcBorders>
            <w:shd w:val="clear" w:color="auto" w:fill="DBDBDB"/>
          </w:tcPr>
          <w:p>
            <w:pPr>
              <w:spacing w:after="0"/>
              <w:rPr>
                <w:sz w:val="19"/>
                <w:szCs w:val="19"/>
                <w:color w:val="auto"/>
              </w:rPr>
            </w:pPr>
          </w:p>
        </w:tc>
        <w:tc>
          <w:tcPr>
            <w:tcW w:w="180" w:type="dxa"/>
            <w:vAlign w:val="bottom"/>
            <w:tcBorders>
              <w:top w:val="single" w:sz="8" w:color="DBDBDB"/>
            </w:tcBorders>
            <w:shd w:val="clear" w:color="auto" w:fill="DBDBDB"/>
          </w:tcPr>
          <w:p>
            <w:pPr>
              <w:spacing w:after="0"/>
              <w:rPr>
                <w:sz w:val="19"/>
                <w:szCs w:val="19"/>
                <w:color w:val="auto"/>
              </w:rPr>
            </w:pPr>
          </w:p>
        </w:tc>
        <w:tc>
          <w:tcPr>
            <w:tcW w:w="20" w:type="dxa"/>
            <w:vAlign w:val="bottom"/>
            <w:tcBorders>
              <w:top w:val="single" w:sz="8" w:color="DBDBDB"/>
            </w:tcBorders>
            <w:shd w:val="clear" w:color="auto" w:fill="DBDBDB"/>
          </w:tcPr>
          <w:p>
            <w:pPr>
              <w:spacing w:after="0"/>
              <w:rPr>
                <w:sz w:val="19"/>
                <w:szCs w:val="19"/>
                <w:color w:val="auto"/>
              </w:rPr>
            </w:pPr>
          </w:p>
        </w:tc>
        <w:tc>
          <w:tcPr>
            <w:tcW w:w="100" w:type="dxa"/>
            <w:vAlign w:val="bottom"/>
            <w:tcBorders>
              <w:top w:val="single" w:sz="8" w:color="auto"/>
            </w:tcBorders>
            <w:shd w:val="clear" w:color="auto" w:fill="DBDBDB"/>
          </w:tcPr>
          <w:p>
            <w:pPr>
              <w:spacing w:after="0"/>
              <w:rPr>
                <w:sz w:val="19"/>
                <w:szCs w:val="19"/>
                <w:color w:val="auto"/>
              </w:rPr>
            </w:pPr>
          </w:p>
        </w:tc>
        <w:tc>
          <w:tcPr>
            <w:tcW w:w="1020" w:type="dxa"/>
            <w:vAlign w:val="bottom"/>
            <w:tcBorders>
              <w:top w:val="single" w:sz="8" w:color="auto"/>
            </w:tcBorders>
            <w:shd w:val="clear" w:color="auto" w:fill="DBDBDB"/>
          </w:tcPr>
          <w:p>
            <w:pPr>
              <w:spacing w:after="0"/>
              <w:rPr>
                <w:sz w:val="19"/>
                <w:szCs w:val="19"/>
                <w:color w:val="auto"/>
              </w:rPr>
            </w:pPr>
          </w:p>
        </w:tc>
        <w:tc>
          <w:tcPr>
            <w:tcW w:w="200" w:type="dxa"/>
            <w:vAlign w:val="bottom"/>
            <w:tcBorders>
              <w:top w:val="single" w:sz="8" w:color="DBDBDB"/>
            </w:tcBorders>
            <w:shd w:val="clear" w:color="auto" w:fill="DBDBDB"/>
          </w:tcPr>
          <w:p>
            <w:pPr>
              <w:spacing w:after="0"/>
              <w:rPr>
                <w:sz w:val="19"/>
                <w:szCs w:val="19"/>
                <w:color w:val="auto"/>
              </w:rPr>
            </w:pPr>
          </w:p>
        </w:tc>
        <w:tc>
          <w:tcPr>
            <w:tcW w:w="120" w:type="dxa"/>
            <w:vAlign w:val="bottom"/>
            <w:tcBorders>
              <w:top w:val="single" w:sz="8" w:color="auto"/>
            </w:tcBorders>
            <w:shd w:val="clear" w:color="auto" w:fill="DBDBDB"/>
          </w:tcPr>
          <w:p>
            <w:pPr>
              <w:spacing w:after="0"/>
              <w:rPr>
                <w:sz w:val="19"/>
                <w:szCs w:val="19"/>
                <w:color w:val="auto"/>
              </w:rPr>
            </w:pPr>
          </w:p>
        </w:tc>
        <w:tc>
          <w:tcPr>
            <w:tcW w:w="940" w:type="dxa"/>
            <w:vAlign w:val="bottom"/>
            <w:tcBorders>
              <w:top w:val="single" w:sz="8" w:color="auto"/>
            </w:tcBorders>
            <w:shd w:val="clear" w:color="auto" w:fill="DBDBDB"/>
          </w:tcPr>
          <w:p>
            <w:pPr>
              <w:spacing w:after="0"/>
              <w:rPr>
                <w:sz w:val="19"/>
                <w:szCs w:val="19"/>
                <w:color w:val="auto"/>
              </w:rPr>
            </w:pPr>
          </w:p>
        </w:tc>
      </w:tr>
      <w:tr>
        <w:trPr>
          <w:trHeight w:val="235"/>
        </w:trPr>
        <w:tc>
          <w:tcPr>
            <w:tcW w:w="54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2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206,140</w:t>
            </w:r>
          </w:p>
        </w:tc>
        <w:tc>
          <w:tcPr>
            <w:tcW w:w="20" w:type="dxa"/>
            <w:vAlign w:val="bottom"/>
          </w:tcPr>
          <w:p>
            <w:pPr>
              <w:spacing w:after="0"/>
              <w:rPr>
                <w:sz w:val="20"/>
                <w:szCs w:val="20"/>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Pr>
          <w:p>
            <w:pPr>
              <w:ind w:left="820"/>
              <w:spacing w:after="0"/>
              <w:rPr>
                <w:sz w:val="20"/>
                <w:szCs w:val="20"/>
                <w:color w:val="auto"/>
              </w:rPr>
            </w:pPr>
            <w:r>
              <w:rPr>
                <w:rFonts w:ascii="Times New Roman" w:cs="Times New Roman" w:eastAsia="Times New Roman" w:hAnsi="Times New Roman"/>
                <w:sz w:val="20"/>
                <w:szCs w:val="20"/>
                <w:color w:val="auto"/>
                <w:w w:val="89"/>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206,140</w:t>
            </w:r>
          </w:p>
        </w:tc>
      </w:tr>
      <w:tr>
        <w:trPr>
          <w:trHeight w:val="235"/>
        </w:trPr>
        <w:tc>
          <w:tcPr>
            <w:tcW w:w="5480" w:type="dxa"/>
            <w:vAlign w:val="bottom"/>
            <w:shd w:val="clear" w:color="auto" w:fill="DBDBDB"/>
          </w:tcPr>
          <w:p>
            <w:pPr>
              <w:ind w:left="180"/>
              <w:spacing w:after="0" w:line="229" w:lineRule="exact"/>
              <w:rPr>
                <w:sz w:val="20"/>
                <w:szCs w:val="20"/>
                <w:color w:val="auto"/>
              </w:rPr>
            </w:pPr>
            <w:r>
              <w:rPr>
                <w:rFonts w:ascii="Times New Roman" w:cs="Times New Roman" w:eastAsia="Times New Roman" w:hAnsi="Times New Roman"/>
                <w:sz w:val="20"/>
                <w:szCs w:val="20"/>
                <w:color w:val="auto"/>
              </w:rPr>
              <w:t>Restricted cash</w:t>
            </w:r>
          </w:p>
        </w:tc>
        <w:tc>
          <w:tcPr>
            <w:tcW w:w="2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20" w:type="dxa"/>
            <w:vAlign w:val="bottom"/>
            <w:shd w:val="clear" w:color="auto" w:fill="DBDBDB"/>
          </w:tcPr>
          <w:p>
            <w:pPr>
              <w:spacing w:after="0"/>
              <w:rPr>
                <w:sz w:val="20"/>
                <w:szCs w:val="20"/>
                <w:color w:val="auto"/>
              </w:rPr>
            </w:pPr>
          </w:p>
        </w:tc>
        <w:tc>
          <w:tcPr>
            <w:tcW w:w="100" w:type="dxa"/>
            <w:vAlign w:val="bottom"/>
            <w:tcBorders>
              <w:bottom w:val="single" w:sz="8" w:color="auto"/>
            </w:tcBorders>
            <w:shd w:val="clear" w:color="auto" w:fill="DBDBDB"/>
          </w:tcPr>
          <w:p>
            <w:pPr>
              <w:spacing w:after="0"/>
              <w:rPr>
                <w:sz w:val="20"/>
                <w:szCs w:val="20"/>
                <w:color w:val="auto"/>
              </w:rPr>
            </w:pPr>
          </w:p>
        </w:tc>
        <w:tc>
          <w:tcPr>
            <w:tcW w:w="940" w:type="dxa"/>
            <w:vAlign w:val="bottom"/>
            <w:tcBorders>
              <w:bottom w:val="single" w:sz="8" w:color="auto"/>
            </w:tcBorders>
            <w:shd w:val="clear" w:color="auto" w:fill="DBDBDB"/>
          </w:tcPr>
          <w:p>
            <w:pPr>
              <w:jc w:val="right"/>
              <w:spacing w:after="0" w:line="229" w:lineRule="exact"/>
              <w:rPr>
                <w:sz w:val="20"/>
                <w:szCs w:val="20"/>
                <w:color w:val="auto"/>
              </w:rPr>
            </w:pPr>
            <w:r>
              <w:rPr>
                <w:rFonts w:ascii="Times New Roman" w:cs="Times New Roman" w:eastAsia="Times New Roman" w:hAnsi="Times New Roman"/>
                <w:sz w:val="20"/>
                <w:szCs w:val="20"/>
                <w:color w:val="auto"/>
              </w:rPr>
              <w:t>9,895</w:t>
            </w:r>
          </w:p>
        </w:tc>
        <w:tc>
          <w:tcPr>
            <w:tcW w:w="20" w:type="dxa"/>
            <w:vAlign w:val="bottom"/>
            <w:shd w:val="clear" w:color="auto" w:fill="DBDBDB"/>
          </w:tcPr>
          <w:p>
            <w:pPr>
              <w:spacing w:after="0"/>
              <w:rPr>
                <w:sz w:val="20"/>
                <w:szCs w:val="20"/>
                <w:color w:val="auto"/>
              </w:rPr>
            </w:pPr>
          </w:p>
        </w:tc>
        <w:tc>
          <w:tcPr>
            <w:tcW w:w="160" w:type="dxa"/>
            <w:vAlign w:val="bottom"/>
            <w:shd w:val="clear" w:color="auto" w:fill="DBDBDB"/>
          </w:tcPr>
          <w:p>
            <w:pPr>
              <w:spacing w:after="0"/>
              <w:rPr>
                <w:sz w:val="20"/>
                <w:szCs w:val="20"/>
                <w:color w:val="auto"/>
              </w:rPr>
            </w:pPr>
          </w:p>
        </w:tc>
        <w:tc>
          <w:tcPr>
            <w:tcW w:w="20" w:type="dxa"/>
            <w:vAlign w:val="bottom"/>
            <w:shd w:val="clear" w:color="auto" w:fill="DBDBDB"/>
          </w:tcPr>
          <w:p>
            <w:pPr>
              <w:spacing w:after="0"/>
              <w:rPr>
                <w:sz w:val="20"/>
                <w:szCs w:val="20"/>
                <w:color w:val="auto"/>
              </w:rPr>
            </w:pPr>
          </w:p>
        </w:tc>
        <w:tc>
          <w:tcPr>
            <w:tcW w:w="100" w:type="dxa"/>
            <w:vAlign w:val="bottom"/>
            <w:tcBorders>
              <w:bottom w:val="single" w:sz="8" w:color="auto"/>
            </w:tcBorders>
            <w:shd w:val="clear" w:color="auto" w:fill="DBDBDB"/>
          </w:tcPr>
          <w:p>
            <w:pPr>
              <w:spacing w:after="0"/>
              <w:rPr>
                <w:sz w:val="20"/>
                <w:szCs w:val="20"/>
                <w:color w:val="auto"/>
              </w:rPr>
            </w:pPr>
          </w:p>
        </w:tc>
        <w:tc>
          <w:tcPr>
            <w:tcW w:w="960" w:type="dxa"/>
            <w:vAlign w:val="bottom"/>
            <w:tcBorders>
              <w:bottom w:val="single" w:sz="8" w:color="auto"/>
            </w:tcBorders>
            <w:shd w:val="clear" w:color="auto" w:fill="DBDBDB"/>
          </w:tcPr>
          <w:p>
            <w:pPr>
              <w:jc w:val="right"/>
              <w:spacing w:after="0" w:line="229"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shd w:val="clear" w:color="auto" w:fill="DBDBDB"/>
          </w:tcPr>
          <w:p>
            <w:pPr>
              <w:spacing w:after="0"/>
              <w:rPr>
                <w:sz w:val="20"/>
                <w:szCs w:val="20"/>
                <w:color w:val="auto"/>
              </w:rPr>
            </w:pPr>
          </w:p>
        </w:tc>
        <w:tc>
          <w:tcPr>
            <w:tcW w:w="20" w:type="dxa"/>
            <w:vAlign w:val="bottom"/>
            <w:shd w:val="clear" w:color="auto" w:fill="DBDBDB"/>
          </w:tcPr>
          <w:p>
            <w:pPr>
              <w:spacing w:after="0"/>
              <w:rPr>
                <w:sz w:val="20"/>
                <w:szCs w:val="20"/>
                <w:color w:val="auto"/>
              </w:rPr>
            </w:pPr>
          </w:p>
        </w:tc>
        <w:tc>
          <w:tcPr>
            <w:tcW w:w="100" w:type="dxa"/>
            <w:vAlign w:val="bottom"/>
            <w:tcBorders>
              <w:bottom w:val="single" w:sz="8" w:color="auto"/>
            </w:tcBorders>
            <w:shd w:val="clear" w:color="auto" w:fill="DBDBDB"/>
          </w:tcPr>
          <w:p>
            <w:pPr>
              <w:spacing w:after="0"/>
              <w:rPr>
                <w:sz w:val="20"/>
                <w:szCs w:val="20"/>
                <w:color w:val="auto"/>
              </w:rPr>
            </w:pPr>
          </w:p>
        </w:tc>
        <w:tc>
          <w:tcPr>
            <w:tcW w:w="1020" w:type="dxa"/>
            <w:vAlign w:val="bottom"/>
            <w:tcBorders>
              <w:bottom w:val="single" w:sz="8" w:color="auto"/>
            </w:tcBorders>
            <w:shd w:val="clear" w:color="auto" w:fill="DBDBDB"/>
          </w:tcPr>
          <w:p>
            <w:pPr>
              <w:ind w:left="820"/>
              <w:spacing w:after="0" w:line="229" w:lineRule="exact"/>
              <w:rPr>
                <w:sz w:val="20"/>
                <w:szCs w:val="20"/>
                <w:color w:val="auto"/>
              </w:rPr>
            </w:pPr>
            <w:r>
              <w:rPr>
                <w:rFonts w:ascii="Times New Roman" w:cs="Times New Roman" w:eastAsia="Times New Roman" w:hAnsi="Times New Roman"/>
                <w:sz w:val="20"/>
                <w:szCs w:val="20"/>
                <w:color w:val="auto"/>
                <w:w w:val="89"/>
              </w:rPr>
              <w:t>—</w:t>
            </w:r>
          </w:p>
        </w:tc>
        <w:tc>
          <w:tcPr>
            <w:tcW w:w="200" w:type="dxa"/>
            <w:vAlign w:val="bottom"/>
            <w:shd w:val="clear" w:color="auto" w:fill="DBDBDB"/>
          </w:tcPr>
          <w:p>
            <w:pPr>
              <w:spacing w:after="0"/>
              <w:rPr>
                <w:sz w:val="20"/>
                <w:szCs w:val="20"/>
                <w:color w:val="auto"/>
              </w:rPr>
            </w:pPr>
          </w:p>
        </w:tc>
        <w:tc>
          <w:tcPr>
            <w:tcW w:w="120" w:type="dxa"/>
            <w:vAlign w:val="bottom"/>
            <w:tcBorders>
              <w:bottom w:val="single" w:sz="8" w:color="auto"/>
            </w:tcBorders>
            <w:shd w:val="clear" w:color="auto" w:fill="DBDBDB"/>
          </w:tcPr>
          <w:p>
            <w:pPr>
              <w:spacing w:after="0"/>
              <w:rPr>
                <w:sz w:val="20"/>
                <w:szCs w:val="20"/>
                <w:color w:val="auto"/>
              </w:rPr>
            </w:pPr>
          </w:p>
        </w:tc>
        <w:tc>
          <w:tcPr>
            <w:tcW w:w="940" w:type="dxa"/>
            <w:vAlign w:val="bottom"/>
            <w:tcBorders>
              <w:bottom w:val="single" w:sz="8" w:color="auto"/>
            </w:tcBorders>
            <w:shd w:val="clear" w:color="auto" w:fill="DBDBDB"/>
          </w:tcPr>
          <w:p>
            <w:pPr>
              <w:jc w:val="right"/>
              <w:spacing w:after="0" w:line="229" w:lineRule="exact"/>
              <w:rPr>
                <w:sz w:val="20"/>
                <w:szCs w:val="20"/>
                <w:color w:val="auto"/>
              </w:rPr>
            </w:pPr>
            <w:r>
              <w:rPr>
                <w:rFonts w:ascii="Times New Roman" w:cs="Times New Roman" w:eastAsia="Times New Roman" w:hAnsi="Times New Roman"/>
                <w:sz w:val="20"/>
                <w:szCs w:val="20"/>
                <w:color w:val="auto"/>
              </w:rPr>
              <w:t>9,895</w:t>
            </w:r>
          </w:p>
        </w:tc>
      </w:tr>
      <w:tr>
        <w:trPr>
          <w:trHeight w:val="264"/>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auto"/>
              </w:rPr>
              <w:t>Total assets</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216,035</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Pr>
          <w:p>
            <w:pPr>
              <w:ind w:left="820"/>
              <w:spacing w:after="0"/>
              <w:rPr>
                <w:sz w:val="20"/>
                <w:szCs w:val="20"/>
                <w:color w:val="auto"/>
              </w:rPr>
            </w:pPr>
            <w:r>
              <w:rPr>
                <w:rFonts w:ascii="Times New Roman" w:cs="Times New Roman" w:eastAsia="Times New Roman" w:hAnsi="Times New Roman"/>
                <w:sz w:val="20"/>
                <w:szCs w:val="20"/>
                <w:color w:val="auto"/>
                <w:w w:val="89"/>
              </w:rPr>
              <w:t>—</w:t>
            </w:r>
          </w:p>
        </w:tc>
        <w:tc>
          <w:tcPr>
            <w:tcW w:w="2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216,035</w:t>
            </w:r>
          </w:p>
        </w:tc>
      </w:tr>
      <w:tr>
        <w:trPr>
          <w:trHeight w:val="243"/>
        </w:trPr>
        <w:tc>
          <w:tcPr>
            <w:tcW w:w="5480" w:type="dxa"/>
            <w:vAlign w:val="bottom"/>
            <w:shd w:val="clear" w:color="auto" w:fill="DBDBDB"/>
          </w:tcPr>
          <w:p>
            <w:pPr>
              <w:spacing w:after="0"/>
              <w:rPr>
                <w:sz w:val="20"/>
                <w:szCs w:val="20"/>
                <w:color w:val="auto"/>
              </w:rPr>
            </w:pPr>
            <w:r>
              <w:rPr>
                <w:rFonts w:ascii="Times New Roman" w:cs="Times New Roman" w:eastAsia="Times New Roman" w:hAnsi="Times New Roman"/>
                <w:sz w:val="20"/>
                <w:szCs w:val="20"/>
                <w:color w:val="auto"/>
              </w:rPr>
              <w:t>Liabilities:</w:t>
            </w:r>
          </w:p>
        </w:tc>
        <w:tc>
          <w:tcPr>
            <w:tcW w:w="20" w:type="dxa"/>
            <w:vAlign w:val="bottom"/>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2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940" w:type="dxa"/>
            <w:vAlign w:val="bottom"/>
            <w:shd w:val="clear" w:color="auto" w:fill="DBDBDB"/>
          </w:tcPr>
          <w:p>
            <w:pPr>
              <w:spacing w:after="0"/>
              <w:rPr>
                <w:sz w:val="21"/>
                <w:szCs w:val="21"/>
                <w:color w:val="auto"/>
              </w:rPr>
            </w:pPr>
          </w:p>
        </w:tc>
        <w:tc>
          <w:tcPr>
            <w:tcW w:w="2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2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96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2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02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940" w:type="dxa"/>
            <w:vAlign w:val="bottom"/>
            <w:shd w:val="clear" w:color="auto" w:fill="DBDBDB"/>
          </w:tcPr>
          <w:p>
            <w:pPr>
              <w:spacing w:after="0"/>
              <w:rPr>
                <w:sz w:val="21"/>
                <w:szCs w:val="21"/>
                <w:color w:val="auto"/>
              </w:rPr>
            </w:pPr>
          </w:p>
        </w:tc>
      </w:tr>
      <w:tr>
        <w:trPr>
          <w:trHeight w:val="235"/>
        </w:trPr>
        <w:tc>
          <w:tcPr>
            <w:tcW w:w="54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Bank acceptance payable</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33,363</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ind w:left="820"/>
              <w:spacing w:after="0"/>
              <w:rPr>
                <w:sz w:val="20"/>
                <w:szCs w:val="20"/>
                <w:color w:val="auto"/>
              </w:rPr>
            </w:pPr>
            <w:r>
              <w:rPr>
                <w:rFonts w:ascii="Times New Roman" w:cs="Times New Roman" w:eastAsia="Times New Roman" w:hAnsi="Times New Roman"/>
                <w:sz w:val="20"/>
                <w:szCs w:val="20"/>
                <w:color w:val="auto"/>
                <w:w w:val="89"/>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33,363</w:t>
            </w:r>
          </w:p>
        </w:tc>
      </w:tr>
      <w:tr>
        <w:trPr>
          <w:trHeight w:val="255"/>
        </w:trPr>
        <w:tc>
          <w:tcPr>
            <w:tcW w:w="5480" w:type="dxa"/>
            <w:vAlign w:val="bottom"/>
            <w:tcBorders>
              <w:bottom w:val="single" w:sz="8" w:color="DBDBDB"/>
            </w:tcBorders>
            <w:shd w:val="clear" w:color="auto" w:fill="DBDBDB"/>
          </w:tcPr>
          <w:p>
            <w:pPr>
              <w:ind w:left="180"/>
              <w:spacing w:after="0"/>
              <w:rPr>
                <w:sz w:val="20"/>
                <w:szCs w:val="20"/>
                <w:color w:val="auto"/>
              </w:rPr>
            </w:pPr>
            <w:r>
              <w:rPr>
                <w:rFonts w:ascii="Times New Roman" w:cs="Times New Roman" w:eastAsia="Times New Roman" w:hAnsi="Times New Roman"/>
                <w:sz w:val="20"/>
                <w:szCs w:val="20"/>
                <w:color w:val="auto"/>
              </w:rPr>
              <w:t>Convertible senior notes</w:t>
            </w:r>
          </w:p>
        </w:tc>
        <w:tc>
          <w:tcPr>
            <w:tcW w:w="20" w:type="dxa"/>
            <w:vAlign w:val="bottom"/>
            <w:tcBorders>
              <w:bottom w:val="single" w:sz="8" w:color="DBDBDB"/>
            </w:tcBorders>
            <w:shd w:val="clear" w:color="auto" w:fill="DBDBDB"/>
          </w:tcPr>
          <w:p>
            <w:pPr>
              <w:spacing w:after="0"/>
              <w:rPr>
                <w:sz w:val="22"/>
                <w:szCs w:val="22"/>
                <w:color w:val="auto"/>
              </w:rPr>
            </w:pPr>
          </w:p>
        </w:tc>
        <w:tc>
          <w:tcPr>
            <w:tcW w:w="80" w:type="dxa"/>
            <w:vAlign w:val="bottom"/>
            <w:tcBorders>
              <w:bottom w:val="single" w:sz="8" w:color="DBDBDB"/>
            </w:tcBorders>
            <w:shd w:val="clear" w:color="auto" w:fill="DBDBDB"/>
          </w:tcPr>
          <w:p>
            <w:pPr>
              <w:spacing w:after="0"/>
              <w:rPr>
                <w:sz w:val="22"/>
                <w:szCs w:val="22"/>
                <w:color w:val="auto"/>
              </w:rPr>
            </w:pPr>
          </w:p>
        </w:tc>
        <w:tc>
          <w:tcPr>
            <w:tcW w:w="20" w:type="dxa"/>
            <w:vAlign w:val="bottom"/>
            <w:tcBorders>
              <w:bottom w:val="single" w:sz="8" w:color="DBDBDB"/>
            </w:tcBorders>
            <w:shd w:val="clear" w:color="auto" w:fill="DBDBDB"/>
          </w:tcPr>
          <w:p>
            <w:pPr>
              <w:spacing w:after="0"/>
              <w:rPr>
                <w:sz w:val="22"/>
                <w:szCs w:val="22"/>
                <w:color w:val="auto"/>
              </w:rPr>
            </w:pPr>
          </w:p>
        </w:tc>
        <w:tc>
          <w:tcPr>
            <w:tcW w:w="100" w:type="dxa"/>
            <w:vAlign w:val="bottom"/>
            <w:tcBorders>
              <w:bottom w:val="single" w:sz="8" w:color="auto"/>
            </w:tcBorders>
            <w:shd w:val="clear" w:color="auto" w:fill="DBDBDB"/>
          </w:tcPr>
          <w:p>
            <w:pPr>
              <w:spacing w:after="0"/>
              <w:rPr>
                <w:sz w:val="22"/>
                <w:szCs w:val="22"/>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DBDBDB"/>
            </w:tcBorders>
            <w:shd w:val="clear" w:color="auto" w:fill="DBDBDB"/>
          </w:tcPr>
          <w:p>
            <w:pPr>
              <w:spacing w:after="0"/>
              <w:rPr>
                <w:sz w:val="22"/>
                <w:szCs w:val="22"/>
                <w:color w:val="auto"/>
              </w:rPr>
            </w:pPr>
          </w:p>
        </w:tc>
        <w:tc>
          <w:tcPr>
            <w:tcW w:w="160" w:type="dxa"/>
            <w:vAlign w:val="bottom"/>
            <w:tcBorders>
              <w:bottom w:val="single" w:sz="8" w:color="DBDBDB"/>
            </w:tcBorders>
            <w:shd w:val="clear" w:color="auto" w:fill="DBDBDB"/>
          </w:tcPr>
          <w:p>
            <w:pPr>
              <w:spacing w:after="0"/>
              <w:rPr>
                <w:sz w:val="22"/>
                <w:szCs w:val="22"/>
                <w:color w:val="auto"/>
              </w:rPr>
            </w:pPr>
          </w:p>
        </w:tc>
        <w:tc>
          <w:tcPr>
            <w:tcW w:w="20" w:type="dxa"/>
            <w:vAlign w:val="bottom"/>
            <w:tcBorders>
              <w:bottom w:val="single" w:sz="8" w:color="DBDBDB"/>
            </w:tcBorders>
            <w:shd w:val="clear" w:color="auto" w:fill="DBDBDB"/>
          </w:tcPr>
          <w:p>
            <w:pPr>
              <w:spacing w:after="0"/>
              <w:rPr>
                <w:sz w:val="22"/>
                <w:szCs w:val="22"/>
                <w:color w:val="auto"/>
              </w:rPr>
            </w:pPr>
          </w:p>
        </w:tc>
        <w:tc>
          <w:tcPr>
            <w:tcW w:w="100" w:type="dxa"/>
            <w:vAlign w:val="bottom"/>
            <w:tcBorders>
              <w:bottom w:val="single" w:sz="8" w:color="auto"/>
            </w:tcBorders>
            <w:shd w:val="clear" w:color="auto" w:fill="DBDBDB"/>
          </w:tcPr>
          <w:p>
            <w:pPr>
              <w:spacing w:after="0"/>
              <w:rPr>
                <w:sz w:val="22"/>
                <w:szCs w:val="22"/>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145,231</w:t>
            </w:r>
          </w:p>
        </w:tc>
        <w:tc>
          <w:tcPr>
            <w:tcW w:w="180" w:type="dxa"/>
            <w:vAlign w:val="bottom"/>
            <w:tcBorders>
              <w:bottom w:val="single" w:sz="8" w:color="DBDBDB"/>
            </w:tcBorders>
            <w:shd w:val="clear" w:color="auto" w:fill="DBDBDB"/>
          </w:tcPr>
          <w:p>
            <w:pPr>
              <w:spacing w:after="0"/>
              <w:rPr>
                <w:sz w:val="22"/>
                <w:szCs w:val="22"/>
                <w:color w:val="auto"/>
              </w:rPr>
            </w:pPr>
          </w:p>
        </w:tc>
        <w:tc>
          <w:tcPr>
            <w:tcW w:w="20" w:type="dxa"/>
            <w:vAlign w:val="bottom"/>
            <w:tcBorders>
              <w:bottom w:val="single" w:sz="8" w:color="DBDBDB"/>
            </w:tcBorders>
            <w:shd w:val="clear" w:color="auto" w:fill="DBDBDB"/>
          </w:tcPr>
          <w:p>
            <w:pPr>
              <w:spacing w:after="0"/>
              <w:rPr>
                <w:sz w:val="22"/>
                <w:szCs w:val="22"/>
                <w:color w:val="auto"/>
              </w:rPr>
            </w:pPr>
          </w:p>
        </w:tc>
        <w:tc>
          <w:tcPr>
            <w:tcW w:w="100" w:type="dxa"/>
            <w:vAlign w:val="bottom"/>
            <w:tcBorders>
              <w:bottom w:val="single" w:sz="8" w:color="auto"/>
            </w:tcBorders>
            <w:shd w:val="clear" w:color="auto" w:fill="DBDBDB"/>
          </w:tcPr>
          <w:p>
            <w:pPr>
              <w:spacing w:after="0"/>
              <w:rPr>
                <w:sz w:val="22"/>
                <w:szCs w:val="22"/>
                <w:color w:val="auto"/>
              </w:rPr>
            </w:pPr>
          </w:p>
        </w:tc>
        <w:tc>
          <w:tcPr>
            <w:tcW w:w="1020" w:type="dxa"/>
            <w:vAlign w:val="bottom"/>
            <w:tcBorders>
              <w:bottom w:val="single" w:sz="8" w:color="auto"/>
            </w:tcBorders>
            <w:shd w:val="clear" w:color="auto" w:fill="DBDBDB"/>
          </w:tcPr>
          <w:p>
            <w:pPr>
              <w:ind w:left="820"/>
              <w:spacing w:after="0"/>
              <w:rPr>
                <w:sz w:val="20"/>
                <w:szCs w:val="20"/>
                <w:color w:val="auto"/>
              </w:rPr>
            </w:pPr>
            <w:r>
              <w:rPr>
                <w:rFonts w:ascii="Times New Roman" w:cs="Times New Roman" w:eastAsia="Times New Roman" w:hAnsi="Times New Roman"/>
                <w:sz w:val="20"/>
                <w:szCs w:val="20"/>
                <w:color w:val="auto"/>
                <w:w w:val="89"/>
              </w:rPr>
              <w:t>—</w:t>
            </w:r>
          </w:p>
        </w:tc>
        <w:tc>
          <w:tcPr>
            <w:tcW w:w="200" w:type="dxa"/>
            <w:vAlign w:val="bottom"/>
            <w:tcBorders>
              <w:bottom w:val="single" w:sz="8" w:color="DBDBDB"/>
            </w:tcBorders>
            <w:shd w:val="clear" w:color="auto" w:fill="DBDBDB"/>
          </w:tcPr>
          <w:p>
            <w:pPr>
              <w:spacing w:after="0"/>
              <w:rPr>
                <w:sz w:val="22"/>
                <w:szCs w:val="22"/>
                <w:color w:val="auto"/>
              </w:rPr>
            </w:pPr>
          </w:p>
        </w:tc>
        <w:tc>
          <w:tcPr>
            <w:tcW w:w="120" w:type="dxa"/>
            <w:vAlign w:val="bottom"/>
            <w:tcBorders>
              <w:bottom w:val="single" w:sz="8" w:color="auto"/>
            </w:tcBorders>
            <w:shd w:val="clear" w:color="auto" w:fill="DBDBDB"/>
          </w:tcPr>
          <w:p>
            <w:pPr>
              <w:spacing w:after="0"/>
              <w:rPr>
                <w:sz w:val="22"/>
                <w:szCs w:val="22"/>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145,231</w:t>
            </w:r>
          </w:p>
        </w:tc>
      </w:tr>
      <w:tr>
        <w:trPr>
          <w:trHeight w:val="228"/>
        </w:trPr>
        <w:tc>
          <w:tcPr>
            <w:tcW w:w="548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Total liabilities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0"/>
                <w:szCs w:val="20"/>
                <w:color w:val="auto"/>
              </w:rPr>
              <w:t>178,594</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line="229"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tcPr>
          <w:p>
            <w:pPr>
              <w:ind w:left="820"/>
              <w:spacing w:after="0" w:line="229" w:lineRule="exact"/>
              <w:rPr>
                <w:sz w:val="20"/>
                <w:szCs w:val="20"/>
                <w:color w:val="auto"/>
              </w:rPr>
            </w:pPr>
            <w:r>
              <w:rPr>
                <w:rFonts w:ascii="Times New Roman" w:cs="Times New Roman" w:eastAsia="Times New Roman" w:hAnsi="Times New Roman"/>
                <w:sz w:val="20"/>
                <w:szCs w:val="20"/>
                <w:color w:val="auto"/>
                <w:w w:val="89"/>
              </w:rPr>
              <w:t>—</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0"/>
                <w:szCs w:val="20"/>
                <w:color w:val="auto"/>
              </w:rPr>
              <w:t>178,594</w:t>
            </w:r>
          </w:p>
        </w:tc>
      </w:tr>
      <w:tr>
        <w:trPr>
          <w:trHeight w:val="20"/>
        </w:trPr>
        <w:tc>
          <w:tcPr>
            <w:tcW w:w="5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ind w:firstLine="706"/>
        <w:spacing w:after="0" w:line="268" w:lineRule="auto"/>
        <w:rPr>
          <w:sz w:val="20"/>
          <w:szCs w:val="20"/>
          <w:color w:val="auto"/>
        </w:rPr>
      </w:pPr>
      <w:r>
        <w:rPr>
          <w:rFonts w:ascii="Times New Roman" w:cs="Times New Roman" w:eastAsia="Times New Roman" w:hAnsi="Times New Roman"/>
          <w:sz w:val="20"/>
          <w:szCs w:val="20"/>
          <w:color w:val="auto"/>
        </w:rPr>
        <w:t>The following table presents a summary of the Company’s financial instruments measured at fair value on a recurring basis as of December 31, 2024 (in thousands):</w:t>
      </w:r>
    </w:p>
    <w:p>
      <w:pPr>
        <w:spacing w:after="0" w:line="161"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5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center"/>
              <w:ind w:right="22"/>
              <w:spacing w:after="0"/>
              <w:rPr>
                <w:sz w:val="20"/>
                <w:szCs w:val="20"/>
                <w:color w:val="auto"/>
              </w:rPr>
            </w:pPr>
            <w:r>
              <w:rPr>
                <w:rFonts w:ascii="Times New Roman" w:cs="Times New Roman" w:eastAsia="Times New Roman" w:hAnsi="Times New Roman"/>
                <w:sz w:val="20"/>
                <w:szCs w:val="20"/>
                <w:b w:val="1"/>
                <w:bCs w:val="1"/>
                <w:color w:val="auto"/>
                <w:w w:val="97"/>
              </w:rPr>
              <w:t>Quoted</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6"/>
        </w:trPr>
        <w:tc>
          <w:tcPr>
            <w:tcW w:w="5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22"/>
              <w:spacing w:after="0"/>
              <w:rPr>
                <w:sz w:val="20"/>
                <w:szCs w:val="20"/>
                <w:color w:val="auto"/>
              </w:rPr>
            </w:pPr>
            <w:r>
              <w:rPr>
                <w:rFonts w:ascii="Times New Roman" w:cs="Times New Roman" w:eastAsia="Times New Roman" w:hAnsi="Times New Roman"/>
                <w:sz w:val="20"/>
                <w:szCs w:val="20"/>
                <w:b w:val="1"/>
                <w:bCs w:val="1"/>
                <w:color w:val="auto"/>
                <w:w w:val="97"/>
              </w:rPr>
              <w:t>prices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Significant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5"/>
        </w:trPr>
        <w:tc>
          <w:tcPr>
            <w:tcW w:w="5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22"/>
              <w:spacing w:after="0"/>
              <w:rPr>
                <w:sz w:val="20"/>
                <w:szCs w:val="20"/>
                <w:color w:val="auto"/>
              </w:rPr>
            </w:pPr>
            <w:r>
              <w:rPr>
                <w:rFonts w:ascii="Times New Roman" w:cs="Times New Roman" w:eastAsia="Times New Roman" w:hAnsi="Times New Roman"/>
                <w:sz w:val="20"/>
                <w:szCs w:val="20"/>
                <w:b w:val="1"/>
                <w:bCs w:val="1"/>
                <w:color w:val="auto"/>
                <w:w w:val="97"/>
              </w:rPr>
              <w:t>in active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center"/>
              <w:ind w:right="2"/>
              <w:spacing w:after="0"/>
              <w:rPr>
                <w:sz w:val="20"/>
                <w:szCs w:val="20"/>
                <w:color w:val="auto"/>
              </w:rPr>
            </w:pPr>
            <w:r>
              <w:rPr>
                <w:rFonts w:ascii="Times New Roman" w:cs="Times New Roman" w:eastAsia="Times New Roman" w:hAnsi="Times New Roman"/>
                <w:sz w:val="20"/>
                <w:szCs w:val="20"/>
                <w:b w:val="1"/>
                <w:bCs w:val="1"/>
                <w:color w:val="auto"/>
              </w:rPr>
              <w:t>other</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5"/>
        </w:trPr>
        <w:tc>
          <w:tcPr>
            <w:tcW w:w="5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markets for</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observable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Significant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5"/>
        </w:trPr>
        <w:tc>
          <w:tcPr>
            <w:tcW w:w="5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2"/>
              <w:spacing w:after="0"/>
              <w:rPr>
                <w:sz w:val="20"/>
                <w:szCs w:val="20"/>
                <w:color w:val="auto"/>
              </w:rPr>
            </w:pPr>
            <w:r>
              <w:rPr>
                <w:rFonts w:ascii="Times New Roman" w:cs="Times New Roman" w:eastAsia="Times New Roman" w:hAnsi="Times New Roman"/>
                <w:sz w:val="20"/>
                <w:szCs w:val="20"/>
                <w:b w:val="1"/>
                <w:bCs w:val="1"/>
                <w:color w:val="auto"/>
                <w:w w:val="98"/>
              </w:rPr>
              <w:t>identical</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remaining</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w w:val="96"/>
              </w:rPr>
              <w:t>unobservable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23"/>
        </w:trPr>
        <w:tc>
          <w:tcPr>
            <w:tcW w:w="5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center"/>
              <w:ind w:right="2"/>
              <w:spacing w:after="0" w:line="223" w:lineRule="exact"/>
              <w:rPr>
                <w:sz w:val="20"/>
                <w:szCs w:val="20"/>
                <w:color w:val="auto"/>
              </w:rPr>
            </w:pPr>
            <w:r>
              <w:rPr>
                <w:rFonts w:ascii="Times New Roman" w:cs="Times New Roman" w:eastAsia="Times New Roman" w:hAnsi="Times New Roman"/>
                <w:sz w:val="20"/>
                <w:szCs w:val="20"/>
                <w:b w:val="1"/>
                <w:bCs w:val="1"/>
                <w:color w:val="auto"/>
                <w:w w:val="98"/>
              </w:rPr>
              <w:t>assets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center"/>
              <w:ind w:right="22"/>
              <w:spacing w:after="0" w:line="223" w:lineRule="exact"/>
              <w:rPr>
                <w:sz w:val="20"/>
                <w:szCs w:val="20"/>
                <w:color w:val="auto"/>
              </w:rPr>
            </w:pPr>
            <w:r>
              <w:rPr>
                <w:rFonts w:ascii="Times New Roman" w:cs="Times New Roman" w:eastAsia="Times New Roman" w:hAnsi="Times New Roman"/>
                <w:sz w:val="20"/>
                <w:szCs w:val="20"/>
                <w:b w:val="1"/>
                <w:bCs w:val="1"/>
                <w:color w:val="auto"/>
                <w:w w:val="97"/>
              </w:rPr>
              <w:t>inputs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ind w:left="20"/>
              <w:spacing w:after="0" w:line="223" w:lineRule="exact"/>
              <w:rPr>
                <w:sz w:val="20"/>
                <w:szCs w:val="20"/>
                <w:color w:val="auto"/>
              </w:rPr>
            </w:pPr>
            <w:r>
              <w:rPr>
                <w:rFonts w:ascii="Times New Roman" w:cs="Times New Roman" w:eastAsia="Times New Roman" w:hAnsi="Times New Roman"/>
                <w:sz w:val="20"/>
                <w:szCs w:val="20"/>
                <w:b w:val="1"/>
                <w:bCs w:val="1"/>
                <w:color w:val="auto"/>
                <w:w w:val="96"/>
              </w:rPr>
              <w:t>inputs (Level</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58"/>
        </w:trPr>
        <w:tc>
          <w:tcPr>
            <w:tcW w:w="5480" w:type="dxa"/>
            <w:vAlign w:val="bottom"/>
            <w:tcBorders>
              <w:bottom w:val="single" w:sz="8" w:color="DBDBDB"/>
            </w:tcBorders>
          </w:tcPr>
          <w:p>
            <w:pPr>
              <w:spacing w:after="0"/>
              <w:rPr>
                <w:sz w:val="22"/>
                <w:szCs w:val="22"/>
                <w:color w:val="auto"/>
              </w:rPr>
            </w:pPr>
          </w:p>
        </w:tc>
        <w:tc>
          <w:tcPr>
            <w:tcW w:w="120" w:type="dxa"/>
            <w:vAlign w:val="bottom"/>
            <w:tcBorders>
              <w:bottom w:val="single" w:sz="8" w:color="DBDBDB"/>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2"/>
              <w:spacing w:after="0"/>
              <w:rPr>
                <w:sz w:val="20"/>
                <w:szCs w:val="20"/>
                <w:color w:val="auto"/>
              </w:rPr>
            </w:pPr>
            <w:r>
              <w:rPr>
                <w:rFonts w:ascii="Times New Roman" w:cs="Times New Roman" w:eastAsia="Times New Roman" w:hAnsi="Times New Roman"/>
                <w:sz w:val="20"/>
                <w:szCs w:val="20"/>
                <w:b w:val="1"/>
                <w:bCs w:val="1"/>
                <w:color w:val="auto"/>
                <w:w w:val="95"/>
              </w:rPr>
              <w:t>(Level 1)</w:t>
            </w:r>
          </w:p>
        </w:tc>
        <w:tc>
          <w:tcPr>
            <w:tcW w:w="100" w:type="dxa"/>
            <w:vAlign w:val="bottom"/>
            <w:tcBorders>
              <w:bottom w:val="single" w:sz="8" w:color="DBDBDB"/>
            </w:tcBorders>
          </w:tcPr>
          <w:p>
            <w:pPr>
              <w:spacing w:after="0"/>
              <w:rPr>
                <w:sz w:val="22"/>
                <w:szCs w:val="22"/>
                <w:color w:val="auto"/>
              </w:rPr>
            </w:pPr>
          </w:p>
        </w:tc>
        <w:tc>
          <w:tcPr>
            <w:tcW w:w="100" w:type="dxa"/>
            <w:vAlign w:val="bottom"/>
            <w:tcBorders>
              <w:bottom w:val="single" w:sz="8" w:color="DBDBDB"/>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2"/>
              <w:spacing w:after="0"/>
              <w:rPr>
                <w:sz w:val="20"/>
                <w:szCs w:val="20"/>
                <w:color w:val="auto"/>
              </w:rPr>
            </w:pPr>
            <w:r>
              <w:rPr>
                <w:rFonts w:ascii="Times New Roman" w:cs="Times New Roman" w:eastAsia="Times New Roman" w:hAnsi="Times New Roman"/>
                <w:sz w:val="20"/>
                <w:szCs w:val="20"/>
                <w:b w:val="1"/>
                <w:bCs w:val="1"/>
                <w:color w:val="auto"/>
                <w:w w:val="98"/>
              </w:rPr>
              <w:t>(Level 2)</w:t>
            </w:r>
          </w:p>
        </w:tc>
        <w:tc>
          <w:tcPr>
            <w:tcW w:w="100" w:type="dxa"/>
            <w:vAlign w:val="bottom"/>
            <w:tcBorders>
              <w:bottom w:val="single" w:sz="8" w:color="DBDBDB"/>
            </w:tcBorders>
          </w:tcPr>
          <w:p>
            <w:pPr>
              <w:spacing w:after="0"/>
              <w:rPr>
                <w:sz w:val="22"/>
                <w:szCs w:val="22"/>
                <w:color w:val="auto"/>
              </w:rPr>
            </w:pPr>
          </w:p>
        </w:tc>
        <w:tc>
          <w:tcPr>
            <w:tcW w:w="100" w:type="dxa"/>
            <w:vAlign w:val="bottom"/>
            <w:tcBorders>
              <w:bottom w:val="single" w:sz="8" w:color="DBDBDB"/>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20"/>
                <w:szCs w:val="20"/>
                <w:b w:val="1"/>
                <w:bCs w:val="1"/>
                <w:color w:val="auto"/>
              </w:rPr>
              <w:t>3)</w:t>
            </w:r>
          </w:p>
        </w:tc>
        <w:tc>
          <w:tcPr>
            <w:tcW w:w="100" w:type="dxa"/>
            <w:vAlign w:val="bottom"/>
            <w:tcBorders>
              <w:bottom w:val="single" w:sz="8" w:color="DBDBDB"/>
            </w:tcBorders>
          </w:tcPr>
          <w:p>
            <w:pPr>
              <w:spacing w:after="0"/>
              <w:rPr>
                <w:sz w:val="22"/>
                <w:szCs w:val="22"/>
                <w:color w:val="auto"/>
              </w:rPr>
            </w:pPr>
          </w:p>
        </w:tc>
        <w:tc>
          <w:tcPr>
            <w:tcW w:w="100" w:type="dxa"/>
            <w:vAlign w:val="bottom"/>
            <w:tcBorders>
              <w:bottom w:val="single" w:sz="8" w:color="DBDBDB"/>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20"/>
                <w:szCs w:val="20"/>
                <w:b w:val="1"/>
                <w:bCs w:val="1"/>
                <w:color w:val="auto"/>
              </w:rPr>
              <w:t>Total</w:t>
            </w:r>
          </w:p>
        </w:tc>
      </w:tr>
      <w:tr>
        <w:trPr>
          <w:trHeight w:val="225"/>
        </w:trPr>
        <w:tc>
          <w:tcPr>
            <w:tcW w:w="5480" w:type="dxa"/>
            <w:vAlign w:val="bottom"/>
            <w:shd w:val="clear" w:color="auto" w:fill="DBDBDB"/>
          </w:tcPr>
          <w:p>
            <w:pPr>
              <w:spacing w:after="0" w:line="220" w:lineRule="exact"/>
              <w:rPr>
                <w:sz w:val="20"/>
                <w:szCs w:val="20"/>
                <w:color w:val="auto"/>
              </w:rPr>
            </w:pPr>
            <w:r>
              <w:rPr>
                <w:rFonts w:ascii="Times New Roman" w:cs="Times New Roman" w:eastAsia="Times New Roman" w:hAnsi="Times New Roman"/>
                <w:sz w:val="20"/>
                <w:szCs w:val="20"/>
                <w:color w:val="auto"/>
              </w:rPr>
              <w:t>Assets:</w:t>
            </w:r>
          </w:p>
        </w:tc>
        <w:tc>
          <w:tcPr>
            <w:tcW w:w="120" w:type="dxa"/>
            <w:vAlign w:val="bottom"/>
            <w:tcBorders>
              <w:right w:val="single" w:sz="8" w:color="DBDBDB"/>
            </w:tcBorders>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00" w:type="dxa"/>
            <w:vAlign w:val="bottom"/>
            <w:tcBorders>
              <w:right w:val="single" w:sz="8" w:color="DBDBDB"/>
            </w:tcBorders>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00" w:type="dxa"/>
            <w:vAlign w:val="bottom"/>
            <w:tcBorders>
              <w:right w:val="single" w:sz="8" w:color="DBDBDB"/>
            </w:tcBorders>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r>
      <w:tr>
        <w:trPr>
          <w:trHeight w:val="235"/>
        </w:trPr>
        <w:tc>
          <w:tcPr>
            <w:tcW w:w="54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67,428</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Pr>
          <w:p>
            <w:pPr>
              <w:ind w:left="820"/>
              <w:spacing w:after="0"/>
              <w:rPr>
                <w:sz w:val="20"/>
                <w:szCs w:val="20"/>
                <w:color w:val="auto"/>
              </w:rPr>
            </w:pPr>
            <w:r>
              <w:rPr>
                <w:rFonts w:ascii="Times New Roman" w:cs="Times New Roman" w:eastAsia="Times New Roman" w:hAnsi="Times New Roman"/>
                <w:sz w:val="20"/>
                <w:szCs w:val="20"/>
                <w:color w:val="auto"/>
                <w:w w:val="89"/>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67,428</w:t>
            </w:r>
          </w:p>
        </w:tc>
      </w:tr>
      <w:tr>
        <w:trPr>
          <w:trHeight w:val="235"/>
        </w:trPr>
        <w:tc>
          <w:tcPr>
            <w:tcW w:w="5480" w:type="dxa"/>
            <w:vAlign w:val="bottom"/>
            <w:shd w:val="clear" w:color="auto" w:fill="DBDBDB"/>
          </w:tcPr>
          <w:p>
            <w:pPr>
              <w:ind w:left="180"/>
              <w:spacing w:after="0"/>
              <w:rPr>
                <w:sz w:val="20"/>
                <w:szCs w:val="20"/>
                <w:color w:val="auto"/>
              </w:rPr>
            </w:pPr>
            <w:r>
              <w:rPr>
                <w:rFonts w:ascii="Times New Roman" w:cs="Times New Roman" w:eastAsia="Times New Roman" w:hAnsi="Times New Roman"/>
                <w:sz w:val="20"/>
                <w:szCs w:val="20"/>
                <w:color w:val="auto"/>
              </w:rPr>
              <w:t>Restricted cash</w:t>
            </w:r>
          </w:p>
        </w:tc>
        <w:tc>
          <w:tcPr>
            <w:tcW w:w="120" w:type="dxa"/>
            <w:vAlign w:val="bottom"/>
            <w:tcBorders>
              <w:right w:val="single" w:sz="8" w:color="DBDBDB"/>
            </w:tcBorders>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9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11,705</w:t>
            </w:r>
          </w:p>
        </w:tc>
        <w:tc>
          <w:tcPr>
            <w:tcW w:w="100" w:type="dxa"/>
            <w:vAlign w:val="bottom"/>
            <w:shd w:val="clear" w:color="auto" w:fill="DBDBDB"/>
          </w:tcPr>
          <w:p>
            <w:pPr>
              <w:spacing w:after="0"/>
              <w:rPr>
                <w:sz w:val="20"/>
                <w:szCs w:val="20"/>
                <w:color w:val="auto"/>
              </w:rPr>
            </w:pPr>
          </w:p>
        </w:tc>
        <w:tc>
          <w:tcPr>
            <w:tcW w:w="100" w:type="dxa"/>
            <w:vAlign w:val="bottom"/>
            <w:tcBorders>
              <w:right w:val="single" w:sz="8" w:color="DBDBDB"/>
            </w:tcBorders>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DBDBDB"/>
          </w:tcPr>
          <w:p>
            <w:pPr>
              <w:spacing w:after="0"/>
              <w:rPr>
                <w:sz w:val="20"/>
                <w:szCs w:val="20"/>
                <w:color w:val="auto"/>
              </w:rPr>
            </w:pPr>
          </w:p>
        </w:tc>
        <w:tc>
          <w:tcPr>
            <w:tcW w:w="100" w:type="dxa"/>
            <w:vAlign w:val="bottom"/>
            <w:tcBorders>
              <w:right w:val="single" w:sz="8" w:color="DBDBDB"/>
            </w:tcBorders>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020" w:type="dxa"/>
            <w:vAlign w:val="bottom"/>
            <w:shd w:val="clear" w:color="auto" w:fill="DBDBDB"/>
          </w:tcPr>
          <w:p>
            <w:pPr>
              <w:ind w:left="820"/>
              <w:spacing w:after="0"/>
              <w:rPr>
                <w:sz w:val="20"/>
                <w:szCs w:val="20"/>
                <w:color w:val="auto"/>
              </w:rPr>
            </w:pPr>
            <w:r>
              <w:rPr>
                <w:rFonts w:ascii="Times New Roman" w:cs="Times New Roman" w:eastAsia="Times New Roman" w:hAnsi="Times New Roman"/>
                <w:sz w:val="20"/>
                <w:szCs w:val="20"/>
                <w:color w:val="auto"/>
                <w:w w:val="89"/>
              </w:rPr>
              <w:t>—</w:t>
            </w:r>
          </w:p>
        </w:tc>
        <w:tc>
          <w:tcPr>
            <w:tcW w:w="10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9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11,705</w:t>
            </w:r>
          </w:p>
        </w:tc>
      </w:tr>
      <w:tr>
        <w:trPr>
          <w:trHeight w:val="238"/>
        </w:trPr>
        <w:tc>
          <w:tcPr>
            <w:tcW w:w="5480" w:type="dxa"/>
            <w:vAlign w:val="bottom"/>
            <w:tcBorders>
              <w:bottom w:val="single" w:sz="8" w:color="DBDBDB"/>
            </w:tcBorders>
          </w:tcPr>
          <w:p>
            <w:pPr>
              <w:ind w:left="180"/>
              <w:spacing w:after="0"/>
              <w:rPr>
                <w:sz w:val="20"/>
                <w:szCs w:val="20"/>
                <w:color w:val="auto"/>
              </w:rPr>
            </w:pPr>
            <w:r>
              <w:rPr>
                <w:rFonts w:ascii="Times New Roman" w:cs="Times New Roman" w:eastAsia="Times New Roman" w:hAnsi="Times New Roman"/>
                <w:sz w:val="20"/>
                <w:szCs w:val="20"/>
                <w:color w:val="auto"/>
              </w:rPr>
              <w:t>Note receivable</w:t>
            </w:r>
          </w:p>
        </w:tc>
        <w:tc>
          <w:tcPr>
            <w:tcW w:w="120" w:type="dxa"/>
            <w:vAlign w:val="bottom"/>
            <w:tcBorders>
              <w:bottom w:val="single" w:sz="8" w:color="DBDBDB"/>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DBDBDB"/>
            </w:tcBorders>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DBDBDB"/>
            </w:tcBorders>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20"/>
                <w:szCs w:val="20"/>
                <w:color w:val="auto"/>
                <w:w w:val="89"/>
              </w:rPr>
              <w:t>—</w:t>
            </w:r>
          </w:p>
        </w:tc>
        <w:tc>
          <w:tcPr>
            <w:tcW w:w="100" w:type="dxa"/>
            <w:vAlign w:val="bottom"/>
            <w:tcBorders>
              <w:bottom w:val="single" w:sz="8" w:color="DBDBDB"/>
            </w:tcBorders>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6"/>
        </w:trPr>
        <w:tc>
          <w:tcPr>
            <w:tcW w:w="5480" w:type="dxa"/>
            <w:vAlign w:val="bottom"/>
            <w:tcBorders>
              <w:bottom w:val="single" w:sz="8" w:color="DBDBDB"/>
            </w:tcBorders>
            <w:shd w:val="clear" w:color="auto" w:fill="DBDBDB"/>
          </w:tcPr>
          <w:p>
            <w:pPr>
              <w:spacing w:after="0" w:line="218" w:lineRule="exact"/>
              <w:rPr>
                <w:sz w:val="20"/>
                <w:szCs w:val="20"/>
                <w:color w:val="auto"/>
              </w:rPr>
            </w:pPr>
            <w:r>
              <w:rPr>
                <w:rFonts w:ascii="Times New Roman" w:cs="Times New Roman" w:eastAsia="Times New Roman" w:hAnsi="Times New Roman"/>
                <w:sz w:val="20"/>
                <w:szCs w:val="20"/>
                <w:color w:val="auto"/>
              </w:rPr>
              <w:t>Total assets</w:t>
            </w:r>
          </w:p>
        </w:tc>
        <w:tc>
          <w:tcPr>
            <w:tcW w:w="120" w:type="dxa"/>
            <w:vAlign w:val="bottom"/>
            <w:tcBorders>
              <w:bottom w:val="single" w:sz="8" w:color="DBDBDB"/>
              <w:right w:val="single" w:sz="8" w:color="DBDBDB"/>
            </w:tcBorders>
            <w:shd w:val="clear" w:color="auto" w:fill="DBDBDB"/>
          </w:tcPr>
          <w:p>
            <w:pPr>
              <w:spacing w:after="0"/>
              <w:rPr>
                <w:sz w:val="24"/>
                <w:szCs w:val="24"/>
                <w:color w:val="auto"/>
              </w:rPr>
            </w:pPr>
          </w:p>
        </w:tc>
        <w:tc>
          <w:tcPr>
            <w:tcW w:w="100" w:type="dxa"/>
            <w:vAlign w:val="bottom"/>
            <w:tcBorders>
              <w:bottom w:val="single" w:sz="8" w:color="DBDBDB"/>
            </w:tcBorders>
            <w:shd w:val="clear" w:color="auto" w:fill="DBDBDB"/>
          </w:tcPr>
          <w:p>
            <w:pPr>
              <w:jc w:val="right"/>
              <w:spacing w:after="0" w:line="218"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940" w:type="dxa"/>
            <w:vAlign w:val="bottom"/>
            <w:tcBorders>
              <w:bottom w:val="single" w:sz="8" w:color="DBDBDB"/>
            </w:tcBorders>
            <w:shd w:val="clear" w:color="auto" w:fill="DBDBDB"/>
          </w:tcPr>
          <w:p>
            <w:pPr>
              <w:jc w:val="right"/>
              <w:spacing w:after="0" w:line="218" w:lineRule="exact"/>
              <w:rPr>
                <w:sz w:val="20"/>
                <w:szCs w:val="20"/>
                <w:color w:val="auto"/>
              </w:rPr>
            </w:pPr>
            <w:r>
              <w:rPr>
                <w:rFonts w:ascii="Times New Roman" w:cs="Times New Roman" w:eastAsia="Times New Roman" w:hAnsi="Times New Roman"/>
                <w:sz w:val="20"/>
                <w:szCs w:val="20"/>
                <w:color w:val="auto"/>
              </w:rPr>
              <w:t>79,133</w:t>
            </w:r>
          </w:p>
        </w:tc>
        <w:tc>
          <w:tcPr>
            <w:tcW w:w="100" w:type="dxa"/>
            <w:vAlign w:val="bottom"/>
            <w:tcBorders>
              <w:bottom w:val="single" w:sz="8" w:color="DBDBDB"/>
            </w:tcBorders>
            <w:shd w:val="clear" w:color="auto" w:fill="DBDBDB"/>
          </w:tcPr>
          <w:p>
            <w:pPr>
              <w:spacing w:after="0"/>
              <w:rPr>
                <w:sz w:val="24"/>
                <w:szCs w:val="24"/>
                <w:color w:val="auto"/>
              </w:rPr>
            </w:pPr>
          </w:p>
        </w:tc>
        <w:tc>
          <w:tcPr>
            <w:tcW w:w="100" w:type="dxa"/>
            <w:vAlign w:val="bottom"/>
            <w:tcBorders>
              <w:bottom w:val="single" w:sz="8" w:color="DBDBDB"/>
              <w:right w:val="single" w:sz="8" w:color="DBDBDB"/>
            </w:tcBorders>
            <w:shd w:val="clear" w:color="auto" w:fill="DBDBDB"/>
          </w:tcPr>
          <w:p>
            <w:pPr>
              <w:spacing w:after="0"/>
              <w:rPr>
                <w:sz w:val="24"/>
                <w:szCs w:val="24"/>
                <w:color w:val="auto"/>
              </w:rPr>
            </w:pPr>
          </w:p>
        </w:tc>
        <w:tc>
          <w:tcPr>
            <w:tcW w:w="100" w:type="dxa"/>
            <w:vAlign w:val="bottom"/>
            <w:tcBorders>
              <w:bottom w:val="single" w:sz="8" w:color="DBDBDB"/>
            </w:tcBorders>
            <w:shd w:val="clear" w:color="auto" w:fill="DBDBDB"/>
          </w:tcPr>
          <w:p>
            <w:pPr>
              <w:jc w:val="right"/>
              <w:spacing w:after="0" w:line="218"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960" w:type="dxa"/>
            <w:vAlign w:val="bottom"/>
            <w:tcBorders>
              <w:bottom w:val="single" w:sz="8" w:color="DBDBDB"/>
            </w:tcBorders>
            <w:shd w:val="clear" w:color="auto" w:fill="DBDBDB"/>
          </w:tcPr>
          <w:p>
            <w:pPr>
              <w:jc w:val="right"/>
              <w:spacing w:after="0" w:line="218"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DBDBDB"/>
            </w:tcBorders>
            <w:shd w:val="clear" w:color="auto" w:fill="DBDBDB"/>
          </w:tcPr>
          <w:p>
            <w:pPr>
              <w:spacing w:after="0"/>
              <w:rPr>
                <w:sz w:val="24"/>
                <w:szCs w:val="24"/>
                <w:color w:val="auto"/>
              </w:rPr>
            </w:pPr>
          </w:p>
        </w:tc>
        <w:tc>
          <w:tcPr>
            <w:tcW w:w="100" w:type="dxa"/>
            <w:vAlign w:val="bottom"/>
            <w:tcBorders>
              <w:bottom w:val="single" w:sz="8" w:color="DBDBDB"/>
              <w:right w:val="single" w:sz="8" w:color="DBDBDB"/>
            </w:tcBorders>
            <w:shd w:val="clear" w:color="auto" w:fill="DBDBDB"/>
          </w:tcPr>
          <w:p>
            <w:pPr>
              <w:spacing w:after="0"/>
              <w:rPr>
                <w:sz w:val="24"/>
                <w:szCs w:val="24"/>
                <w:color w:val="auto"/>
              </w:rPr>
            </w:pPr>
          </w:p>
        </w:tc>
        <w:tc>
          <w:tcPr>
            <w:tcW w:w="100" w:type="dxa"/>
            <w:vAlign w:val="bottom"/>
            <w:tcBorders>
              <w:bottom w:val="single" w:sz="8" w:color="DBDBDB"/>
            </w:tcBorders>
            <w:shd w:val="clear" w:color="auto" w:fill="DBDBDB"/>
          </w:tcPr>
          <w:p>
            <w:pPr>
              <w:spacing w:after="0" w:line="218"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020" w:type="dxa"/>
            <w:vAlign w:val="bottom"/>
            <w:tcBorders>
              <w:bottom w:val="single" w:sz="8" w:color="DBDBDB"/>
            </w:tcBorders>
            <w:shd w:val="clear" w:color="auto" w:fill="DBDBDB"/>
          </w:tcPr>
          <w:p>
            <w:pPr>
              <w:ind w:left="820"/>
              <w:spacing w:after="0" w:line="218" w:lineRule="exact"/>
              <w:rPr>
                <w:sz w:val="20"/>
                <w:szCs w:val="20"/>
                <w:color w:val="auto"/>
              </w:rPr>
            </w:pPr>
            <w:r>
              <w:rPr>
                <w:rFonts w:ascii="Times New Roman" w:cs="Times New Roman" w:eastAsia="Times New Roman" w:hAnsi="Times New Roman"/>
                <w:sz w:val="20"/>
                <w:szCs w:val="20"/>
                <w:color w:val="auto"/>
                <w:w w:val="89"/>
              </w:rPr>
              <w:t>—</w:t>
            </w:r>
          </w:p>
        </w:tc>
        <w:tc>
          <w:tcPr>
            <w:tcW w:w="100" w:type="dxa"/>
            <w:vAlign w:val="bottom"/>
            <w:tcBorders>
              <w:bottom w:val="single" w:sz="8" w:color="DBDBDB"/>
            </w:tcBorders>
            <w:shd w:val="clear" w:color="auto" w:fill="DBDBDB"/>
          </w:tcPr>
          <w:p>
            <w:pPr>
              <w:spacing w:after="0"/>
              <w:rPr>
                <w:sz w:val="24"/>
                <w:szCs w:val="24"/>
                <w:color w:val="auto"/>
              </w:rPr>
            </w:pPr>
          </w:p>
        </w:tc>
        <w:tc>
          <w:tcPr>
            <w:tcW w:w="100" w:type="dxa"/>
            <w:vAlign w:val="bottom"/>
            <w:tcBorders>
              <w:bottom w:val="single" w:sz="8" w:color="DBDBDB"/>
            </w:tcBorders>
            <w:shd w:val="clear" w:color="auto" w:fill="DBDBDB"/>
          </w:tcPr>
          <w:p>
            <w:pPr>
              <w:spacing w:after="0"/>
              <w:rPr>
                <w:sz w:val="24"/>
                <w:szCs w:val="24"/>
                <w:color w:val="auto"/>
              </w:rPr>
            </w:pPr>
          </w:p>
        </w:tc>
        <w:tc>
          <w:tcPr>
            <w:tcW w:w="120" w:type="dxa"/>
            <w:vAlign w:val="bottom"/>
            <w:tcBorders>
              <w:bottom w:val="single" w:sz="8" w:color="DBDBDB"/>
            </w:tcBorders>
            <w:shd w:val="clear" w:color="auto" w:fill="DBDBDB"/>
          </w:tcPr>
          <w:p>
            <w:pPr>
              <w:jc w:val="right"/>
              <w:spacing w:after="0" w:line="218"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940" w:type="dxa"/>
            <w:vAlign w:val="bottom"/>
            <w:tcBorders>
              <w:bottom w:val="single" w:sz="8" w:color="DBDBDB"/>
            </w:tcBorders>
            <w:shd w:val="clear" w:color="auto" w:fill="DBDBDB"/>
          </w:tcPr>
          <w:p>
            <w:pPr>
              <w:jc w:val="right"/>
              <w:spacing w:after="0" w:line="218" w:lineRule="exact"/>
              <w:rPr>
                <w:sz w:val="20"/>
                <w:szCs w:val="20"/>
                <w:color w:val="auto"/>
              </w:rPr>
            </w:pPr>
            <w:r>
              <w:rPr>
                <w:rFonts w:ascii="Times New Roman" w:cs="Times New Roman" w:eastAsia="Times New Roman" w:hAnsi="Times New Roman"/>
                <w:sz w:val="20"/>
                <w:szCs w:val="20"/>
                <w:color w:val="auto"/>
              </w:rPr>
              <w:t>79,133</w:t>
            </w:r>
          </w:p>
        </w:tc>
      </w:tr>
      <w:tr>
        <w:trPr>
          <w:trHeight w:val="215"/>
        </w:trPr>
        <w:tc>
          <w:tcPr>
            <w:tcW w:w="5480" w:type="dxa"/>
            <w:vAlign w:val="bottom"/>
            <w:tcBorders>
              <w:top w:val="single" w:sz="8" w:color="DBDBDB"/>
            </w:tcBorders>
          </w:tcPr>
          <w:p>
            <w:pPr>
              <w:spacing w:after="0" w:line="215" w:lineRule="exact"/>
              <w:rPr>
                <w:sz w:val="20"/>
                <w:szCs w:val="20"/>
                <w:color w:val="auto"/>
              </w:rPr>
            </w:pPr>
            <w:r>
              <w:rPr>
                <w:rFonts w:ascii="Times New Roman" w:cs="Times New Roman" w:eastAsia="Times New Roman" w:hAnsi="Times New Roman"/>
                <w:sz w:val="20"/>
                <w:szCs w:val="20"/>
                <w:color w:val="auto"/>
              </w:rPr>
              <w:t>Liabilities:</w:t>
            </w:r>
          </w:p>
        </w:tc>
        <w:tc>
          <w:tcPr>
            <w:tcW w:w="120" w:type="dxa"/>
            <w:vAlign w:val="bottom"/>
            <w:tcBorders>
              <w:top w:val="single" w:sz="8" w:color="DBDBDB"/>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DBDBDB"/>
            </w:tcBorders>
          </w:tcPr>
          <w:p>
            <w:pPr>
              <w:spacing w:after="0"/>
              <w:rPr>
                <w:sz w:val="18"/>
                <w:szCs w:val="18"/>
                <w:color w:val="auto"/>
              </w:rPr>
            </w:pPr>
          </w:p>
        </w:tc>
        <w:tc>
          <w:tcPr>
            <w:tcW w:w="100" w:type="dxa"/>
            <w:vAlign w:val="bottom"/>
            <w:tcBorders>
              <w:top w:val="single" w:sz="8" w:color="DBDBDB"/>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DBDBDB"/>
            </w:tcBorders>
          </w:tcPr>
          <w:p>
            <w:pPr>
              <w:spacing w:after="0"/>
              <w:rPr>
                <w:sz w:val="18"/>
                <w:szCs w:val="18"/>
                <w:color w:val="auto"/>
              </w:rPr>
            </w:pPr>
          </w:p>
        </w:tc>
        <w:tc>
          <w:tcPr>
            <w:tcW w:w="100" w:type="dxa"/>
            <w:vAlign w:val="bottom"/>
            <w:tcBorders>
              <w:top w:val="single" w:sz="8" w:color="DBDBDB"/>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DBDBDB"/>
            </w:tcBorders>
          </w:tcPr>
          <w:p>
            <w:pPr>
              <w:spacing w:after="0"/>
              <w:rPr>
                <w:sz w:val="18"/>
                <w:szCs w:val="18"/>
                <w:color w:val="auto"/>
              </w:rPr>
            </w:pPr>
          </w:p>
        </w:tc>
        <w:tc>
          <w:tcPr>
            <w:tcW w:w="100" w:type="dxa"/>
            <w:vAlign w:val="bottom"/>
            <w:tcBorders>
              <w:top w:val="single" w:sz="8" w:color="DBDBDB"/>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r>
      <w:tr>
        <w:trPr>
          <w:trHeight w:val="235"/>
        </w:trPr>
        <w:tc>
          <w:tcPr>
            <w:tcW w:w="5480" w:type="dxa"/>
            <w:vAlign w:val="bottom"/>
            <w:shd w:val="clear" w:color="auto" w:fill="DBDBDB"/>
          </w:tcPr>
          <w:p>
            <w:pPr>
              <w:ind w:left="180"/>
              <w:spacing w:after="0"/>
              <w:rPr>
                <w:sz w:val="20"/>
                <w:szCs w:val="20"/>
                <w:color w:val="auto"/>
              </w:rPr>
            </w:pPr>
            <w:r>
              <w:rPr>
                <w:rFonts w:ascii="Times New Roman" w:cs="Times New Roman" w:eastAsia="Times New Roman" w:hAnsi="Times New Roman"/>
                <w:sz w:val="20"/>
                <w:szCs w:val="20"/>
                <w:color w:val="auto"/>
              </w:rPr>
              <w:t>Bank acceptance payable</w:t>
            </w:r>
          </w:p>
        </w:tc>
        <w:tc>
          <w:tcPr>
            <w:tcW w:w="120" w:type="dxa"/>
            <w:vAlign w:val="bottom"/>
            <w:tcBorders>
              <w:right w:val="single" w:sz="8" w:color="DBDBDB"/>
            </w:tcBorders>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9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DBDBDB"/>
          </w:tcPr>
          <w:p>
            <w:pPr>
              <w:spacing w:after="0"/>
              <w:rPr>
                <w:sz w:val="20"/>
                <w:szCs w:val="20"/>
                <w:color w:val="auto"/>
              </w:rPr>
            </w:pPr>
          </w:p>
        </w:tc>
        <w:tc>
          <w:tcPr>
            <w:tcW w:w="100" w:type="dxa"/>
            <w:vAlign w:val="bottom"/>
            <w:tcBorders>
              <w:right w:val="single" w:sz="8" w:color="DBDBDB"/>
            </w:tcBorders>
            <w:shd w:val="clear" w:color="auto" w:fill="DBDBDB"/>
          </w:tcPr>
          <w:p>
            <w:pPr>
              <w:spacing w:after="0"/>
              <w:rPr>
                <w:sz w:val="20"/>
                <w:szCs w:val="20"/>
                <w:color w:val="auto"/>
              </w:rPr>
            </w:pPr>
          </w:p>
        </w:tc>
        <w:tc>
          <w:tcPr>
            <w:tcW w:w="1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highlight w:val="lightGray"/>
                <w:w w:val="79"/>
              </w:rPr>
              <w:t>$</w:t>
            </w: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19,259</w:t>
            </w:r>
          </w:p>
        </w:tc>
        <w:tc>
          <w:tcPr>
            <w:tcW w:w="100" w:type="dxa"/>
            <w:vAlign w:val="bottom"/>
            <w:shd w:val="clear" w:color="auto" w:fill="DBDBDB"/>
          </w:tcPr>
          <w:p>
            <w:pPr>
              <w:spacing w:after="0"/>
              <w:rPr>
                <w:sz w:val="20"/>
                <w:szCs w:val="20"/>
                <w:color w:val="auto"/>
              </w:rPr>
            </w:pPr>
          </w:p>
        </w:tc>
        <w:tc>
          <w:tcPr>
            <w:tcW w:w="100" w:type="dxa"/>
            <w:vAlign w:val="bottom"/>
            <w:tcBorders>
              <w:right w:val="single" w:sz="8" w:color="DBDBDB"/>
            </w:tcBorders>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020" w:type="dxa"/>
            <w:vAlign w:val="bottom"/>
            <w:shd w:val="clear" w:color="auto" w:fill="DBDBDB"/>
          </w:tcPr>
          <w:p>
            <w:pPr>
              <w:ind w:left="820"/>
              <w:spacing w:after="0"/>
              <w:rPr>
                <w:sz w:val="20"/>
                <w:szCs w:val="20"/>
                <w:color w:val="auto"/>
              </w:rPr>
            </w:pPr>
            <w:r>
              <w:rPr>
                <w:rFonts w:ascii="Times New Roman" w:cs="Times New Roman" w:eastAsia="Times New Roman" w:hAnsi="Times New Roman"/>
                <w:sz w:val="20"/>
                <w:szCs w:val="20"/>
                <w:color w:val="auto"/>
                <w:w w:val="89"/>
              </w:rPr>
              <w:t>—</w:t>
            </w:r>
          </w:p>
        </w:tc>
        <w:tc>
          <w:tcPr>
            <w:tcW w:w="10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highlight w:val="lightGray"/>
                <w:w w:val="79"/>
              </w:rPr>
              <w:t>$</w:t>
            </w:r>
          </w:p>
        </w:tc>
        <w:tc>
          <w:tcPr>
            <w:tcW w:w="9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19,259</w:t>
            </w:r>
          </w:p>
        </w:tc>
      </w:tr>
      <w:tr>
        <w:trPr>
          <w:trHeight w:val="238"/>
        </w:trPr>
        <w:tc>
          <w:tcPr>
            <w:tcW w:w="5480" w:type="dxa"/>
            <w:vAlign w:val="bottom"/>
            <w:tcBorders>
              <w:bottom w:val="single" w:sz="8" w:color="DBDBDB"/>
            </w:tcBorders>
          </w:tcPr>
          <w:p>
            <w:pPr>
              <w:ind w:left="180"/>
              <w:spacing w:after="0"/>
              <w:rPr>
                <w:sz w:val="20"/>
                <w:szCs w:val="20"/>
                <w:color w:val="auto"/>
              </w:rPr>
            </w:pPr>
            <w:r>
              <w:rPr>
                <w:rFonts w:ascii="Times New Roman" w:cs="Times New Roman" w:eastAsia="Times New Roman" w:hAnsi="Times New Roman"/>
                <w:sz w:val="20"/>
                <w:szCs w:val="20"/>
                <w:color w:val="auto"/>
              </w:rPr>
              <w:t>Convertible senior notes</w:t>
            </w:r>
          </w:p>
        </w:tc>
        <w:tc>
          <w:tcPr>
            <w:tcW w:w="120" w:type="dxa"/>
            <w:vAlign w:val="bottom"/>
            <w:tcBorders>
              <w:bottom w:val="single" w:sz="8" w:color="DBDBDB"/>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DBDBDB"/>
            </w:tcBorders>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148,625</w:t>
            </w:r>
          </w:p>
        </w:tc>
        <w:tc>
          <w:tcPr>
            <w:tcW w:w="100" w:type="dxa"/>
            <w:vAlign w:val="bottom"/>
            <w:tcBorders>
              <w:bottom w:val="single" w:sz="8" w:color="DBDBDB"/>
            </w:tcBorders>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20"/>
                <w:szCs w:val="20"/>
                <w:color w:val="auto"/>
                <w:w w:val="89"/>
              </w:rPr>
              <w:t>—</w:t>
            </w:r>
          </w:p>
        </w:tc>
        <w:tc>
          <w:tcPr>
            <w:tcW w:w="100" w:type="dxa"/>
            <w:vAlign w:val="bottom"/>
            <w:tcBorders>
              <w:bottom w:val="single" w:sz="8" w:color="DBDBDB"/>
            </w:tcBorders>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148,625</w:t>
            </w:r>
          </w:p>
        </w:tc>
      </w:tr>
      <w:tr>
        <w:trPr>
          <w:trHeight w:val="267"/>
        </w:trPr>
        <w:tc>
          <w:tcPr>
            <w:tcW w:w="5480" w:type="dxa"/>
            <w:vAlign w:val="bottom"/>
            <w:tcBorders>
              <w:bottom w:val="single" w:sz="8" w:color="DBDBDB"/>
            </w:tcBorders>
            <w:shd w:val="clear" w:color="auto" w:fill="DBDBDB"/>
          </w:tcPr>
          <w:p>
            <w:pPr>
              <w:spacing w:after="0" w:line="220" w:lineRule="exact"/>
              <w:rPr>
                <w:sz w:val="20"/>
                <w:szCs w:val="20"/>
                <w:color w:val="auto"/>
              </w:rPr>
            </w:pPr>
            <w:r>
              <w:rPr>
                <w:rFonts w:ascii="Times New Roman" w:cs="Times New Roman" w:eastAsia="Times New Roman" w:hAnsi="Times New Roman"/>
                <w:sz w:val="20"/>
                <w:szCs w:val="20"/>
                <w:color w:val="auto"/>
              </w:rPr>
              <w:t>Total liabilities</w:t>
            </w:r>
          </w:p>
        </w:tc>
        <w:tc>
          <w:tcPr>
            <w:tcW w:w="120" w:type="dxa"/>
            <w:vAlign w:val="bottom"/>
            <w:tcBorders>
              <w:bottom w:val="single" w:sz="8" w:color="DBDBDB"/>
              <w:right w:val="single" w:sz="8" w:color="DBDBDB"/>
            </w:tcBorders>
            <w:shd w:val="clear" w:color="auto" w:fill="DBDBDB"/>
          </w:tcPr>
          <w:p>
            <w:pPr>
              <w:spacing w:after="0"/>
              <w:rPr>
                <w:sz w:val="22"/>
                <w:szCs w:val="22"/>
                <w:color w:val="auto"/>
              </w:rPr>
            </w:pPr>
          </w:p>
        </w:tc>
        <w:tc>
          <w:tcPr>
            <w:tcW w:w="10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94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DBDBDB"/>
            </w:tcBorders>
            <w:shd w:val="clear" w:color="auto" w:fill="DBDBDB"/>
          </w:tcPr>
          <w:p>
            <w:pPr>
              <w:spacing w:after="0"/>
              <w:rPr>
                <w:sz w:val="22"/>
                <w:szCs w:val="22"/>
                <w:color w:val="auto"/>
              </w:rPr>
            </w:pPr>
          </w:p>
        </w:tc>
        <w:tc>
          <w:tcPr>
            <w:tcW w:w="100" w:type="dxa"/>
            <w:vAlign w:val="bottom"/>
            <w:tcBorders>
              <w:bottom w:val="single" w:sz="8" w:color="DBDBDB"/>
              <w:right w:val="single" w:sz="8" w:color="DBDBDB"/>
            </w:tcBorders>
            <w:shd w:val="clear" w:color="auto" w:fill="DBDBDB"/>
          </w:tcPr>
          <w:p>
            <w:pPr>
              <w:spacing w:after="0"/>
              <w:rPr>
                <w:sz w:val="22"/>
                <w:szCs w:val="22"/>
                <w:color w:val="auto"/>
              </w:rPr>
            </w:pPr>
          </w:p>
        </w:tc>
        <w:tc>
          <w:tcPr>
            <w:tcW w:w="10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96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highlight w:val="lightGray"/>
              </w:rPr>
              <w:t>167,884</w:t>
            </w:r>
          </w:p>
        </w:tc>
        <w:tc>
          <w:tcPr>
            <w:tcW w:w="100" w:type="dxa"/>
            <w:vAlign w:val="bottom"/>
            <w:tcBorders>
              <w:bottom w:val="single" w:sz="8" w:color="DBDBDB"/>
            </w:tcBorders>
            <w:shd w:val="clear" w:color="auto" w:fill="DBDBDB"/>
          </w:tcPr>
          <w:p>
            <w:pPr>
              <w:spacing w:after="0"/>
              <w:rPr>
                <w:sz w:val="22"/>
                <w:szCs w:val="22"/>
                <w:color w:val="auto"/>
              </w:rPr>
            </w:pPr>
          </w:p>
        </w:tc>
        <w:tc>
          <w:tcPr>
            <w:tcW w:w="100" w:type="dxa"/>
            <w:vAlign w:val="bottom"/>
            <w:tcBorders>
              <w:bottom w:val="single" w:sz="8" w:color="DBDBDB"/>
              <w:right w:val="single" w:sz="8" w:color="DBDBDB"/>
            </w:tcBorders>
            <w:shd w:val="clear" w:color="auto" w:fill="DBDBDB"/>
          </w:tcPr>
          <w:p>
            <w:pPr>
              <w:spacing w:after="0"/>
              <w:rPr>
                <w:sz w:val="22"/>
                <w:szCs w:val="22"/>
                <w:color w:val="auto"/>
              </w:rPr>
            </w:pPr>
          </w:p>
        </w:tc>
        <w:tc>
          <w:tcPr>
            <w:tcW w:w="100" w:type="dxa"/>
            <w:vAlign w:val="bottom"/>
            <w:tcBorders>
              <w:bottom w:val="single" w:sz="8" w:color="DBDBDB"/>
            </w:tcBorders>
            <w:shd w:val="clear" w:color="auto" w:fill="DBDBDB"/>
          </w:tcPr>
          <w:p>
            <w:pPr>
              <w:spacing w:after="0" w:line="220"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020" w:type="dxa"/>
            <w:vAlign w:val="bottom"/>
            <w:tcBorders>
              <w:bottom w:val="single" w:sz="8" w:color="DBDBDB"/>
            </w:tcBorders>
            <w:shd w:val="clear" w:color="auto" w:fill="DBDBDB"/>
          </w:tcPr>
          <w:p>
            <w:pPr>
              <w:ind w:left="820"/>
              <w:spacing w:after="0" w:line="220" w:lineRule="exact"/>
              <w:rPr>
                <w:sz w:val="20"/>
                <w:szCs w:val="20"/>
                <w:color w:val="auto"/>
              </w:rPr>
            </w:pPr>
            <w:r>
              <w:rPr>
                <w:rFonts w:ascii="Times New Roman" w:cs="Times New Roman" w:eastAsia="Times New Roman" w:hAnsi="Times New Roman"/>
                <w:sz w:val="20"/>
                <w:szCs w:val="20"/>
                <w:color w:val="auto"/>
                <w:w w:val="89"/>
              </w:rPr>
              <w:t>—</w:t>
            </w:r>
          </w:p>
        </w:tc>
        <w:tc>
          <w:tcPr>
            <w:tcW w:w="100" w:type="dxa"/>
            <w:vAlign w:val="bottom"/>
            <w:tcBorders>
              <w:bottom w:val="single" w:sz="8" w:color="DBDBDB"/>
            </w:tcBorders>
            <w:shd w:val="clear" w:color="auto" w:fill="DBDBDB"/>
          </w:tcPr>
          <w:p>
            <w:pPr>
              <w:spacing w:after="0"/>
              <w:rPr>
                <w:sz w:val="22"/>
                <w:szCs w:val="22"/>
                <w:color w:val="auto"/>
              </w:rPr>
            </w:pPr>
          </w:p>
        </w:tc>
        <w:tc>
          <w:tcPr>
            <w:tcW w:w="100" w:type="dxa"/>
            <w:vAlign w:val="bottom"/>
            <w:tcBorders>
              <w:bottom w:val="single" w:sz="8" w:color="DBDBDB"/>
            </w:tcBorders>
            <w:shd w:val="clear" w:color="auto" w:fill="DBDBDB"/>
          </w:tcPr>
          <w:p>
            <w:pPr>
              <w:spacing w:after="0"/>
              <w:rPr>
                <w:sz w:val="22"/>
                <w:szCs w:val="22"/>
                <w:color w:val="auto"/>
              </w:rPr>
            </w:pPr>
          </w:p>
        </w:tc>
        <w:tc>
          <w:tcPr>
            <w:tcW w:w="12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94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rPr>
              <w:t>167,884</w:t>
            </w:r>
          </w:p>
        </w:tc>
      </w:tr>
      <w:tr>
        <w:trPr>
          <w:trHeight w:val="20"/>
        </w:trPr>
        <w:tc>
          <w:tcPr>
            <w:tcW w:w="548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right w:val="single" w:sz="8" w:color="auto"/>
            </w:tcBorders>
          </w:tcPr>
          <w:p>
            <w:pPr>
              <w:spacing w:after="0" w:line="20" w:lineRule="exact"/>
              <w:rPr>
                <w:sz w:val="1"/>
                <w:szCs w:val="1"/>
                <w:color w:val="auto"/>
              </w:rPr>
            </w:pPr>
          </w:p>
        </w:tc>
        <w:tc>
          <w:tcPr>
            <w:tcW w:w="100" w:type="dxa"/>
            <w:vAlign w:val="bottom"/>
            <w:tcBorders>
              <w:top w:val="single" w:sz="8" w:color="DBDBDB"/>
            </w:tcBorders>
            <w:shd w:val="clear" w:color="auto" w:fill="000000"/>
          </w:tcPr>
          <w:p>
            <w:pPr>
              <w:spacing w:after="0" w:line="20" w:lineRule="exact"/>
              <w:rPr>
                <w:sz w:val="1"/>
                <w:szCs w:val="1"/>
                <w:color w:val="auto"/>
              </w:rPr>
            </w:pPr>
          </w:p>
        </w:tc>
        <w:tc>
          <w:tcPr>
            <w:tcW w:w="940" w:type="dxa"/>
            <w:vAlign w:val="bottom"/>
            <w:tcBorders>
              <w:top w:val="single" w:sz="8" w:color="DBDBDB"/>
            </w:tcBorders>
            <w:shd w:val="clear" w:color="auto" w:fill="000000"/>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right w:val="single" w:sz="8" w:color="auto"/>
            </w:tcBorders>
          </w:tcPr>
          <w:p>
            <w:pPr>
              <w:spacing w:after="0" w:line="20" w:lineRule="exact"/>
              <w:rPr>
                <w:sz w:val="1"/>
                <w:szCs w:val="1"/>
                <w:color w:val="auto"/>
              </w:rPr>
            </w:pPr>
          </w:p>
        </w:tc>
        <w:tc>
          <w:tcPr>
            <w:tcW w:w="100" w:type="dxa"/>
            <w:vAlign w:val="bottom"/>
            <w:tcBorders>
              <w:top w:val="single" w:sz="8" w:color="DBDBDB"/>
            </w:tcBorders>
            <w:shd w:val="clear" w:color="auto" w:fill="000000"/>
          </w:tcPr>
          <w:p>
            <w:pPr>
              <w:spacing w:after="0" w:line="20" w:lineRule="exact"/>
              <w:rPr>
                <w:sz w:val="1"/>
                <w:szCs w:val="1"/>
                <w:color w:val="auto"/>
              </w:rPr>
            </w:pPr>
          </w:p>
        </w:tc>
        <w:tc>
          <w:tcPr>
            <w:tcW w:w="960" w:type="dxa"/>
            <w:vAlign w:val="bottom"/>
            <w:tcBorders>
              <w:top w:val="single" w:sz="8" w:color="DBDBDB"/>
            </w:tcBorders>
            <w:shd w:val="clear" w:color="auto" w:fill="000000"/>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right w:val="single" w:sz="8" w:color="auto"/>
            </w:tcBorders>
          </w:tcPr>
          <w:p>
            <w:pPr>
              <w:spacing w:after="0" w:line="20" w:lineRule="exact"/>
              <w:rPr>
                <w:sz w:val="1"/>
                <w:szCs w:val="1"/>
                <w:color w:val="auto"/>
              </w:rPr>
            </w:pPr>
          </w:p>
        </w:tc>
        <w:tc>
          <w:tcPr>
            <w:tcW w:w="100" w:type="dxa"/>
            <w:vAlign w:val="bottom"/>
            <w:tcBorders>
              <w:top w:val="single" w:sz="8" w:color="DBDBDB"/>
            </w:tcBorders>
            <w:shd w:val="clear" w:color="auto" w:fill="000000"/>
          </w:tcPr>
          <w:p>
            <w:pPr>
              <w:spacing w:after="0" w:line="20" w:lineRule="exact"/>
              <w:rPr>
                <w:sz w:val="1"/>
                <w:szCs w:val="1"/>
                <w:color w:val="auto"/>
              </w:rPr>
            </w:pPr>
          </w:p>
        </w:tc>
        <w:tc>
          <w:tcPr>
            <w:tcW w:w="1020" w:type="dxa"/>
            <w:vAlign w:val="bottom"/>
            <w:tcBorders>
              <w:top w:val="single" w:sz="8" w:color="DBDBDB"/>
            </w:tcBorders>
            <w:shd w:val="clear" w:color="auto" w:fill="000000"/>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600"/>
          </w:cols>
          <w:pgMar w:left="640" w:top="407"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ectPr>
          <w:pgSz w:w="11880" w:h="15480" w:orient="portrait"/>
          <w:cols w:equalWidth="0" w:num="1">
            <w:col w:w="10600"/>
          </w:cols>
          <w:pgMar w:left="640" w:top="407" w:right="640" w:bottom="0" w:gutter="0" w:footer="0" w:header="0"/>
          <w:type w:val="continuous"/>
        </w:sectPr>
      </w:pPr>
    </w:p>
    <w:bookmarkStart w:id="79" w:name="page80"/>
    <w:bookmarkEnd w:id="79"/>
    <w:tbl>
      <w:tblPr>
        <w:tblLayout w:type="fixed"/>
        <w:tblInd w:w="20" w:type="dxa"/>
        <w:tblCellMar>
          <w:top w:w="0" w:type="dxa"/>
          <w:left w:w="0" w:type="dxa"/>
          <w:bottom w:w="0" w:type="dxa"/>
          <w:right w:w="0" w:type="dxa"/>
        </w:tblCellMar>
      </w:tblPr>
      <w:tr>
        <w:trPr>
          <w:trHeight w:val="270"/>
        </w:trPr>
        <w:tc>
          <w:tcPr>
            <w:tcW w:w="748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NOTE K—NOTES PAYABLE AND LONG-TERM DEBT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443"/>
        </w:trPr>
        <w:tc>
          <w:tcPr>
            <w:tcW w:w="60" w:type="dxa"/>
            <w:vAlign w:val="bottom"/>
          </w:tcPr>
          <w:p>
            <w:pPr>
              <w:spacing w:after="0"/>
              <w:rPr>
                <w:sz w:val="24"/>
                <w:szCs w:val="24"/>
                <w:color w:val="auto"/>
              </w:rPr>
            </w:pPr>
          </w:p>
        </w:tc>
        <w:tc>
          <w:tcPr>
            <w:tcW w:w="8900" w:type="dxa"/>
            <w:vAlign w:val="bottom"/>
            <w:gridSpan w:val="5"/>
          </w:tcPr>
          <w:p>
            <w:pPr>
              <w:ind w:left="660"/>
              <w:spacing w:after="0"/>
              <w:rPr>
                <w:sz w:val="20"/>
                <w:szCs w:val="20"/>
                <w:color w:val="auto"/>
              </w:rPr>
            </w:pPr>
            <w:r>
              <w:rPr>
                <w:rFonts w:ascii="Times New Roman" w:cs="Times New Roman" w:eastAsia="Times New Roman" w:hAnsi="Times New Roman"/>
                <w:sz w:val="20"/>
                <w:szCs w:val="20"/>
                <w:color w:val="auto"/>
              </w:rPr>
              <w:t>Notes payable and long-term debt consisted of the following for the periods indicated (in thousands):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18"/>
        </w:trPr>
        <w:tc>
          <w:tcPr>
            <w:tcW w:w="6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jc w:val="right"/>
              <w:ind w:right="22"/>
              <w:spacing w:after="0"/>
              <w:rPr>
                <w:sz w:val="20"/>
                <w:szCs w:val="20"/>
                <w:color w:val="auto"/>
              </w:rPr>
            </w:pPr>
            <w:r>
              <w:rPr>
                <w:rFonts w:ascii="Times New Roman" w:cs="Times New Roman" w:eastAsia="Times New Roman" w:hAnsi="Times New Roman"/>
                <w:sz w:val="20"/>
                <w:szCs w:val="20"/>
                <w:b w:val="1"/>
                <w:bCs w:val="1"/>
                <w:color w:val="auto"/>
                <w:w w:val="97"/>
              </w:rPr>
              <w:t>December 31,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jc w:val="right"/>
              <w:ind w:right="22"/>
              <w:spacing w:after="0"/>
              <w:rPr>
                <w:sz w:val="20"/>
                <w:szCs w:val="20"/>
                <w:color w:val="auto"/>
              </w:rPr>
            </w:pPr>
            <w:r>
              <w:rPr>
                <w:rFonts w:ascii="Times New Roman" w:cs="Times New Roman" w:eastAsia="Times New Roman" w:hAnsi="Times New Roman"/>
                <w:sz w:val="20"/>
                <w:szCs w:val="20"/>
                <w:b w:val="1"/>
                <w:bCs w:val="1"/>
                <w:color w:val="auto"/>
                <w:w w:val="97"/>
              </w:rPr>
              <w:t>December 31,</w:t>
            </w:r>
          </w:p>
        </w:tc>
      </w:tr>
      <w:tr>
        <w:trPr>
          <w:trHeight w:val="256"/>
        </w:trPr>
        <w:tc>
          <w:tcPr>
            <w:tcW w:w="60" w:type="dxa"/>
            <w:vAlign w:val="bottom"/>
          </w:tcPr>
          <w:p>
            <w:pPr>
              <w:spacing w:after="0"/>
              <w:rPr>
                <w:sz w:val="22"/>
                <w:szCs w:val="22"/>
                <w:color w:val="auto"/>
              </w:rPr>
            </w:pPr>
          </w:p>
        </w:tc>
        <w:tc>
          <w:tcPr>
            <w:tcW w:w="7400" w:type="dxa"/>
            <w:vAlign w:val="bottom"/>
            <w:tcBorders>
              <w:bottom w:val="single" w:sz="8" w:color="DBDBDB"/>
            </w:tcBorders>
          </w:tcPr>
          <w:p>
            <w:pPr>
              <w:spacing w:after="0"/>
              <w:rPr>
                <w:sz w:val="22"/>
                <w:szCs w:val="22"/>
                <w:color w:val="auto"/>
              </w:rPr>
            </w:pPr>
          </w:p>
        </w:tc>
        <w:tc>
          <w:tcPr>
            <w:tcW w:w="20" w:type="dxa"/>
            <w:vAlign w:val="bottom"/>
            <w:tcBorders>
              <w:bottom w:val="single" w:sz="8" w:color="DBDBDB"/>
            </w:tcBorders>
          </w:tcPr>
          <w:p>
            <w:pPr>
              <w:spacing w:after="0"/>
              <w:rPr>
                <w:sz w:val="22"/>
                <w:szCs w:val="22"/>
                <w:color w:val="auto"/>
              </w:rPr>
            </w:pPr>
          </w:p>
        </w:tc>
        <w:tc>
          <w:tcPr>
            <w:tcW w:w="100" w:type="dxa"/>
            <w:vAlign w:val="bottom"/>
            <w:tcBorders>
              <w:bottom w:val="single" w:sz="8" w:color="DBDBDB"/>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20"/>
                <w:szCs w:val="20"/>
                <w:b w:val="1"/>
                <w:bCs w:val="1"/>
                <w:color w:val="auto"/>
              </w:rPr>
              <w:t>2025</w:t>
            </w:r>
          </w:p>
        </w:tc>
        <w:tc>
          <w:tcPr>
            <w:tcW w:w="100" w:type="dxa"/>
            <w:vAlign w:val="bottom"/>
            <w:tcBorders>
              <w:bottom w:val="single" w:sz="8" w:color="DBDBDB"/>
            </w:tcBorders>
          </w:tcPr>
          <w:p>
            <w:pPr>
              <w:spacing w:after="0"/>
              <w:rPr>
                <w:sz w:val="22"/>
                <w:szCs w:val="22"/>
                <w:color w:val="auto"/>
              </w:rPr>
            </w:pPr>
          </w:p>
        </w:tc>
        <w:tc>
          <w:tcPr>
            <w:tcW w:w="100" w:type="dxa"/>
            <w:vAlign w:val="bottom"/>
            <w:tcBorders>
              <w:bottom w:val="single" w:sz="8" w:color="DBDBDB"/>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200"/>
        </w:trPr>
        <w:tc>
          <w:tcPr>
            <w:tcW w:w="60" w:type="dxa"/>
            <w:vAlign w:val="bottom"/>
          </w:tcPr>
          <w:p>
            <w:pPr>
              <w:spacing w:after="0"/>
              <w:rPr>
                <w:sz w:val="17"/>
                <w:szCs w:val="17"/>
                <w:color w:val="auto"/>
              </w:rPr>
            </w:pPr>
          </w:p>
        </w:tc>
        <w:tc>
          <w:tcPr>
            <w:tcW w:w="7400" w:type="dxa"/>
            <w:vAlign w:val="bottom"/>
            <w:shd w:val="clear" w:color="auto" w:fill="DBDBDB"/>
          </w:tcPr>
          <w:p>
            <w:pPr>
              <w:spacing w:after="0" w:line="201" w:lineRule="exact"/>
              <w:rPr>
                <w:sz w:val="20"/>
                <w:szCs w:val="20"/>
                <w:color w:val="auto"/>
              </w:rPr>
            </w:pPr>
            <w:r>
              <w:rPr>
                <w:rFonts w:ascii="Times New Roman" w:cs="Times New Roman" w:eastAsia="Times New Roman" w:hAnsi="Times New Roman"/>
                <w:sz w:val="20"/>
                <w:szCs w:val="20"/>
                <w:color w:val="auto"/>
              </w:rPr>
              <w:t>Revolving line of credit with a China bank up to $23.6 million with interest from 4.00% to</w:t>
            </w:r>
          </w:p>
        </w:tc>
        <w:tc>
          <w:tcPr>
            <w:tcW w:w="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2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280" w:type="dxa"/>
            <w:vAlign w:val="bottom"/>
            <w:shd w:val="clear" w:color="auto" w:fill="DBDBDB"/>
          </w:tcPr>
          <w:p>
            <w:pPr>
              <w:spacing w:after="0"/>
              <w:rPr>
                <w:sz w:val="17"/>
                <w:szCs w:val="17"/>
                <w:color w:val="auto"/>
              </w:rPr>
            </w:pPr>
          </w:p>
        </w:tc>
      </w:tr>
      <w:tr>
        <w:trPr>
          <w:trHeight w:val="250"/>
        </w:trPr>
        <w:tc>
          <w:tcPr>
            <w:tcW w:w="60" w:type="dxa"/>
            <w:vAlign w:val="bottom"/>
          </w:tcPr>
          <w:p>
            <w:pPr>
              <w:spacing w:after="0"/>
              <w:rPr>
                <w:sz w:val="21"/>
                <w:szCs w:val="21"/>
                <w:color w:val="auto"/>
              </w:rPr>
            </w:pPr>
          </w:p>
        </w:tc>
        <w:tc>
          <w:tcPr>
            <w:tcW w:w="7400" w:type="dxa"/>
            <w:vAlign w:val="bottom"/>
            <w:shd w:val="clear" w:color="auto" w:fill="DBDBDB"/>
          </w:tcPr>
          <w:p>
            <w:pPr>
              <w:spacing w:after="0"/>
              <w:rPr>
                <w:sz w:val="20"/>
                <w:szCs w:val="20"/>
                <w:color w:val="auto"/>
              </w:rPr>
            </w:pPr>
            <w:r>
              <w:rPr>
                <w:rFonts w:ascii="Times New Roman" w:cs="Times New Roman" w:eastAsia="Times New Roman" w:hAnsi="Times New Roman"/>
                <w:sz w:val="20"/>
                <w:szCs w:val="20"/>
                <w:color w:val="auto"/>
              </w:rPr>
              <w:t>4.35%, terminated on June 18, 2025</w:t>
            </w:r>
          </w:p>
        </w:tc>
        <w:tc>
          <w:tcPr>
            <w:tcW w:w="2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highlight w:val="lightGray"/>
                <w:w w:val="79"/>
              </w:rPr>
              <w:t>$</w:t>
            </w:r>
          </w:p>
        </w:tc>
        <w:tc>
          <w:tcPr>
            <w:tcW w:w="12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highlight w:val="lightGray"/>
                <w:w w:val="79"/>
              </w:rPr>
              <w:t>$</w:t>
            </w:r>
          </w:p>
        </w:tc>
        <w:tc>
          <w:tcPr>
            <w:tcW w:w="12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13,466</w:t>
            </w:r>
          </w:p>
        </w:tc>
      </w:tr>
      <w:tr>
        <w:trPr>
          <w:trHeight w:val="211"/>
        </w:trPr>
        <w:tc>
          <w:tcPr>
            <w:tcW w:w="60" w:type="dxa"/>
            <w:vAlign w:val="bottom"/>
          </w:tcPr>
          <w:p>
            <w:pPr>
              <w:spacing w:after="0"/>
              <w:rPr>
                <w:sz w:val="18"/>
                <w:szCs w:val="18"/>
                <w:color w:val="auto"/>
              </w:rPr>
            </w:pPr>
          </w:p>
        </w:tc>
        <w:tc>
          <w:tcPr>
            <w:tcW w:w="7420" w:type="dxa"/>
            <w:vAlign w:val="bottom"/>
            <w:gridSpan w:val="2"/>
          </w:tcPr>
          <w:p>
            <w:pPr>
              <w:spacing w:after="0" w:line="211" w:lineRule="exact"/>
              <w:rPr>
                <w:sz w:val="20"/>
                <w:szCs w:val="20"/>
                <w:color w:val="auto"/>
              </w:rPr>
            </w:pPr>
            <w:r>
              <w:rPr>
                <w:rFonts w:ascii="Times New Roman" w:cs="Times New Roman" w:eastAsia="Times New Roman" w:hAnsi="Times New Roman"/>
                <w:sz w:val="20"/>
                <w:szCs w:val="20"/>
                <w:color w:val="auto"/>
                <w:w w:val="98"/>
              </w:rPr>
              <w:t>Revolving line of credit with a China bank up to $35.6 million with interest of 2.6%, maturing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50"/>
        </w:trPr>
        <w:tc>
          <w:tcPr>
            <w:tcW w:w="60" w:type="dxa"/>
            <w:vAlign w:val="bottom"/>
          </w:tcPr>
          <w:p>
            <w:pPr>
              <w:spacing w:after="0"/>
              <w:rPr>
                <w:sz w:val="21"/>
                <w:szCs w:val="21"/>
                <w:color w:val="auto"/>
              </w:rPr>
            </w:pPr>
          </w:p>
        </w:tc>
        <w:tc>
          <w:tcPr>
            <w:tcW w:w="74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July 29, 2030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20,203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11"/>
        </w:trPr>
        <w:tc>
          <w:tcPr>
            <w:tcW w:w="60" w:type="dxa"/>
            <w:vAlign w:val="bottom"/>
          </w:tcPr>
          <w:p>
            <w:pPr>
              <w:spacing w:after="0"/>
              <w:rPr>
                <w:sz w:val="18"/>
                <w:szCs w:val="18"/>
                <w:color w:val="auto"/>
              </w:rPr>
            </w:pPr>
          </w:p>
        </w:tc>
        <w:tc>
          <w:tcPr>
            <w:tcW w:w="7400" w:type="dxa"/>
            <w:vAlign w:val="bottom"/>
            <w:shd w:val="clear" w:color="auto" w:fill="DBDBDB"/>
          </w:tcPr>
          <w:p>
            <w:pPr>
              <w:spacing w:after="0" w:line="211" w:lineRule="exact"/>
              <w:rPr>
                <w:sz w:val="20"/>
                <w:szCs w:val="20"/>
                <w:color w:val="auto"/>
              </w:rPr>
            </w:pPr>
            <w:r>
              <w:rPr>
                <w:rFonts w:ascii="Times New Roman" w:cs="Times New Roman" w:eastAsia="Times New Roman" w:hAnsi="Times New Roman"/>
                <w:sz w:val="20"/>
                <w:szCs w:val="20"/>
                <w:color w:val="auto"/>
              </w:rPr>
              <w:t>Credit facility with a China bank up to $27.8 million with interest of 4.00% to 4.35%,</w:t>
            </w:r>
          </w:p>
        </w:tc>
        <w:tc>
          <w:tcPr>
            <w:tcW w:w="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r>
      <w:tr>
        <w:trPr>
          <w:trHeight w:val="250"/>
        </w:trPr>
        <w:tc>
          <w:tcPr>
            <w:tcW w:w="60" w:type="dxa"/>
            <w:vAlign w:val="bottom"/>
          </w:tcPr>
          <w:p>
            <w:pPr>
              <w:spacing w:after="0"/>
              <w:rPr>
                <w:sz w:val="21"/>
                <w:szCs w:val="21"/>
                <w:color w:val="auto"/>
              </w:rPr>
            </w:pPr>
          </w:p>
        </w:tc>
        <w:tc>
          <w:tcPr>
            <w:tcW w:w="7400" w:type="dxa"/>
            <w:vAlign w:val="bottom"/>
            <w:shd w:val="clear" w:color="auto" w:fill="DBDBDB"/>
          </w:tcPr>
          <w:p>
            <w:pPr>
              <w:spacing w:after="0"/>
              <w:rPr>
                <w:sz w:val="20"/>
                <w:szCs w:val="20"/>
                <w:color w:val="auto"/>
              </w:rPr>
            </w:pPr>
            <w:r>
              <w:rPr>
                <w:rFonts w:ascii="Times New Roman" w:cs="Times New Roman" w:eastAsia="Times New Roman" w:hAnsi="Times New Roman"/>
                <w:sz w:val="20"/>
                <w:szCs w:val="20"/>
                <w:color w:val="auto"/>
              </w:rPr>
              <w:t>terminated on July 23, 2025</w:t>
            </w:r>
          </w:p>
        </w:tc>
        <w:tc>
          <w:tcPr>
            <w:tcW w:w="2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2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2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13,216</w:t>
            </w:r>
          </w:p>
        </w:tc>
      </w:tr>
      <w:tr>
        <w:trPr>
          <w:trHeight w:val="211"/>
        </w:trPr>
        <w:tc>
          <w:tcPr>
            <w:tcW w:w="60" w:type="dxa"/>
            <w:vAlign w:val="bottom"/>
          </w:tcPr>
          <w:p>
            <w:pPr>
              <w:spacing w:after="0"/>
              <w:rPr>
                <w:sz w:val="18"/>
                <w:szCs w:val="18"/>
                <w:color w:val="auto"/>
              </w:rPr>
            </w:pPr>
          </w:p>
        </w:tc>
        <w:tc>
          <w:tcPr>
            <w:tcW w:w="7420" w:type="dxa"/>
            <w:vAlign w:val="bottom"/>
            <w:gridSpan w:val="2"/>
          </w:tcPr>
          <w:p>
            <w:pPr>
              <w:spacing w:after="0" w:line="211" w:lineRule="exact"/>
              <w:rPr>
                <w:sz w:val="20"/>
                <w:szCs w:val="20"/>
                <w:color w:val="auto"/>
              </w:rPr>
            </w:pPr>
            <w:r>
              <w:rPr>
                <w:rFonts w:ascii="Times New Roman" w:cs="Times New Roman" w:eastAsia="Times New Roman" w:hAnsi="Times New Roman"/>
                <w:sz w:val="20"/>
                <w:szCs w:val="20"/>
                <w:color w:val="auto"/>
              </w:rPr>
              <w:t>Revolving line of credit with a China bank up to $35.6 million with interest at 2.45% to</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50"/>
        </w:trPr>
        <w:tc>
          <w:tcPr>
            <w:tcW w:w="60" w:type="dxa"/>
            <w:vAlign w:val="bottom"/>
          </w:tcPr>
          <w:p>
            <w:pPr>
              <w:spacing w:after="0"/>
              <w:rPr>
                <w:sz w:val="21"/>
                <w:szCs w:val="21"/>
                <w:color w:val="auto"/>
              </w:rPr>
            </w:pPr>
          </w:p>
        </w:tc>
        <w:tc>
          <w:tcPr>
            <w:tcW w:w="74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2.95%, maturing June 26, 2030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13,772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5"/>
        </w:trPr>
        <w:tc>
          <w:tcPr>
            <w:tcW w:w="60" w:type="dxa"/>
            <w:vAlign w:val="bottom"/>
          </w:tcPr>
          <w:p>
            <w:pPr>
              <w:spacing w:after="0"/>
              <w:rPr>
                <w:sz w:val="20"/>
                <w:szCs w:val="20"/>
                <w:color w:val="auto"/>
              </w:rPr>
            </w:pPr>
          </w:p>
        </w:tc>
        <w:tc>
          <w:tcPr>
            <w:tcW w:w="7400" w:type="dxa"/>
            <w:vAlign w:val="bottom"/>
            <w:shd w:val="clear" w:color="auto" w:fill="DBDBDB"/>
          </w:tcPr>
          <w:p>
            <w:pPr>
              <w:spacing w:after="0"/>
              <w:rPr>
                <w:sz w:val="20"/>
                <w:szCs w:val="20"/>
                <w:color w:val="auto"/>
              </w:rPr>
            </w:pPr>
            <w:r>
              <w:rPr>
                <w:rFonts w:ascii="Times New Roman" w:cs="Times New Roman" w:eastAsia="Times New Roman" w:hAnsi="Times New Roman"/>
                <w:sz w:val="20"/>
                <w:szCs w:val="20"/>
                <w:color w:val="auto"/>
              </w:rPr>
              <w:t>Sub-total</w:t>
            </w:r>
          </w:p>
        </w:tc>
        <w:tc>
          <w:tcPr>
            <w:tcW w:w="2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2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33,975</w:t>
            </w:r>
          </w:p>
        </w:tc>
        <w:tc>
          <w:tcPr>
            <w:tcW w:w="10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2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26,682</w:t>
            </w:r>
          </w:p>
        </w:tc>
      </w:tr>
      <w:tr>
        <w:trPr>
          <w:trHeight w:val="238"/>
        </w:trPr>
        <w:tc>
          <w:tcPr>
            <w:tcW w:w="60" w:type="dxa"/>
            <w:vAlign w:val="bottom"/>
          </w:tcPr>
          <w:p>
            <w:pPr>
              <w:spacing w:after="0"/>
              <w:rPr>
                <w:sz w:val="20"/>
                <w:szCs w:val="20"/>
                <w:color w:val="auto"/>
              </w:rPr>
            </w:pPr>
          </w:p>
        </w:tc>
        <w:tc>
          <w:tcPr>
            <w:tcW w:w="7420" w:type="dxa"/>
            <w:vAlign w:val="bottom"/>
            <w:tcBorders>
              <w:bottom w:val="single" w:sz="8" w:color="DBDBDB"/>
            </w:tcBorders>
            <w:gridSpan w:val="2"/>
          </w:tcPr>
          <w:p>
            <w:pPr>
              <w:spacing w:after="0"/>
              <w:rPr>
                <w:sz w:val="20"/>
                <w:szCs w:val="20"/>
                <w:color w:val="auto"/>
              </w:rPr>
            </w:pPr>
            <w:r>
              <w:rPr>
                <w:rFonts w:ascii="Times New Roman" w:cs="Times New Roman" w:eastAsia="Times New Roman" w:hAnsi="Times New Roman"/>
                <w:sz w:val="20"/>
                <w:szCs w:val="20"/>
                <w:color w:val="auto"/>
              </w:rPr>
              <w:t>Less debt issuance costs, net</w:t>
            </w:r>
          </w:p>
        </w:tc>
        <w:tc>
          <w:tcPr>
            <w:tcW w:w="100" w:type="dxa"/>
            <w:vAlign w:val="bottom"/>
            <w:tcBorders>
              <w:bottom w:val="single" w:sz="8" w:color="DBDBDB"/>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DBDBDB"/>
            </w:tcBorders>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25"/>
        </w:trPr>
        <w:tc>
          <w:tcPr>
            <w:tcW w:w="60" w:type="dxa"/>
            <w:vAlign w:val="bottom"/>
          </w:tcPr>
          <w:p>
            <w:pPr>
              <w:spacing w:after="0"/>
              <w:rPr>
                <w:sz w:val="19"/>
                <w:szCs w:val="19"/>
                <w:color w:val="auto"/>
              </w:rPr>
            </w:pPr>
          </w:p>
        </w:tc>
        <w:tc>
          <w:tcPr>
            <w:tcW w:w="7400" w:type="dxa"/>
            <w:vAlign w:val="bottom"/>
            <w:shd w:val="clear" w:color="auto" w:fill="DBDBDB"/>
          </w:tcPr>
          <w:p>
            <w:pPr>
              <w:spacing w:after="0" w:line="220" w:lineRule="exact"/>
              <w:rPr>
                <w:sz w:val="20"/>
                <w:szCs w:val="20"/>
                <w:color w:val="auto"/>
              </w:rPr>
            </w:pPr>
            <w:r>
              <w:rPr>
                <w:rFonts w:ascii="Times New Roman" w:cs="Times New Roman" w:eastAsia="Times New Roman" w:hAnsi="Times New Roman"/>
                <w:sz w:val="20"/>
                <w:szCs w:val="20"/>
                <w:color w:val="auto"/>
              </w:rPr>
              <w:t>Grand total</w:t>
            </w:r>
          </w:p>
        </w:tc>
        <w:tc>
          <w:tcPr>
            <w:tcW w:w="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line="225" w:lineRule="exact"/>
              <w:rPr>
                <w:sz w:val="20"/>
                <w:szCs w:val="20"/>
                <w:color w:val="auto"/>
              </w:rPr>
            </w:pPr>
            <w:r>
              <w:rPr>
                <w:rFonts w:ascii="Times New Roman" w:cs="Times New Roman" w:eastAsia="Times New Roman" w:hAnsi="Times New Roman"/>
                <w:sz w:val="20"/>
                <w:szCs w:val="20"/>
                <w:color w:val="auto"/>
              </w:rPr>
              <w:t>33,975</w:t>
            </w:r>
          </w:p>
        </w:tc>
        <w:tc>
          <w:tcPr>
            <w:tcW w:w="1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line="225" w:lineRule="exact"/>
              <w:rPr>
                <w:sz w:val="20"/>
                <w:szCs w:val="20"/>
                <w:color w:val="auto"/>
              </w:rPr>
            </w:pPr>
            <w:r>
              <w:rPr>
                <w:rFonts w:ascii="Times New Roman" w:cs="Times New Roman" w:eastAsia="Times New Roman" w:hAnsi="Times New Roman"/>
                <w:sz w:val="20"/>
                <w:szCs w:val="20"/>
                <w:color w:val="auto"/>
              </w:rPr>
              <w:t>26,682</w:t>
            </w:r>
          </w:p>
        </w:tc>
      </w:tr>
      <w:tr>
        <w:trPr>
          <w:trHeight w:val="238"/>
        </w:trPr>
        <w:tc>
          <w:tcPr>
            <w:tcW w:w="60" w:type="dxa"/>
            <w:vAlign w:val="bottom"/>
          </w:tcPr>
          <w:p>
            <w:pPr>
              <w:spacing w:after="0"/>
              <w:rPr>
                <w:sz w:val="20"/>
                <w:szCs w:val="20"/>
                <w:color w:val="auto"/>
              </w:rPr>
            </w:pPr>
          </w:p>
        </w:tc>
        <w:tc>
          <w:tcPr>
            <w:tcW w:w="7420" w:type="dxa"/>
            <w:vAlign w:val="bottom"/>
            <w:tcBorders>
              <w:bottom w:val="single" w:sz="8" w:color="DBDBDB"/>
            </w:tcBorders>
            <w:gridSpan w:val="2"/>
          </w:tcPr>
          <w:p>
            <w:pPr>
              <w:spacing w:after="0"/>
              <w:rPr>
                <w:sz w:val="20"/>
                <w:szCs w:val="20"/>
                <w:color w:val="auto"/>
              </w:rPr>
            </w:pPr>
            <w:r>
              <w:rPr>
                <w:rFonts w:ascii="Times New Roman" w:cs="Times New Roman" w:eastAsia="Times New Roman" w:hAnsi="Times New Roman"/>
                <w:sz w:val="20"/>
                <w:szCs w:val="20"/>
                <w:color w:val="auto"/>
              </w:rPr>
              <w:t>Less current portion</w:t>
            </w:r>
          </w:p>
        </w:tc>
        <w:tc>
          <w:tcPr>
            <w:tcW w:w="100" w:type="dxa"/>
            <w:vAlign w:val="bottom"/>
            <w:tcBorders>
              <w:bottom w:val="single" w:sz="8" w:color="DBDBDB"/>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(33,975)</w:t>
            </w:r>
          </w:p>
        </w:tc>
        <w:tc>
          <w:tcPr>
            <w:tcW w:w="100" w:type="dxa"/>
            <w:vAlign w:val="bottom"/>
            <w:tcBorders>
              <w:bottom w:val="single" w:sz="8" w:color="DBDBDB"/>
            </w:tcBorders>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(22,369)</w:t>
            </w:r>
          </w:p>
        </w:tc>
      </w:tr>
      <w:tr>
        <w:trPr>
          <w:trHeight w:val="288"/>
        </w:trPr>
        <w:tc>
          <w:tcPr>
            <w:tcW w:w="60" w:type="dxa"/>
            <w:vAlign w:val="bottom"/>
          </w:tcPr>
          <w:p>
            <w:pPr>
              <w:spacing w:after="0"/>
              <w:rPr>
                <w:sz w:val="24"/>
                <w:szCs w:val="24"/>
                <w:color w:val="auto"/>
              </w:rPr>
            </w:pPr>
          </w:p>
        </w:tc>
        <w:tc>
          <w:tcPr>
            <w:tcW w:w="7400" w:type="dxa"/>
            <w:vAlign w:val="bottom"/>
            <w:tcBorders>
              <w:bottom w:val="single" w:sz="8" w:color="DBDBDB"/>
            </w:tcBorders>
            <w:shd w:val="clear" w:color="auto" w:fill="DBDBDB"/>
          </w:tcPr>
          <w:p>
            <w:pPr>
              <w:spacing w:after="0" w:line="220" w:lineRule="exact"/>
              <w:rPr>
                <w:sz w:val="20"/>
                <w:szCs w:val="20"/>
                <w:color w:val="auto"/>
              </w:rPr>
            </w:pPr>
            <w:r>
              <w:rPr>
                <w:rFonts w:ascii="Times New Roman" w:cs="Times New Roman" w:eastAsia="Times New Roman" w:hAnsi="Times New Roman"/>
                <w:sz w:val="20"/>
                <w:szCs w:val="20"/>
                <w:color w:val="auto"/>
              </w:rPr>
              <w:t>Non-current portion</w:t>
            </w:r>
          </w:p>
        </w:tc>
        <w:tc>
          <w:tcPr>
            <w:tcW w:w="20" w:type="dxa"/>
            <w:vAlign w:val="bottom"/>
            <w:tcBorders>
              <w:bottom w:val="single" w:sz="8" w:color="DBDBDB"/>
            </w:tcBorders>
            <w:shd w:val="clear" w:color="auto" w:fill="DBDBDB"/>
          </w:tcPr>
          <w:p>
            <w:pPr>
              <w:spacing w:after="0"/>
              <w:rPr>
                <w:sz w:val="24"/>
                <w:szCs w:val="24"/>
                <w:color w:val="auto"/>
              </w:rPr>
            </w:pPr>
          </w:p>
        </w:tc>
        <w:tc>
          <w:tcPr>
            <w:tcW w:w="100" w:type="dxa"/>
            <w:vAlign w:val="bottom"/>
            <w:tcBorders>
              <w:bottom w:val="single" w:sz="8" w:color="DBDBDB"/>
            </w:tcBorders>
            <w:shd w:val="clear" w:color="auto" w:fill="DBDBDB"/>
          </w:tcPr>
          <w:p>
            <w:pPr>
              <w:spacing w:after="0"/>
              <w:rPr>
                <w:sz w:val="24"/>
                <w:szCs w:val="24"/>
                <w:color w:val="auto"/>
              </w:rPr>
            </w:pPr>
          </w:p>
        </w:tc>
        <w:tc>
          <w:tcPr>
            <w:tcW w:w="10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28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DBDBDB"/>
            </w:tcBorders>
            <w:shd w:val="clear" w:color="auto" w:fill="DBDBDB"/>
          </w:tcPr>
          <w:p>
            <w:pPr>
              <w:spacing w:after="0"/>
              <w:rPr>
                <w:sz w:val="24"/>
                <w:szCs w:val="24"/>
                <w:color w:val="auto"/>
              </w:rPr>
            </w:pPr>
          </w:p>
        </w:tc>
        <w:tc>
          <w:tcPr>
            <w:tcW w:w="100" w:type="dxa"/>
            <w:vAlign w:val="bottom"/>
            <w:tcBorders>
              <w:bottom w:val="single" w:sz="8" w:color="DBDBDB"/>
            </w:tcBorders>
            <w:shd w:val="clear" w:color="auto" w:fill="DBDBDB"/>
          </w:tcPr>
          <w:p>
            <w:pPr>
              <w:spacing w:after="0"/>
              <w:rPr>
                <w:sz w:val="24"/>
                <w:szCs w:val="24"/>
                <w:color w:val="auto"/>
              </w:rPr>
            </w:pPr>
          </w:p>
        </w:tc>
        <w:tc>
          <w:tcPr>
            <w:tcW w:w="10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28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rPr>
              <w:t>4,313</w:t>
            </w:r>
          </w:p>
        </w:tc>
      </w:tr>
      <w:tr>
        <w:trPr>
          <w:trHeight w:val="453"/>
        </w:trPr>
        <w:tc>
          <w:tcPr>
            <w:tcW w:w="60" w:type="dxa"/>
            <w:vAlign w:val="bottom"/>
          </w:tcPr>
          <w:p>
            <w:pPr>
              <w:spacing w:after="0"/>
              <w:rPr>
                <w:sz w:val="24"/>
                <w:szCs w:val="24"/>
                <w:color w:val="auto"/>
              </w:rPr>
            </w:pPr>
          </w:p>
        </w:tc>
        <w:tc>
          <w:tcPr>
            <w:tcW w:w="7420" w:type="dxa"/>
            <w:vAlign w:val="bottom"/>
            <w:tcBorders>
              <w:top w:val="single" w:sz="8" w:color="DBDBDB"/>
            </w:tcBorders>
            <w:gridSpan w:val="2"/>
          </w:tcPr>
          <w:p>
            <w:pPr>
              <w:spacing w:after="0"/>
              <w:rPr>
                <w:sz w:val="20"/>
                <w:szCs w:val="20"/>
                <w:color w:val="auto"/>
              </w:rPr>
            </w:pPr>
            <w:r>
              <w:rPr>
                <w:rFonts w:ascii="Times New Roman" w:cs="Times New Roman" w:eastAsia="Times New Roman" w:hAnsi="Times New Roman"/>
                <w:sz w:val="20"/>
                <w:szCs w:val="20"/>
                <w:b w:val="1"/>
                <w:bCs w:val="1"/>
                <w:color w:val="auto"/>
              </w:rPr>
              <w:t>Bank Acceptance Notes Payable</w:t>
            </w:r>
          </w:p>
        </w:tc>
        <w:tc>
          <w:tcPr>
            <w:tcW w:w="100" w:type="dxa"/>
            <w:vAlign w:val="bottom"/>
            <w:tcBorders>
              <w:top w:val="single" w:sz="8" w:color="DBDBDB"/>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Borders>
              <w:top w:val="single" w:sz="8" w:color="DBDBDB"/>
            </w:tcBorders>
          </w:tcPr>
          <w:p>
            <w:pPr>
              <w:spacing w:after="0"/>
              <w:rPr>
                <w:sz w:val="24"/>
                <w:szCs w:val="24"/>
                <w:color w:val="auto"/>
              </w:rPr>
            </w:pPr>
          </w:p>
        </w:tc>
        <w:tc>
          <w:tcPr>
            <w:tcW w:w="100" w:type="dxa"/>
            <w:vAlign w:val="bottom"/>
            <w:tcBorders>
              <w:top w:val="single" w:sz="8" w:color="DBDBDB"/>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r>
      <w:tr>
        <w:trPr>
          <w:trHeight w:val="225"/>
        </w:trPr>
        <w:tc>
          <w:tcPr>
            <w:tcW w:w="60" w:type="dxa"/>
            <w:vAlign w:val="bottom"/>
          </w:tcPr>
          <w:p>
            <w:pPr>
              <w:spacing w:after="0"/>
              <w:rPr>
                <w:sz w:val="19"/>
                <w:szCs w:val="19"/>
                <w:color w:val="auto"/>
              </w:rPr>
            </w:pPr>
          </w:p>
        </w:tc>
        <w:tc>
          <w:tcPr>
            <w:tcW w:w="7400" w:type="dxa"/>
            <w:vAlign w:val="bottom"/>
            <w:tcBorders>
              <w:top w:val="single" w:sz="8" w:color="auto"/>
            </w:tcBorders>
            <w:shd w:val="clear" w:color="auto" w:fill="DBDBDB"/>
          </w:tcPr>
          <w:p>
            <w:pPr>
              <w:spacing w:after="0" w:line="225" w:lineRule="exact"/>
              <w:rPr>
                <w:sz w:val="20"/>
                <w:szCs w:val="20"/>
                <w:color w:val="auto"/>
              </w:rPr>
            </w:pPr>
            <w:r>
              <w:rPr>
                <w:rFonts w:ascii="Times New Roman" w:cs="Times New Roman" w:eastAsia="Times New Roman" w:hAnsi="Times New Roman"/>
                <w:sz w:val="20"/>
                <w:szCs w:val="20"/>
                <w:color w:val="auto"/>
              </w:rPr>
              <w:t>Bank acceptance notes issued to vendors with a zero percent interest rate</w:t>
            </w:r>
          </w:p>
        </w:tc>
        <w:tc>
          <w:tcPr>
            <w:tcW w:w="20" w:type="dxa"/>
            <w:vAlign w:val="bottom"/>
            <w:tcBorders>
              <w:top w:val="single" w:sz="8" w:color="DBDBDB"/>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100" w:type="dxa"/>
            <w:vAlign w:val="bottom"/>
            <w:tcBorders>
              <w:top w:val="single" w:sz="8" w:color="auto"/>
            </w:tcBorders>
            <w:shd w:val="clear" w:color="auto" w:fill="DBDBDB"/>
          </w:tcPr>
          <w:p>
            <w:pPr>
              <w:jc w:val="right"/>
              <w:spacing w:after="0" w:line="225"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280" w:type="dxa"/>
            <w:vAlign w:val="bottom"/>
            <w:tcBorders>
              <w:top w:val="single" w:sz="8" w:color="auto"/>
            </w:tcBorders>
            <w:shd w:val="clear" w:color="auto" w:fill="DBDBDB"/>
          </w:tcPr>
          <w:p>
            <w:pPr>
              <w:jc w:val="right"/>
              <w:spacing w:after="0" w:line="225" w:lineRule="exact"/>
              <w:rPr>
                <w:sz w:val="20"/>
                <w:szCs w:val="20"/>
                <w:color w:val="auto"/>
              </w:rPr>
            </w:pPr>
            <w:r>
              <w:rPr>
                <w:rFonts w:ascii="Times New Roman" w:cs="Times New Roman" w:eastAsia="Times New Roman" w:hAnsi="Times New Roman"/>
                <w:sz w:val="20"/>
                <w:szCs w:val="20"/>
                <w:color w:val="auto"/>
              </w:rPr>
              <w:t>33,363</w:t>
            </w:r>
          </w:p>
        </w:tc>
        <w:tc>
          <w:tcPr>
            <w:tcW w:w="100" w:type="dxa"/>
            <w:vAlign w:val="bottom"/>
            <w:tcBorders>
              <w:top w:val="single" w:sz="8" w:color="DBDBDB"/>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100" w:type="dxa"/>
            <w:vAlign w:val="bottom"/>
            <w:tcBorders>
              <w:top w:val="single" w:sz="8" w:color="auto"/>
            </w:tcBorders>
            <w:shd w:val="clear" w:color="auto" w:fill="DBDBDB"/>
          </w:tcPr>
          <w:p>
            <w:pPr>
              <w:jc w:val="right"/>
              <w:spacing w:after="0" w:line="225"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280" w:type="dxa"/>
            <w:vAlign w:val="bottom"/>
            <w:tcBorders>
              <w:top w:val="single" w:sz="8" w:color="auto"/>
            </w:tcBorders>
            <w:shd w:val="clear" w:color="auto" w:fill="DBDBDB"/>
          </w:tcPr>
          <w:p>
            <w:pPr>
              <w:jc w:val="right"/>
              <w:spacing w:after="0" w:line="225" w:lineRule="exact"/>
              <w:rPr>
                <w:sz w:val="20"/>
                <w:szCs w:val="20"/>
                <w:color w:val="auto"/>
              </w:rPr>
            </w:pPr>
            <w:r>
              <w:rPr>
                <w:rFonts w:ascii="Times New Roman" w:cs="Times New Roman" w:eastAsia="Times New Roman" w:hAnsi="Times New Roman"/>
                <w:sz w:val="20"/>
                <w:szCs w:val="20"/>
                <w:color w:val="auto"/>
              </w:rPr>
              <w:t>19,260</w:t>
            </w:r>
          </w:p>
        </w:tc>
      </w:tr>
    </w:tbl>
    <w:p>
      <w:pPr>
        <w:spacing w:after="0" w:line="204" w:lineRule="exact"/>
        <w:rPr>
          <w:sz w:val="20"/>
          <w:szCs w:val="20"/>
          <w:color w:val="auto"/>
        </w:rPr>
      </w:pPr>
    </w:p>
    <w:p>
      <w:pPr>
        <w:ind w:right="80" w:firstLine="725"/>
        <w:spacing w:after="0" w:line="471" w:lineRule="auto"/>
        <w:rPr>
          <w:sz w:val="20"/>
          <w:szCs w:val="20"/>
          <w:color w:val="auto"/>
        </w:rPr>
      </w:pPr>
      <w:r>
        <w:rPr>
          <w:rFonts w:ascii="Times New Roman" w:cs="Times New Roman" w:eastAsia="Times New Roman" w:hAnsi="Times New Roman"/>
          <w:sz w:val="20"/>
          <w:szCs w:val="20"/>
          <w:color w:val="auto"/>
        </w:rPr>
        <w:t xml:space="preserve">The current portion of long-term debt is the amount payable within one year of the balance sheet date of December 31, 2025. </w:t>
      </w:r>
      <w:r>
        <w:rPr>
          <w:rFonts w:ascii="Times New Roman" w:cs="Times New Roman" w:eastAsia="Times New Roman" w:hAnsi="Times New Roman"/>
          <w:sz w:val="20"/>
          <w:szCs w:val="20"/>
          <w:i w:val="1"/>
          <w:iCs w:val="1"/>
          <w:color w:val="auto"/>
        </w:rPr>
        <w:t>SPD Credit Line</w:t>
      </w:r>
    </w:p>
    <w:p>
      <w:pPr>
        <w:spacing w:after="0" w:line="1" w:lineRule="exact"/>
        <w:rPr>
          <w:sz w:val="20"/>
          <w:szCs w:val="20"/>
          <w:color w:val="auto"/>
        </w:rPr>
      </w:pPr>
    </w:p>
    <w:p>
      <w:pPr>
        <w:jc w:val="both"/>
        <w:ind w:left="20" w:firstLine="706"/>
        <w:spacing w:after="0" w:line="245" w:lineRule="auto"/>
        <w:rPr>
          <w:sz w:val="20"/>
          <w:szCs w:val="20"/>
          <w:color w:val="auto"/>
        </w:rPr>
      </w:pPr>
      <w:r>
        <w:rPr>
          <w:rFonts w:ascii="Times New Roman" w:cs="Times New Roman" w:eastAsia="Times New Roman" w:hAnsi="Times New Roman"/>
          <w:sz w:val="20"/>
          <w:szCs w:val="20"/>
          <w:color w:val="auto"/>
        </w:rPr>
        <w:t>On May 24, 2024, Global entered into a five- year revolving credit line with Shanghai Pudong Development Bank Co., Ltd. ("SPD"), totaling 170,000,000 RMB (the "SPD Credit Line") or approximately $23.9 million at that time. On June 18, 2025, Global used the CCB Credit Facility, as described hereinbelow, to repay certain amounts outstanding under the SPD Credit Line. Upon repayment, Global terminated the SPD Credit Line effective June 18, 2025.</w:t>
      </w:r>
    </w:p>
    <w:p>
      <w:pPr>
        <w:spacing w:after="0" w:line="188" w:lineRule="exact"/>
        <w:rPr>
          <w:sz w:val="20"/>
          <w:szCs w:val="20"/>
          <w:color w:val="auto"/>
        </w:rPr>
      </w:pPr>
    </w:p>
    <w:p>
      <w:pPr>
        <w:jc w:val="both"/>
        <w:ind w:left="20" w:firstLine="706"/>
        <w:spacing w:after="0" w:line="250" w:lineRule="auto"/>
        <w:rPr>
          <w:sz w:val="20"/>
          <w:szCs w:val="20"/>
          <w:color w:val="auto"/>
        </w:rPr>
      </w:pPr>
      <w:r>
        <w:rPr>
          <w:rFonts w:ascii="Times New Roman" w:cs="Times New Roman" w:eastAsia="Times New Roman" w:hAnsi="Times New Roman"/>
          <w:sz w:val="20"/>
          <w:szCs w:val="20"/>
          <w:color w:val="auto"/>
        </w:rPr>
        <w:t>On July 18, 2025, Global entered into a one -year credit facility with SPD, totaling 82,000,000 RMB (the "¥82M Credit Facility"), or approximately $11.4 million at that time. Borrowing under the ¥82M Credit Facility was used to repay the Company’s outstanding loans with China Zheshang Bank Co., Ltd., and for general corporate and capital investment purposes.</w:t>
      </w:r>
    </w:p>
    <w:p>
      <w:pPr>
        <w:spacing w:after="0" w:line="183" w:lineRule="exact"/>
        <w:rPr>
          <w:sz w:val="20"/>
          <w:szCs w:val="20"/>
          <w:color w:val="auto"/>
        </w:rPr>
      </w:pPr>
    </w:p>
    <w:p>
      <w:pPr>
        <w:jc w:val="both"/>
        <w:ind w:left="20" w:firstLine="706"/>
        <w:spacing w:after="0"/>
        <w:rPr>
          <w:sz w:val="20"/>
          <w:szCs w:val="20"/>
          <w:color w:val="auto"/>
        </w:rPr>
      </w:pPr>
      <w:r>
        <w:rPr>
          <w:rFonts w:ascii="Times New Roman" w:cs="Times New Roman" w:eastAsia="Times New Roman" w:hAnsi="Times New Roman"/>
          <w:sz w:val="20"/>
          <w:szCs w:val="20"/>
          <w:color w:val="auto"/>
        </w:rPr>
        <w:t>On July 29, 2025, Global entered into a five-year revolving credit line agreement with SPD in Ningbo City, China, totaling 250,000,000 RMB (the "¥250M SPD Credit Line"), or approximately $34.9 million at that time, and a mortgage contract. Borrowing under the ¥250M SPD Credit Line will be used for general corporate and capital investment purposes. Any credit previously extended by SPD will be applied against the available amount under the ¥250M SPD Credit Line, inclusive of the ¥82M Credit Facility. Global's obligation under the ¥250M SPD Credit Line is secured by certain real property owned by Global. As of December 31, 2025, $20.2 million was outstanding under the ¥250M SPD Credit Line, and the outstanding balance of bank acceptance notes issued to vendors was $19.7 million. The unused credit was $1.5 million as of December 31, 2025.</w:t>
      </w:r>
    </w:p>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i w:val="1"/>
          <w:iCs w:val="1"/>
          <w:color w:val="auto"/>
        </w:rPr>
        <w:t>CZB Loan</w:t>
      </w:r>
    </w:p>
    <w:p>
      <w:pPr>
        <w:spacing w:after="0" w:line="216" w:lineRule="exact"/>
        <w:rPr>
          <w:sz w:val="20"/>
          <w:szCs w:val="20"/>
          <w:color w:val="auto"/>
        </w:rPr>
      </w:pPr>
    </w:p>
    <w:p>
      <w:pPr>
        <w:jc w:val="both"/>
        <w:ind w:left="20" w:firstLine="706"/>
        <w:spacing w:after="0" w:line="241" w:lineRule="auto"/>
        <w:rPr>
          <w:sz w:val="20"/>
          <w:szCs w:val="20"/>
          <w:color w:val="auto"/>
        </w:rPr>
      </w:pPr>
      <w:r>
        <w:rPr>
          <w:rFonts w:ascii="Times New Roman" w:cs="Times New Roman" w:eastAsia="Times New Roman" w:hAnsi="Times New Roman"/>
          <w:sz w:val="20"/>
          <w:szCs w:val="20"/>
          <w:color w:val="auto"/>
        </w:rPr>
        <w:t>On June 7, 2022, Global entered into a security agreement with China Zheshang Bank in Ningbo City, China ("CZB") for a five-year credit line agreement, totaling 200,000,000 RMB (the "¥200M Credit Facility"), or approximately $29.9 million at that time. On July 23, 2025, Global used the ¥82M Credit Facility, as described hereinabove, to repay certain amounts outstanding under the ¥200M Credit Facility. Upon repayment, Global terminated the ¥200M Credit Facility effective July 23, 2025. As of December 31, 2025, the outstanding balance of bank acceptance notes issued to vendors was $2.8 million. The unused credit was $0.7 million as of December 31, 2025.</w:t>
      </w:r>
    </w:p>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i w:val="1"/>
          <w:iCs w:val="1"/>
          <w:color w:val="auto"/>
        </w:rPr>
        <w:t>CCB Loan</w:t>
      </w:r>
    </w:p>
    <w:p>
      <w:pPr>
        <w:spacing w:after="0" w:line="218" w:lineRule="exact"/>
        <w:rPr>
          <w:sz w:val="20"/>
          <w:szCs w:val="20"/>
          <w:color w:val="auto"/>
        </w:rPr>
      </w:pPr>
    </w:p>
    <w:p>
      <w:pPr>
        <w:jc w:val="both"/>
        <w:ind w:left="20" w:firstLine="706"/>
        <w:spacing w:after="0" w:line="268" w:lineRule="auto"/>
        <w:rPr>
          <w:sz w:val="20"/>
          <w:szCs w:val="20"/>
          <w:color w:val="auto"/>
        </w:rPr>
      </w:pPr>
      <w:r>
        <w:rPr>
          <w:rFonts w:ascii="Times New Roman" w:cs="Times New Roman" w:eastAsia="Times New Roman" w:hAnsi="Times New Roman"/>
          <w:sz w:val="20"/>
          <w:szCs w:val="20"/>
          <w:color w:val="auto"/>
        </w:rPr>
        <w:t>On June 12, 2025, Global entered into a one-year credit facility with China Construction Bank Co., Ltd., in Ningbo, City, China ("CCB"), totaling 96,800,000 RMB (the "CCB Credit Facility"), or approximately $13.5 million at that time.</w:t>
      </w:r>
    </w:p>
    <w:p>
      <w:pPr>
        <w:spacing w:after="0" w:line="162" w:lineRule="exact"/>
        <w:rPr>
          <w:sz w:val="20"/>
          <w:szCs w:val="20"/>
          <w:color w:val="auto"/>
        </w:rPr>
      </w:pPr>
    </w:p>
    <w:p>
      <w:pPr>
        <w:jc w:val="both"/>
        <w:ind w:left="20" w:firstLine="706"/>
        <w:spacing w:after="0" w:line="282" w:lineRule="auto"/>
        <w:rPr>
          <w:sz w:val="20"/>
          <w:szCs w:val="20"/>
          <w:color w:val="auto"/>
        </w:rPr>
      </w:pPr>
      <w:r>
        <w:rPr>
          <w:rFonts w:ascii="Times New Roman" w:cs="Times New Roman" w:eastAsia="Times New Roman" w:hAnsi="Times New Roman"/>
          <w:sz w:val="18"/>
          <w:szCs w:val="18"/>
          <w:color w:val="auto"/>
        </w:rPr>
        <w:t>On June 26, 2025, Global entered into a five-year revolving credit line agreement with CCB, totaling 162,260,000 RMB (the "CCB Credit Line"), or approximately $22.7 million at that time. The amount available under the CCB Credit Line is inclusive of the CCB Credit Facility previously granted by CCB on June 12, 2025.On December 19, 2025, the CCB Credit Line was increased to 250,000,000 RMB. Global's obligation under the CCB Credit Line is secured by certain real property owned by Global. As of December</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F-20</w:t>
      </w:r>
    </w:p>
    <w:p>
      <w:pPr>
        <w:sectPr>
          <w:pgSz w:w="11880" w:h="15480" w:orient="portrait"/>
          <w:cols w:equalWidth="0" w:num="1">
            <w:col w:w="10620"/>
          </w:cols>
          <w:pgMar w:left="620" w:top="407" w:right="640" w:bottom="0" w:gutter="0" w:footer="0" w:header="0"/>
        </w:sectPr>
      </w:pPr>
    </w:p>
    <w:bookmarkStart w:id="80" w:name="page81"/>
    <w:bookmarkEnd w:id="80"/>
    <w:p>
      <w:pPr>
        <w:jc w:val="both"/>
        <w:spacing w:after="0" w:line="268" w:lineRule="auto"/>
        <w:rPr>
          <w:sz w:val="20"/>
          <w:szCs w:val="20"/>
          <w:color w:val="auto"/>
        </w:rPr>
      </w:pPr>
      <w:r>
        <w:rPr>
          <w:rFonts w:ascii="Times New Roman" w:cs="Times New Roman" w:eastAsia="Times New Roman" w:hAnsi="Times New Roman"/>
          <w:sz w:val="20"/>
          <w:szCs w:val="20"/>
          <w:color w:val="auto"/>
        </w:rPr>
        <w:t>31, 2025, $13.8 million outstanding under the CCB Credit Line, and the outstanding balance of bank acceptances notes issued to vendors was $10.8 million. The unused credit was $13.2 million as of December 31, 2025.</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Taishin Loan</w:t>
      </w:r>
    </w:p>
    <w:p>
      <w:pPr>
        <w:spacing w:after="0" w:line="218" w:lineRule="exact"/>
        <w:rPr>
          <w:sz w:val="20"/>
          <w:szCs w:val="20"/>
          <w:color w:val="auto"/>
        </w:rPr>
      </w:pPr>
    </w:p>
    <w:p>
      <w:pPr>
        <w:jc w:val="both"/>
        <w:ind w:firstLine="706"/>
        <w:spacing w:after="0" w:line="251" w:lineRule="auto"/>
        <w:rPr>
          <w:sz w:val="20"/>
          <w:szCs w:val="20"/>
          <w:color w:val="auto"/>
        </w:rPr>
      </w:pPr>
      <w:r>
        <w:rPr>
          <w:rFonts w:ascii="Times New Roman" w:cs="Times New Roman" w:eastAsia="Times New Roman" w:hAnsi="Times New Roman"/>
          <w:sz w:val="20"/>
          <w:szCs w:val="20"/>
          <w:color w:val="auto"/>
        </w:rPr>
        <w:t>On November 27, 2025, Prime World entered into a credit facility with Taishin International Bank in Taiwan, consisting of a NT$100,000,000 line of credit (the "NT$100M Credit Line") and a US$2,000,000 line of credit (the "US$2M Credit Line"), collectively, with the NT$100M Credit Line, the "Taishin Credit Facility").</w:t>
      </w:r>
    </w:p>
    <w:p>
      <w:pPr>
        <w:spacing w:after="0" w:line="180" w:lineRule="exact"/>
        <w:rPr>
          <w:sz w:val="20"/>
          <w:szCs w:val="20"/>
          <w:color w:val="auto"/>
        </w:rPr>
      </w:pPr>
    </w:p>
    <w:p>
      <w:pPr>
        <w:jc w:val="both"/>
        <w:ind w:firstLine="706"/>
        <w:spacing w:after="0" w:line="246" w:lineRule="auto"/>
        <w:rPr>
          <w:sz w:val="20"/>
          <w:szCs w:val="20"/>
          <w:color w:val="auto"/>
        </w:rPr>
      </w:pPr>
      <w:r>
        <w:rPr>
          <w:rFonts w:ascii="Times New Roman" w:cs="Times New Roman" w:eastAsia="Times New Roman" w:hAnsi="Times New Roman"/>
          <w:sz w:val="20"/>
          <w:szCs w:val="20"/>
          <w:color w:val="auto"/>
        </w:rPr>
        <w:t>Prime World may utilize the Taishin Credit Facility from November 27, 2025 through October 31, 2026. Borrowings under the NT$100M Credit Line may be drawn as short-term loans, while the US$2M Credit Line is a derivatives-based facility and may be used by Prime World to entered into foreign exchange hedging transactions. As of December 31, 2025, $0 was outstanding under the Taishin Credit Facility.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BOKF Loan</w:t>
      </w:r>
    </w:p>
    <w:p>
      <w:pPr>
        <w:spacing w:after="0" w:line="218" w:lineRule="exact"/>
        <w:rPr>
          <w:sz w:val="20"/>
          <w:szCs w:val="20"/>
          <w:color w:val="auto"/>
        </w:rPr>
      </w:pPr>
    </w:p>
    <w:p>
      <w:pPr>
        <w:jc w:val="both"/>
        <w:ind w:firstLine="706"/>
        <w:spacing w:after="0" w:line="243" w:lineRule="auto"/>
        <w:rPr>
          <w:sz w:val="20"/>
          <w:szCs w:val="20"/>
          <w:color w:val="auto"/>
        </w:rPr>
      </w:pPr>
      <w:r>
        <w:rPr>
          <w:rFonts w:ascii="Times New Roman" w:cs="Times New Roman" w:eastAsia="Times New Roman" w:hAnsi="Times New Roman"/>
          <w:sz w:val="20"/>
          <w:szCs w:val="20"/>
          <w:color w:val="auto"/>
        </w:rPr>
        <w:t>On July 31, 2025, the Company entered into a Loan and Security Agreement (the "BOKF Credit Facility") with BOKF, NA dba BOK Financial, as agent for secured parties. The BOKF Credit Facility provides the Company with a three-year, $35 million revolving line of credit, with the ability to request additional lender commitments in an aggregate amount not to exceed $40 million (for a total aggregate amount of $75 million) pursuant to certain conditions. As of December 31, 2025, $0 was outstanding under the BOKF Credit Facility.</w:t>
      </w:r>
    </w:p>
    <w:p>
      <w:pPr>
        <w:spacing w:after="0" w:line="187" w:lineRule="exact"/>
        <w:rPr>
          <w:sz w:val="20"/>
          <w:szCs w:val="20"/>
          <w:color w:val="auto"/>
        </w:rPr>
      </w:pPr>
    </w:p>
    <w:p>
      <w:pPr>
        <w:jc w:val="both"/>
        <w:ind w:firstLine="706"/>
        <w:spacing w:after="0" w:line="268" w:lineRule="auto"/>
        <w:rPr>
          <w:sz w:val="20"/>
          <w:szCs w:val="20"/>
          <w:color w:val="auto"/>
        </w:rPr>
      </w:pPr>
      <w:r>
        <w:rPr>
          <w:rFonts w:ascii="Times New Roman" w:cs="Times New Roman" w:eastAsia="Times New Roman" w:hAnsi="Times New Roman"/>
          <w:sz w:val="20"/>
          <w:szCs w:val="20"/>
          <w:color w:val="auto"/>
        </w:rPr>
        <w:t>As of December 31, 2025 and December 31, 2024, the Company had $60.7 million and $24.8 million of unused borrowing capacity, respectively.</w:t>
      </w:r>
    </w:p>
    <w:p>
      <w:pPr>
        <w:spacing w:after="0" w:line="161" w:lineRule="exact"/>
        <w:rPr>
          <w:sz w:val="20"/>
          <w:szCs w:val="20"/>
          <w:color w:val="auto"/>
        </w:rPr>
      </w:pPr>
    </w:p>
    <w:p>
      <w:pPr>
        <w:jc w:val="both"/>
        <w:ind w:firstLine="706"/>
        <w:spacing w:after="0" w:line="268" w:lineRule="auto"/>
        <w:rPr>
          <w:sz w:val="20"/>
          <w:szCs w:val="20"/>
          <w:color w:val="auto"/>
        </w:rPr>
      </w:pPr>
      <w:r>
        <w:rPr>
          <w:rFonts w:ascii="Times New Roman" w:cs="Times New Roman" w:eastAsia="Times New Roman" w:hAnsi="Times New Roman"/>
          <w:sz w:val="20"/>
          <w:szCs w:val="20"/>
          <w:color w:val="auto"/>
        </w:rPr>
        <w:t>As of December 31, 2025 and December 31, 2024, there was $8.7 million and $8.5 million of restricted cash, investments or security deposits associated with the loan facilities, respectively.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L—CONVERTIBLE SENIOR NOTES</w:t>
      </w:r>
    </w:p>
    <w:p>
      <w:pPr>
        <w:spacing w:after="0" w:line="225" w:lineRule="exact"/>
        <w:rPr>
          <w:sz w:val="20"/>
          <w:szCs w:val="20"/>
          <w:color w:val="auto"/>
        </w:rPr>
      </w:pPr>
    </w:p>
    <w:p>
      <w:pPr>
        <w:jc w:val="both"/>
        <w:ind w:firstLine="706"/>
        <w:spacing w:after="0"/>
        <w:rPr>
          <w:sz w:val="20"/>
          <w:szCs w:val="20"/>
          <w:color w:val="auto"/>
        </w:rPr>
      </w:pPr>
      <w:r>
        <w:rPr>
          <w:rFonts w:ascii="Times New Roman" w:cs="Times New Roman" w:eastAsia="Times New Roman" w:hAnsi="Times New Roman"/>
          <w:sz w:val="20"/>
          <w:szCs w:val="20"/>
          <w:color w:val="auto"/>
        </w:rPr>
        <w:t>On March 5, 2019, the Company issued $80.5 million of 5% convertible senior notes due 2024 (the "2024 Notes"). On December 5, 2023, the Company issued approximately $80.2 million aggregate principal amount of 5.250% convertible senior notes due 2026 (the "2026 Notes"), and on the same day consummated various separate, privately negotiated exchange agreements with certain holders of its 2024 Notes to exchange or repurchase approximately $ 80.2 million principal amount of the 2024 Notes for aggregate consideration consisting of approximately $81.1 million in cash, which included accrued interest on the 2024 Notes, and approximately 466,368 shares of the Company's common stock, par value $0.001 per share. The Company paid off the remaining $0.29 million of the 2024 Notes on March 15, 2024.</w:t>
      </w:r>
    </w:p>
    <w:p>
      <w:pPr>
        <w:spacing w:after="0" w:line="192" w:lineRule="exact"/>
        <w:rPr>
          <w:sz w:val="20"/>
          <w:szCs w:val="20"/>
          <w:color w:val="auto"/>
        </w:rPr>
      </w:pPr>
    </w:p>
    <w:p>
      <w:pPr>
        <w:jc w:val="both"/>
        <w:ind w:firstLine="706"/>
        <w:spacing w:after="0" w:line="251" w:lineRule="auto"/>
        <w:rPr>
          <w:sz w:val="20"/>
          <w:szCs w:val="20"/>
          <w:color w:val="auto"/>
        </w:rPr>
      </w:pPr>
      <w:r>
        <w:rPr>
          <w:rFonts w:ascii="Times New Roman" w:cs="Times New Roman" w:eastAsia="Times New Roman" w:hAnsi="Times New Roman"/>
          <w:sz w:val="20"/>
          <w:szCs w:val="20"/>
          <w:color w:val="auto"/>
        </w:rPr>
        <w:t>The 2026 Notes bears interest at a rate of 5.250% per year and will pay interest semi-annually in arrears on June 15 and December 15 of each year, beginning on June 15, 2024. The 2026 Notes will mature on December 15, 2026, unless earlier converted, redeemed or repurchased in accordance with their terms.</w:t>
      </w:r>
    </w:p>
    <w:p>
      <w:pPr>
        <w:spacing w:after="0" w:line="179" w:lineRule="exact"/>
        <w:rPr>
          <w:sz w:val="20"/>
          <w:szCs w:val="20"/>
          <w:color w:val="auto"/>
        </w:rPr>
      </w:pPr>
    </w:p>
    <w:p>
      <w:pPr>
        <w:jc w:val="both"/>
        <w:ind w:firstLine="706"/>
        <w:spacing w:after="0" w:line="269" w:lineRule="auto"/>
        <w:rPr>
          <w:sz w:val="20"/>
          <w:szCs w:val="20"/>
          <w:color w:val="auto"/>
        </w:rPr>
      </w:pPr>
      <w:r>
        <w:rPr>
          <w:rFonts w:ascii="Times New Roman" w:cs="Times New Roman" w:eastAsia="Times New Roman" w:hAnsi="Times New Roman"/>
          <w:sz w:val="18"/>
          <w:szCs w:val="18"/>
          <w:color w:val="auto"/>
        </w:rPr>
        <w:t>On December 18, 2024, the Company entered into exchange agreements with certain holders of the 2026 Notes to exchange approximately $76.7 million principal amount of the 2026 Notes for aggregate consideration consisting of (i) $125.0 million aggregate principal amount of 2.75% Convertible Senior Notes due 2030 (the "2030 Notes"), (ii) 1,487,874 shares of the Company’s common stock, par value $0.001 per share (the "Common Stock") and (iii) approximately $89.6 thousands of cash in aggregate, representing accrued and unpaid interest on the 2026 Notes and the value of fractional shares of Common Stock (such transactions, collectively, the "Exchanges"). The Exchanges closed on December 23, 2024. We recorded a debt extinguishment loss of $ 112.0 million due to these Exchanges. There was $3.5 million principal amount for the 2026 Notes remaining. On July 30, 2025, the Company retired the final $3.5 million principal and accrued and unpaid interest on the 2026 Notes by exchanging such outstanding principal for 239,404 shares of the Company's common stock and by paying the accrued and outstanding interest in cash.</w:t>
      </w:r>
    </w:p>
    <w:p>
      <w:pPr>
        <w:spacing w:after="0" w:line="169" w:lineRule="exact"/>
        <w:rPr>
          <w:sz w:val="20"/>
          <w:szCs w:val="20"/>
          <w:color w:val="auto"/>
        </w:rPr>
      </w:pPr>
    </w:p>
    <w:p>
      <w:pPr>
        <w:jc w:val="both"/>
        <w:ind w:firstLine="706"/>
        <w:spacing w:after="0" w:line="245" w:lineRule="auto"/>
        <w:rPr>
          <w:sz w:val="20"/>
          <w:szCs w:val="20"/>
          <w:color w:val="auto"/>
        </w:rPr>
      </w:pPr>
      <w:r>
        <w:rPr>
          <w:rFonts w:ascii="Times New Roman" w:cs="Times New Roman" w:eastAsia="Times New Roman" w:hAnsi="Times New Roman"/>
          <w:sz w:val="20"/>
          <w:szCs w:val="20"/>
          <w:color w:val="auto"/>
        </w:rPr>
        <w:t>The 2030 Notes were issued pursuant to an Indenture, dated as of December 23, 2024 (the "Indenture"), between the Company, as issuer, and Computershare Trust Company, N.A., as trustee. The 2030 Notes bear interest at a rate of 2.750% per year and will pay interest semiannually in arrears on January 15 and July 15 of each year, beginning on July 15, 2025. The 2030 Notes will mature on January 15, 2030, unless earlier converted, redeemed or repurchased in accordance with their terms.</w:t>
      </w:r>
    </w:p>
    <w:p>
      <w:pPr>
        <w:sectPr>
          <w:pgSz w:w="11880" w:h="15480" w:orient="portrait"/>
          <w:cols w:equalWidth="0" w:num="1">
            <w:col w:w="10600"/>
          </w:cols>
          <w:pgMar w:left="640" w:top="410"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ectPr>
          <w:pgSz w:w="11880" w:h="15480" w:orient="portrait"/>
          <w:cols w:equalWidth="0" w:num="1">
            <w:col w:w="10600"/>
          </w:cols>
          <w:pgMar w:left="640" w:top="410" w:right="640" w:bottom="0" w:gutter="0" w:footer="0" w:header="0"/>
          <w:type w:val="continuous"/>
        </w:sectPr>
      </w:pPr>
    </w:p>
    <w:bookmarkStart w:id="81" w:name="page82"/>
    <w:bookmarkEnd w:id="81"/>
    <w:p>
      <w:pPr>
        <w:ind w:left="720"/>
        <w:spacing w:after="0"/>
        <w:rPr>
          <w:sz w:val="20"/>
          <w:szCs w:val="20"/>
          <w:color w:val="auto"/>
        </w:rPr>
      </w:pPr>
      <w:r>
        <w:rPr>
          <w:rFonts w:ascii="Times New Roman" w:cs="Times New Roman" w:eastAsia="Times New Roman" w:hAnsi="Times New Roman"/>
          <w:sz w:val="18"/>
          <w:szCs w:val="18"/>
          <w:color w:val="auto"/>
        </w:rPr>
        <w:t>The following table presents the carrying value of the 2026 Notes and the 2030 Notes for the periods indicated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8640" w:type="dxa"/>
            <w:vAlign w:val="bottom"/>
            <w:tcBorders>
              <w:bottom w:val="single" w:sz="8" w:color="DBDBDB"/>
            </w:tcBorders>
          </w:tcPr>
          <w:p>
            <w:pPr>
              <w:spacing w:after="0"/>
              <w:rPr>
                <w:sz w:val="22"/>
                <w:szCs w:val="22"/>
                <w:color w:val="auto"/>
              </w:rPr>
            </w:pPr>
          </w:p>
        </w:tc>
        <w:tc>
          <w:tcPr>
            <w:tcW w:w="100" w:type="dxa"/>
            <w:vAlign w:val="bottom"/>
            <w:tcBorders>
              <w:bottom w:val="single" w:sz="8" w:color="DBDBDB"/>
            </w:tcBorders>
          </w:tcPr>
          <w:p>
            <w:pPr>
              <w:spacing w:after="0"/>
              <w:rPr>
                <w:sz w:val="22"/>
                <w:szCs w:val="22"/>
                <w:color w:val="auto"/>
              </w:rPr>
            </w:pPr>
          </w:p>
        </w:tc>
        <w:tc>
          <w:tcPr>
            <w:tcW w:w="20" w:type="dxa"/>
            <w:vAlign w:val="bottom"/>
            <w:tcBorders>
              <w:bottom w:val="single" w:sz="8" w:color="DBDBDB"/>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20"/>
                <w:szCs w:val="20"/>
                <w:b w:val="1"/>
                <w:bCs w:val="1"/>
                <w:color w:val="auto"/>
                <w:w w:val="97"/>
              </w:rPr>
              <w:t>December 31, 2025</w:t>
            </w:r>
          </w:p>
        </w:tc>
      </w:tr>
      <w:tr>
        <w:trPr>
          <w:trHeight w:val="225"/>
        </w:trPr>
        <w:tc>
          <w:tcPr>
            <w:tcW w:w="8640" w:type="dxa"/>
            <w:vAlign w:val="bottom"/>
            <w:shd w:val="clear" w:color="auto" w:fill="DBDBDB"/>
          </w:tcPr>
          <w:p>
            <w:pPr>
              <w:ind w:left="20"/>
              <w:spacing w:after="0" w:line="220" w:lineRule="exact"/>
              <w:rPr>
                <w:sz w:val="20"/>
                <w:szCs w:val="20"/>
                <w:color w:val="auto"/>
              </w:rPr>
            </w:pPr>
            <w:r>
              <w:rPr>
                <w:rFonts w:ascii="Times New Roman" w:cs="Times New Roman" w:eastAsia="Times New Roman" w:hAnsi="Times New Roman"/>
                <w:sz w:val="20"/>
                <w:szCs w:val="20"/>
                <w:b w:val="1"/>
                <w:bCs w:val="1"/>
                <w:color w:val="auto"/>
              </w:rPr>
              <w:t>2026 Notes</w:t>
            </w:r>
          </w:p>
        </w:tc>
        <w:tc>
          <w:tcPr>
            <w:tcW w:w="1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740" w:type="dxa"/>
            <w:vAlign w:val="bottom"/>
            <w:shd w:val="clear" w:color="auto" w:fill="DBDBDB"/>
          </w:tcPr>
          <w:p>
            <w:pPr>
              <w:spacing w:after="0"/>
              <w:rPr>
                <w:sz w:val="19"/>
                <w:szCs w:val="19"/>
                <w:color w:val="auto"/>
              </w:rPr>
            </w:pPr>
          </w:p>
        </w:tc>
      </w:tr>
      <w:tr>
        <w:trPr>
          <w:trHeight w:val="235"/>
        </w:trPr>
        <w:tc>
          <w:tcPr>
            <w:tcW w:w="86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Principal Amount</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5"/>
        </w:trPr>
        <w:tc>
          <w:tcPr>
            <w:tcW w:w="8640" w:type="dxa"/>
            <w:vAlign w:val="bottom"/>
            <w:shd w:val="clear" w:color="auto" w:fill="DBDBDB"/>
          </w:tcPr>
          <w:p>
            <w:pPr>
              <w:ind w:left="180"/>
              <w:spacing w:after="0" w:line="229" w:lineRule="exact"/>
              <w:rPr>
                <w:sz w:val="20"/>
                <w:szCs w:val="20"/>
                <w:color w:val="auto"/>
              </w:rPr>
            </w:pPr>
            <w:r>
              <w:rPr>
                <w:rFonts w:ascii="Times New Roman" w:cs="Times New Roman" w:eastAsia="Times New Roman" w:hAnsi="Times New Roman"/>
                <w:sz w:val="20"/>
                <w:szCs w:val="20"/>
                <w:color w:val="auto"/>
              </w:rPr>
              <w:t>Unamortized debt issuance costs</w:t>
            </w:r>
          </w:p>
        </w:tc>
        <w:tc>
          <w:tcPr>
            <w:tcW w:w="100" w:type="dxa"/>
            <w:vAlign w:val="bottom"/>
            <w:shd w:val="clear" w:color="auto" w:fill="DBDBDB"/>
          </w:tcPr>
          <w:p>
            <w:pPr>
              <w:spacing w:after="0"/>
              <w:rPr>
                <w:sz w:val="20"/>
                <w:szCs w:val="20"/>
                <w:color w:val="auto"/>
              </w:rPr>
            </w:pPr>
          </w:p>
        </w:tc>
        <w:tc>
          <w:tcPr>
            <w:tcW w:w="20" w:type="dxa"/>
            <w:vAlign w:val="bottom"/>
            <w:shd w:val="clear" w:color="auto" w:fill="DBDBDB"/>
          </w:tcPr>
          <w:p>
            <w:pPr>
              <w:spacing w:after="0"/>
              <w:rPr>
                <w:sz w:val="20"/>
                <w:szCs w:val="20"/>
                <w:color w:val="auto"/>
              </w:rPr>
            </w:pPr>
          </w:p>
        </w:tc>
        <w:tc>
          <w:tcPr>
            <w:tcW w:w="100" w:type="dxa"/>
            <w:vAlign w:val="bottom"/>
            <w:tcBorders>
              <w:bottom w:val="single" w:sz="8" w:color="auto"/>
            </w:tcBorders>
            <w:shd w:val="clear" w:color="auto" w:fill="DBDBDB"/>
          </w:tcPr>
          <w:p>
            <w:pPr>
              <w:spacing w:after="0"/>
              <w:rPr>
                <w:sz w:val="20"/>
                <w:szCs w:val="20"/>
                <w:color w:val="auto"/>
              </w:rPr>
            </w:pPr>
          </w:p>
        </w:tc>
        <w:tc>
          <w:tcPr>
            <w:tcW w:w="1740" w:type="dxa"/>
            <w:vAlign w:val="bottom"/>
            <w:tcBorders>
              <w:bottom w:val="single" w:sz="8" w:color="auto"/>
            </w:tcBorders>
            <w:shd w:val="clear" w:color="auto" w:fill="DBDBDB"/>
          </w:tcPr>
          <w:p>
            <w:pPr>
              <w:jc w:val="right"/>
              <w:spacing w:after="0" w:line="229" w:lineRule="exact"/>
              <w:rPr>
                <w:sz w:val="20"/>
                <w:szCs w:val="20"/>
                <w:color w:val="auto"/>
              </w:rPr>
            </w:pPr>
            <w:r>
              <w:rPr>
                <w:rFonts w:ascii="Times New Roman" w:cs="Times New Roman" w:eastAsia="Times New Roman" w:hAnsi="Times New Roman"/>
                <w:sz w:val="20"/>
                <w:szCs w:val="20"/>
                <w:color w:val="auto"/>
              </w:rPr>
              <w:t>—</w:t>
            </w:r>
          </w:p>
        </w:tc>
      </w:tr>
      <w:tr>
        <w:trPr>
          <w:trHeight w:val="227"/>
        </w:trPr>
        <w:tc>
          <w:tcPr>
            <w:tcW w:w="8640" w:type="dxa"/>
            <w:vAlign w:val="bottom"/>
          </w:tcPr>
          <w:p>
            <w:pPr>
              <w:ind w:left="20"/>
              <w:spacing w:after="0" w:line="227" w:lineRule="exact"/>
              <w:rPr>
                <w:sz w:val="20"/>
                <w:szCs w:val="20"/>
                <w:color w:val="auto"/>
              </w:rPr>
            </w:pPr>
            <w:r>
              <w:rPr>
                <w:rFonts w:ascii="Times New Roman" w:cs="Times New Roman" w:eastAsia="Times New Roman" w:hAnsi="Times New Roman"/>
                <w:sz w:val="20"/>
                <w:szCs w:val="20"/>
                <w:color w:val="auto"/>
              </w:rPr>
              <w:t>Net carrying amount for 2026 Notes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w:t>
            </w:r>
          </w:p>
        </w:tc>
      </w:tr>
      <w:tr>
        <w:trPr>
          <w:trHeight w:val="235"/>
        </w:trPr>
        <w:tc>
          <w:tcPr>
            <w:tcW w:w="86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20"/>
                <w:szCs w:val="20"/>
                <w:b w:val="1"/>
                <w:bCs w:val="1"/>
                <w:color w:val="auto"/>
              </w:rPr>
              <w:t>2030 Notes</w:t>
            </w:r>
          </w:p>
        </w:tc>
        <w:tc>
          <w:tcPr>
            <w:tcW w:w="100" w:type="dxa"/>
            <w:vAlign w:val="bottom"/>
            <w:shd w:val="clear" w:color="auto" w:fill="DBDBDB"/>
          </w:tcPr>
          <w:p>
            <w:pPr>
              <w:spacing w:after="0"/>
              <w:rPr>
                <w:sz w:val="20"/>
                <w:szCs w:val="20"/>
                <w:color w:val="auto"/>
              </w:rPr>
            </w:pPr>
          </w:p>
        </w:tc>
        <w:tc>
          <w:tcPr>
            <w:tcW w:w="2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740" w:type="dxa"/>
            <w:vAlign w:val="bottom"/>
            <w:shd w:val="clear" w:color="auto" w:fill="DBDBDB"/>
          </w:tcPr>
          <w:p>
            <w:pPr>
              <w:spacing w:after="0"/>
              <w:rPr>
                <w:sz w:val="20"/>
                <w:szCs w:val="20"/>
                <w:color w:val="auto"/>
              </w:rPr>
            </w:pPr>
          </w:p>
        </w:tc>
      </w:tr>
      <w:tr>
        <w:trPr>
          <w:trHeight w:val="235"/>
        </w:trPr>
        <w:tc>
          <w:tcPr>
            <w:tcW w:w="86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Principal Amount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125,000</w:t>
            </w:r>
          </w:p>
        </w:tc>
      </w:tr>
      <w:tr>
        <w:trPr>
          <w:trHeight w:val="235"/>
        </w:trPr>
        <w:tc>
          <w:tcPr>
            <w:tcW w:w="8640" w:type="dxa"/>
            <w:vAlign w:val="bottom"/>
            <w:shd w:val="clear" w:color="auto" w:fill="DBDBDB"/>
          </w:tcPr>
          <w:p>
            <w:pPr>
              <w:ind w:left="180"/>
              <w:spacing w:after="0"/>
              <w:rPr>
                <w:sz w:val="20"/>
                <w:szCs w:val="20"/>
                <w:color w:val="auto"/>
              </w:rPr>
            </w:pPr>
            <w:r>
              <w:rPr>
                <w:rFonts w:ascii="Times New Roman" w:cs="Times New Roman" w:eastAsia="Times New Roman" w:hAnsi="Times New Roman"/>
                <w:sz w:val="20"/>
                <w:szCs w:val="20"/>
                <w:color w:val="auto"/>
              </w:rPr>
              <w:t>Premium upon issuance</w:t>
            </w:r>
          </w:p>
        </w:tc>
        <w:tc>
          <w:tcPr>
            <w:tcW w:w="100" w:type="dxa"/>
            <w:vAlign w:val="bottom"/>
            <w:shd w:val="clear" w:color="auto" w:fill="DBDBDB"/>
          </w:tcPr>
          <w:p>
            <w:pPr>
              <w:spacing w:after="0"/>
              <w:rPr>
                <w:sz w:val="20"/>
                <w:szCs w:val="20"/>
                <w:color w:val="auto"/>
              </w:rPr>
            </w:pPr>
          </w:p>
        </w:tc>
        <w:tc>
          <w:tcPr>
            <w:tcW w:w="2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7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8,376</w:t>
            </w:r>
          </w:p>
        </w:tc>
      </w:tr>
      <w:tr>
        <w:trPr>
          <w:trHeight w:val="240"/>
        </w:trPr>
        <w:tc>
          <w:tcPr>
            <w:tcW w:w="8640" w:type="dxa"/>
            <w:vAlign w:val="bottom"/>
            <w:tcBorders>
              <w:bottom w:val="single" w:sz="8" w:color="DBDBDB"/>
            </w:tcBorders>
          </w:tcPr>
          <w:p>
            <w:pPr>
              <w:ind w:left="180"/>
              <w:spacing w:after="0"/>
              <w:rPr>
                <w:sz w:val="20"/>
                <w:szCs w:val="20"/>
                <w:color w:val="auto"/>
              </w:rPr>
            </w:pPr>
            <w:r>
              <w:rPr>
                <w:rFonts w:ascii="Times New Roman" w:cs="Times New Roman" w:eastAsia="Times New Roman" w:hAnsi="Times New Roman"/>
                <w:sz w:val="20"/>
                <w:szCs w:val="20"/>
                <w:color w:val="auto"/>
              </w:rPr>
              <w:t>Unamortized debt issuance costs</w:t>
            </w:r>
          </w:p>
        </w:tc>
        <w:tc>
          <w:tcPr>
            <w:tcW w:w="100" w:type="dxa"/>
            <w:vAlign w:val="bottom"/>
            <w:tcBorders>
              <w:bottom w:val="single" w:sz="8" w:color="DBDBDB"/>
            </w:tcBorders>
          </w:tcPr>
          <w:p>
            <w:pPr>
              <w:spacing w:after="0"/>
              <w:rPr>
                <w:sz w:val="20"/>
                <w:szCs w:val="20"/>
                <w:color w:val="auto"/>
              </w:rPr>
            </w:pPr>
          </w:p>
        </w:tc>
        <w:tc>
          <w:tcPr>
            <w:tcW w:w="20" w:type="dxa"/>
            <w:vAlign w:val="bottom"/>
            <w:tcBorders>
              <w:bottom w:val="single" w:sz="8" w:color="DBDBDB"/>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(3,547)</w:t>
            </w:r>
          </w:p>
        </w:tc>
      </w:tr>
      <w:tr>
        <w:trPr>
          <w:trHeight w:val="225"/>
        </w:trPr>
        <w:tc>
          <w:tcPr>
            <w:tcW w:w="8640" w:type="dxa"/>
            <w:vAlign w:val="bottom"/>
            <w:shd w:val="clear" w:color="auto" w:fill="DBDBDB"/>
          </w:tcPr>
          <w:p>
            <w:pPr>
              <w:ind w:left="20"/>
              <w:spacing w:after="0" w:line="218" w:lineRule="exact"/>
              <w:rPr>
                <w:sz w:val="20"/>
                <w:szCs w:val="20"/>
                <w:color w:val="auto"/>
              </w:rPr>
            </w:pPr>
            <w:r>
              <w:rPr>
                <w:rFonts w:ascii="Times New Roman" w:cs="Times New Roman" w:eastAsia="Times New Roman" w:hAnsi="Times New Roman"/>
                <w:sz w:val="20"/>
                <w:szCs w:val="20"/>
                <w:color w:val="auto"/>
              </w:rPr>
              <w:t>Net carrying amount for 2030 Notes</w:t>
            </w:r>
          </w:p>
        </w:tc>
        <w:tc>
          <w:tcPr>
            <w:tcW w:w="1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00" w:type="dxa"/>
            <w:vAlign w:val="bottom"/>
            <w:tcBorders>
              <w:bottom w:val="single" w:sz="8" w:color="auto"/>
            </w:tcBorders>
            <w:shd w:val="clear" w:color="auto" w:fill="DBDBDB"/>
          </w:tcPr>
          <w:p>
            <w:pPr>
              <w:spacing w:after="0"/>
              <w:rPr>
                <w:sz w:val="19"/>
                <w:szCs w:val="19"/>
                <w:color w:val="auto"/>
              </w:rPr>
            </w:pPr>
          </w:p>
        </w:tc>
        <w:tc>
          <w:tcPr>
            <w:tcW w:w="1740" w:type="dxa"/>
            <w:vAlign w:val="bottom"/>
            <w:tcBorders>
              <w:bottom w:val="single" w:sz="8" w:color="auto"/>
            </w:tcBorders>
            <w:shd w:val="clear" w:color="auto" w:fill="DBDBDB"/>
          </w:tcPr>
          <w:p>
            <w:pPr>
              <w:jc w:val="right"/>
              <w:spacing w:after="0" w:line="224" w:lineRule="exact"/>
              <w:rPr>
                <w:sz w:val="20"/>
                <w:szCs w:val="20"/>
                <w:color w:val="auto"/>
              </w:rPr>
            </w:pPr>
            <w:r>
              <w:rPr>
                <w:rFonts w:ascii="Times New Roman" w:cs="Times New Roman" w:eastAsia="Times New Roman" w:hAnsi="Times New Roman"/>
                <w:sz w:val="20"/>
                <w:szCs w:val="20"/>
                <w:color w:val="auto"/>
              </w:rPr>
              <w:t>129,829</w:t>
            </w:r>
          </w:p>
        </w:tc>
      </w:tr>
      <w:tr>
        <w:trPr>
          <w:trHeight w:val="246"/>
        </w:trPr>
        <w:tc>
          <w:tcPr>
            <w:tcW w:w="86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Total net carry amount</w:t>
            </w: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129,829</w:t>
            </w:r>
          </w:p>
        </w:tc>
      </w:tr>
      <w:tr>
        <w:trPr>
          <w:trHeight w:val="20"/>
        </w:trPr>
        <w:tc>
          <w:tcPr>
            <w:tcW w:w="8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jc w:val="both"/>
        <w:ind w:firstLine="706"/>
        <w:spacing w:after="0" w:line="268" w:lineRule="auto"/>
        <w:rPr>
          <w:sz w:val="20"/>
          <w:szCs w:val="20"/>
          <w:color w:val="auto"/>
        </w:rPr>
      </w:pPr>
      <w:r>
        <w:rPr>
          <w:rFonts w:ascii="Times New Roman" w:cs="Times New Roman" w:eastAsia="Times New Roman" w:hAnsi="Times New Roman"/>
          <w:sz w:val="18"/>
          <w:szCs w:val="18"/>
          <w:color w:val="auto"/>
        </w:rPr>
        <w:t>The conversion rate for the 2030 Notes is 23.0884 shares of Common Stock per $1,000 principal amount of the 2030 Notes (which is equivalent to a conversion price of approximately $43.31 per share of Common Stock, representing a premium of approximately 27.50% over the last reported sale price of the Common Stock on December 18, 2024 of $33.97 per share), subject to adjustment. Before October 15, 2029, holders of the 2030 Notes will have the right to convert their 2030 Notes only upon the satisfaction of a common stock sale price condition or a note trading price condition (each, as described in the Indenture) or upon the occurrence of certain events (including the occurrence of a Fundamental Change, Make-Whole Fundamental Change or Common Stock Change Event (each as defined in the Indenture). From and after October 15, 2029, holders of the 2030 Notes may convert their 2030 Notes at any time at their election until the close of business on the second scheduled trading day immediately before the maturity date. The Company will settle conversions by paying or delivering, as applicable, cash, shares of its Common Stock or a combination of cash and shares of its Common Stock, at the Company’s election, based on the applicable conversion rate(s).</w:t>
      </w:r>
    </w:p>
    <w:p>
      <w:pPr>
        <w:spacing w:after="0" w:line="400" w:lineRule="exact"/>
        <w:rPr>
          <w:sz w:val="20"/>
          <w:szCs w:val="20"/>
          <w:color w:val="auto"/>
        </w:rPr>
      </w:pPr>
    </w:p>
    <w:p>
      <w:pPr>
        <w:jc w:val="both"/>
        <w:ind w:firstLine="706"/>
        <w:spacing w:after="0"/>
        <w:rPr>
          <w:sz w:val="20"/>
          <w:szCs w:val="20"/>
          <w:color w:val="auto"/>
        </w:rPr>
      </w:pPr>
      <w:r>
        <w:rPr>
          <w:rFonts w:ascii="Times New Roman" w:cs="Times New Roman" w:eastAsia="Times New Roman" w:hAnsi="Times New Roman"/>
          <w:sz w:val="20"/>
          <w:szCs w:val="20"/>
          <w:color w:val="auto"/>
        </w:rPr>
        <w:t>The 2030 Notes will be redeemable, in whole or in part (subject to certain limitations described in the Indenture), at the Company’s option at any time, and from time to time, on or after January 15, 2027 and on or before the 40th scheduled trading day immediately before the maturity date, at a cash redemption price equal to the principal amount of the 2030 Notes to be redeemed, plus accrued and unpaid interest, if any, to, but excluding, the redemption date, but only if the last reported sale price per share of the Common Stock exceeds 130% of the conversion price on (1) each of at least 20 trading days, whether or not consecutive, during the 30 consecutive trading days ending on, and including, the trading day immediately before the date the Company sends the related redemption notice; and (2) the trading day immediately before the date it sends such notice.</w:t>
      </w:r>
    </w:p>
    <w:p>
      <w:pPr>
        <w:spacing w:after="0" w:line="191" w:lineRule="exact"/>
        <w:rPr>
          <w:sz w:val="20"/>
          <w:szCs w:val="20"/>
          <w:color w:val="auto"/>
        </w:rPr>
      </w:pPr>
    </w:p>
    <w:p>
      <w:pPr>
        <w:jc w:val="both"/>
        <w:ind w:firstLine="706"/>
        <w:spacing w:after="0" w:line="243" w:lineRule="auto"/>
        <w:rPr>
          <w:sz w:val="20"/>
          <w:szCs w:val="20"/>
          <w:color w:val="auto"/>
        </w:rPr>
      </w:pPr>
      <w:r>
        <w:rPr>
          <w:rFonts w:ascii="Times New Roman" w:cs="Times New Roman" w:eastAsia="Times New Roman" w:hAnsi="Times New Roman"/>
          <w:sz w:val="20"/>
          <w:szCs w:val="20"/>
          <w:color w:val="auto"/>
        </w:rPr>
        <w:t>In addition, the 2030 Notes will be redeemable, in whole or in part, at the Company’s option at any time, and from time to time, on or before the 40th scheduled trading day immediately before the maturity date, at a cash redemption price equal to the principal amount of the 2030 Notes to be redeemed, plus accrued and unpaid interest, if any, to, but excluding, the redemption date (subject to the right of a holder of 2030 Notes as of the close of business on a record date to receive the related interest payment on the corresponding interest payment date), if the “Specified Divestiture” (as defined in the Indenture) is completed.</w:t>
      </w:r>
    </w:p>
    <w:p>
      <w:pPr>
        <w:spacing w:after="0" w:line="188" w:lineRule="exact"/>
        <w:rPr>
          <w:sz w:val="20"/>
          <w:szCs w:val="20"/>
          <w:color w:val="auto"/>
        </w:rPr>
      </w:pPr>
    </w:p>
    <w:p>
      <w:pPr>
        <w:jc w:val="both"/>
        <w:ind w:firstLine="706"/>
        <w:spacing w:after="0" w:line="251" w:lineRule="auto"/>
        <w:rPr>
          <w:sz w:val="20"/>
          <w:szCs w:val="20"/>
          <w:color w:val="auto"/>
        </w:rPr>
      </w:pPr>
      <w:r>
        <w:rPr>
          <w:rFonts w:ascii="Times New Roman" w:cs="Times New Roman" w:eastAsia="Times New Roman" w:hAnsi="Times New Roman"/>
          <w:sz w:val="20"/>
          <w:szCs w:val="20"/>
          <w:color w:val="auto"/>
        </w:rPr>
        <w:t>Calling any 2030 Note for redemption will constitute a "Make-Whole Fundamental Change" (as defined in the Indenture) with respect to that 2030 Note, in which case the conversion rate applicable to the conversion of that 2030 Note will be increased in certain circumstances if it is converted after it is called for redemption.</w:t>
      </w:r>
    </w:p>
    <w:p>
      <w:pPr>
        <w:spacing w:after="0" w:line="182" w:lineRule="exact"/>
        <w:rPr>
          <w:sz w:val="20"/>
          <w:szCs w:val="20"/>
          <w:color w:val="auto"/>
        </w:rPr>
      </w:pPr>
    </w:p>
    <w:p>
      <w:pPr>
        <w:jc w:val="both"/>
        <w:ind w:firstLine="706"/>
        <w:spacing w:after="0"/>
        <w:rPr>
          <w:sz w:val="20"/>
          <w:szCs w:val="20"/>
          <w:color w:val="auto"/>
        </w:rPr>
      </w:pPr>
      <w:r>
        <w:rPr>
          <w:rFonts w:ascii="Times New Roman" w:cs="Times New Roman" w:eastAsia="Times New Roman" w:hAnsi="Times New Roman"/>
          <w:sz w:val="20"/>
          <w:szCs w:val="20"/>
          <w:color w:val="auto"/>
        </w:rPr>
        <w:t>In addition, if the Specified Divestiture is completed, then unless the Company has previously elected to redeem all of the 2030 Notes, each holder of 2030 Notes will have the right to require the Company to repurchase its 2030 Notes for cash on a date of the Company’s choosing, which must be a business day that is no more than 35, nor less than 20, business days after the date the Company’s sends the related notice of Specified Divestiture. The repurchase price for a note tendered for such repurchase will be equal to the principal amount of the 2030 Notes to be repurchased, plus accrued and unpaid interest, if any, to, but excluding, the repurchase date (subject to the right of a holder of 2030 Notes as of the close of business on a record date to receive the related interest payment on the corresponding interest payment date).</w:t>
      </w:r>
    </w:p>
    <w:p>
      <w:pPr>
        <w:spacing w:after="0" w:line="193" w:lineRule="exact"/>
        <w:rPr>
          <w:sz w:val="20"/>
          <w:szCs w:val="20"/>
          <w:color w:val="auto"/>
        </w:rPr>
      </w:pPr>
    </w:p>
    <w:p>
      <w:pPr>
        <w:jc w:val="both"/>
        <w:ind w:firstLine="706"/>
        <w:spacing w:after="0" w:line="251" w:lineRule="auto"/>
        <w:rPr>
          <w:sz w:val="20"/>
          <w:szCs w:val="20"/>
          <w:color w:val="auto"/>
        </w:rPr>
      </w:pPr>
      <w:r>
        <w:rPr>
          <w:rFonts w:ascii="Times New Roman" w:cs="Times New Roman" w:eastAsia="Times New Roman" w:hAnsi="Times New Roman"/>
          <w:sz w:val="20"/>
          <w:szCs w:val="20"/>
          <w:color w:val="auto"/>
        </w:rPr>
        <w:t>Moreover, if the Company undergoes a fundamental change, as described in the Indenture, holders of the 2030 Notes may require the Company to repurchase for cash all or part of their 2030 Notes at a repurchase price equal to 100% of the principal amount of the 2030 Notes to be repurchased, plus accrued and unpaid interest to, but excluding, the required repurchase date.</w:t>
      </w:r>
    </w:p>
    <w:p>
      <w:pPr>
        <w:spacing w:after="0" w:line="182" w:lineRule="exact"/>
        <w:rPr>
          <w:sz w:val="20"/>
          <w:szCs w:val="20"/>
          <w:color w:val="auto"/>
        </w:rPr>
      </w:pPr>
    </w:p>
    <w:p>
      <w:pPr>
        <w:jc w:val="both"/>
        <w:ind w:firstLine="706"/>
        <w:spacing w:after="0" w:line="265" w:lineRule="auto"/>
        <w:rPr>
          <w:sz w:val="20"/>
          <w:szCs w:val="20"/>
          <w:color w:val="auto"/>
        </w:rPr>
      </w:pPr>
      <w:r>
        <w:rPr>
          <w:rFonts w:ascii="Times New Roman" w:cs="Times New Roman" w:eastAsia="Times New Roman" w:hAnsi="Times New Roman"/>
          <w:sz w:val="20"/>
          <w:szCs w:val="20"/>
          <w:color w:val="auto"/>
        </w:rPr>
        <w:t>Additionally, the 2030 Notes are subject to customary events of default. The 2030 Notes do not restrict the Company’s ability to incur debt or liens. No sinking fund is provided for the 2030 Notes. There are no guarantors of the 2030 Notes.</w:t>
      </w:r>
    </w:p>
    <w:p>
      <w:pPr>
        <w:spacing w:after="0" w:line="167" w:lineRule="exact"/>
        <w:rPr>
          <w:sz w:val="20"/>
          <w:szCs w:val="20"/>
          <w:color w:val="auto"/>
        </w:rPr>
      </w:pPr>
    </w:p>
    <w:p>
      <w:pPr>
        <w:jc w:val="both"/>
        <w:ind w:firstLine="706"/>
        <w:spacing w:after="0" w:line="281" w:lineRule="auto"/>
        <w:rPr>
          <w:sz w:val="20"/>
          <w:szCs w:val="20"/>
          <w:color w:val="auto"/>
        </w:rPr>
      </w:pPr>
      <w:r>
        <w:rPr>
          <w:rFonts w:ascii="Times New Roman" w:cs="Times New Roman" w:eastAsia="Times New Roman" w:hAnsi="Times New Roman"/>
          <w:sz w:val="18"/>
          <w:szCs w:val="18"/>
          <w:color w:val="auto"/>
        </w:rPr>
        <w:t>Pursuant to the guidance in ASC 815-40, Contracts in Entity’s Own Equity, the Company evaluated whether the conversion feature of the note needed to be bifurcated from the host instrument as a freestanding financial instrument. Under ASC 815-40, to qualify for equity classification (or non-bifurcation, if embedded) the instrument (or embedded feature) must be both (1) indexed to the issuer’s own stock and (2) meet the requirements of the equity classification guidance. Based upon the Company’s analysis, it was determined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F-22</w:t>
      </w:r>
    </w:p>
    <w:p>
      <w:pPr>
        <w:sectPr>
          <w:pgSz w:w="11880" w:h="15480" w:orient="portrait"/>
          <w:cols w:equalWidth="0" w:num="1">
            <w:col w:w="10600"/>
          </w:cols>
          <w:pgMar w:left="640" w:top="410" w:right="640" w:bottom="0" w:gutter="0" w:footer="0" w:header="0"/>
        </w:sectPr>
      </w:pPr>
    </w:p>
    <w:bookmarkStart w:id="82" w:name="page83"/>
    <w:bookmarkEnd w:id="82"/>
    <w:p>
      <w:pPr>
        <w:jc w:val="both"/>
        <w:spacing w:after="0" w:line="268" w:lineRule="auto"/>
        <w:rPr>
          <w:sz w:val="20"/>
          <w:szCs w:val="20"/>
          <w:color w:val="auto"/>
        </w:rPr>
      </w:pPr>
      <w:r>
        <w:rPr>
          <w:rFonts w:ascii="Times New Roman" w:cs="Times New Roman" w:eastAsia="Times New Roman" w:hAnsi="Times New Roman"/>
          <w:sz w:val="20"/>
          <w:szCs w:val="20"/>
          <w:color w:val="auto"/>
        </w:rPr>
        <w:t>the conversion option is indexed to its own stock and also met all the criteria for equity classification. Accordingly, the conversion option is not required to be bifurcated from the host instrument as a derivative.</w:t>
      </w:r>
    </w:p>
    <w:p>
      <w:pPr>
        <w:spacing w:after="0" w:line="162" w:lineRule="exact"/>
        <w:rPr>
          <w:sz w:val="20"/>
          <w:szCs w:val="20"/>
          <w:color w:val="auto"/>
        </w:rPr>
      </w:pPr>
    </w:p>
    <w:p>
      <w:pPr>
        <w:jc w:val="both"/>
        <w:ind w:firstLine="706"/>
        <w:spacing w:after="0" w:line="243" w:lineRule="auto"/>
        <w:rPr>
          <w:sz w:val="20"/>
          <w:szCs w:val="20"/>
          <w:color w:val="auto"/>
        </w:rPr>
      </w:pPr>
      <w:r>
        <w:rPr>
          <w:rFonts w:ascii="Times New Roman" w:cs="Times New Roman" w:eastAsia="Times New Roman" w:hAnsi="Times New Roman"/>
          <w:sz w:val="20"/>
          <w:szCs w:val="20"/>
          <w:color w:val="auto"/>
        </w:rPr>
        <w:t>Pursuant to ASC 815-15, the Company further determined that the contingent redemption features in the 2030 Notes are not required to be bifurcated from the host contract and accounted for separately. Additionally, the Company then evaluated whether the conversion feature needed to be separately accounted for as an equity component under ASC 470-20, Debt with Conversion and Other Options, and determined that the additional premium was not substantial. Accordingly, that amount was recognized as a premium on the 2030 Notes.</w:t>
      </w:r>
    </w:p>
    <w:p>
      <w:pPr>
        <w:spacing w:after="0" w:line="188" w:lineRule="exact"/>
        <w:rPr>
          <w:sz w:val="20"/>
          <w:szCs w:val="20"/>
          <w:color w:val="auto"/>
        </w:rPr>
      </w:pPr>
    </w:p>
    <w:p>
      <w:pPr>
        <w:jc w:val="both"/>
        <w:ind w:firstLine="706"/>
        <w:spacing w:after="0" w:line="268" w:lineRule="auto"/>
        <w:rPr>
          <w:sz w:val="20"/>
          <w:szCs w:val="20"/>
          <w:color w:val="auto"/>
        </w:rPr>
      </w:pPr>
      <w:r>
        <w:rPr>
          <w:rFonts w:ascii="Times New Roman" w:cs="Times New Roman" w:eastAsia="Times New Roman" w:hAnsi="Times New Roman"/>
          <w:sz w:val="20"/>
          <w:szCs w:val="20"/>
          <w:color w:val="auto"/>
        </w:rPr>
        <w:t>The following table sets forth interest expense information related to the 2026 Notes and the 2030 Notes for the periods indicated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650" w:type="dxa"/>
            <w:vAlign w:val="bottom"/>
          </w:tcPr>
          <w:p>
            <w:pPr>
              <w:spacing w:after="0"/>
              <w:rPr>
                <w:sz w:val="22"/>
                <w:szCs w:val="22"/>
                <w:color w:val="auto"/>
              </w:rPr>
            </w:pPr>
          </w:p>
        </w:tc>
        <w:tc>
          <w:tcPr>
            <w:tcW w:w="7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3160" w:type="dxa"/>
            <w:vAlign w:val="bottom"/>
            <w:tcBorders>
              <w:bottom w:val="single" w:sz="8" w:color="auto"/>
            </w:tcBorders>
            <w:gridSpan w:val="5"/>
          </w:tcPr>
          <w:p>
            <w:pPr>
              <w:jc w:val="right"/>
              <w:ind w:right="182"/>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580" w:type="dxa"/>
            <w:vAlign w:val="bottom"/>
            <w:tcBorders>
              <w:bottom w:val="single" w:sz="8" w:color="auto"/>
            </w:tcBorders>
          </w:tcPr>
          <w:p>
            <w:pPr>
              <w:spacing w:after="0"/>
              <w:rPr>
                <w:sz w:val="22"/>
                <w:szCs w:val="22"/>
                <w:color w:val="auto"/>
              </w:rPr>
            </w:pPr>
          </w:p>
        </w:tc>
      </w:tr>
      <w:tr>
        <w:trPr>
          <w:trHeight w:val="229"/>
        </w:trPr>
        <w:tc>
          <w:tcPr>
            <w:tcW w:w="6650" w:type="dxa"/>
            <w:vAlign w:val="bottom"/>
          </w:tcPr>
          <w:p>
            <w:pPr>
              <w:spacing w:after="0"/>
              <w:rPr>
                <w:sz w:val="19"/>
                <w:szCs w:val="19"/>
                <w:color w:val="auto"/>
              </w:rPr>
            </w:pPr>
          </w:p>
        </w:tc>
        <w:tc>
          <w:tcPr>
            <w:tcW w:w="70" w:type="dxa"/>
            <w:vAlign w:val="bottom"/>
          </w:tcPr>
          <w:p>
            <w:pPr>
              <w:spacing w:after="0"/>
              <w:rPr>
                <w:sz w:val="19"/>
                <w:szCs w:val="19"/>
                <w:color w:val="auto"/>
              </w:rPr>
            </w:pPr>
          </w:p>
        </w:tc>
        <w:tc>
          <w:tcPr>
            <w:tcW w:w="1220" w:type="dxa"/>
            <w:vAlign w:val="bottom"/>
            <w:gridSpan w:val="2"/>
          </w:tcPr>
          <w:p>
            <w:pPr>
              <w:jc w:val="right"/>
              <w:ind w:right="22"/>
              <w:spacing w:after="0"/>
              <w:rPr>
                <w:sz w:val="20"/>
                <w:szCs w:val="20"/>
                <w:color w:val="auto"/>
              </w:rPr>
            </w:pPr>
            <w:r>
              <w:rPr>
                <w:rFonts w:ascii="Times New Roman" w:cs="Times New Roman" w:eastAsia="Times New Roman" w:hAnsi="Times New Roman"/>
                <w:sz w:val="20"/>
                <w:szCs w:val="20"/>
                <w:b w:val="1"/>
                <w:bCs w:val="1"/>
                <w:color w:val="auto"/>
              </w:rPr>
              <w:t>2025</w:t>
            </w:r>
          </w:p>
        </w:tc>
        <w:tc>
          <w:tcPr>
            <w:tcW w:w="560" w:type="dxa"/>
            <w:vAlign w:val="bottom"/>
          </w:tcPr>
          <w:p>
            <w:pPr>
              <w:spacing w:after="0"/>
              <w:rPr>
                <w:sz w:val="19"/>
                <w:szCs w:val="19"/>
                <w:color w:val="auto"/>
              </w:rPr>
            </w:pPr>
          </w:p>
        </w:tc>
        <w:tc>
          <w:tcPr>
            <w:tcW w:w="1520" w:type="dxa"/>
            <w:vAlign w:val="bottom"/>
            <w:gridSpan w:val="3"/>
          </w:tcPr>
          <w:p>
            <w:pPr>
              <w:jc w:val="right"/>
              <w:ind w:right="22"/>
              <w:spacing w:after="0"/>
              <w:rPr>
                <w:sz w:val="20"/>
                <w:szCs w:val="20"/>
                <w:color w:val="auto"/>
              </w:rPr>
            </w:pPr>
            <w:r>
              <w:rPr>
                <w:rFonts w:ascii="Times New Roman" w:cs="Times New Roman" w:eastAsia="Times New Roman" w:hAnsi="Times New Roman"/>
                <w:sz w:val="20"/>
                <w:szCs w:val="20"/>
                <w:b w:val="1"/>
                <w:bCs w:val="1"/>
                <w:color w:val="auto"/>
              </w:rPr>
              <w:t>2024</w:t>
            </w:r>
          </w:p>
        </w:tc>
        <w:tc>
          <w:tcPr>
            <w:tcW w:w="580" w:type="dxa"/>
            <w:vAlign w:val="bottom"/>
          </w:tcPr>
          <w:p>
            <w:pPr>
              <w:spacing w:after="0"/>
              <w:rPr>
                <w:sz w:val="19"/>
                <w:szCs w:val="19"/>
                <w:color w:val="auto"/>
              </w:rPr>
            </w:pPr>
          </w:p>
        </w:tc>
      </w:tr>
      <w:tr>
        <w:trPr>
          <w:trHeight w:val="225"/>
        </w:trPr>
        <w:tc>
          <w:tcPr>
            <w:tcW w:w="6650" w:type="dxa"/>
            <w:vAlign w:val="bottom"/>
            <w:tcBorders>
              <w:top w:val="single" w:sz="8" w:color="DBDBDB"/>
            </w:tcBorders>
            <w:shd w:val="clear" w:color="auto" w:fill="DBDBDB"/>
          </w:tcPr>
          <w:p>
            <w:pPr>
              <w:ind w:left="20"/>
              <w:spacing w:after="0" w:line="220" w:lineRule="exact"/>
              <w:rPr>
                <w:sz w:val="20"/>
                <w:szCs w:val="20"/>
                <w:color w:val="auto"/>
              </w:rPr>
            </w:pPr>
            <w:r>
              <w:rPr>
                <w:rFonts w:ascii="Times New Roman" w:cs="Times New Roman" w:eastAsia="Times New Roman" w:hAnsi="Times New Roman"/>
                <w:sz w:val="20"/>
                <w:szCs w:val="20"/>
                <w:color w:val="auto"/>
              </w:rPr>
              <w:t>Contractual interest expense</w:t>
            </w:r>
          </w:p>
        </w:tc>
        <w:tc>
          <w:tcPr>
            <w:tcW w:w="7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jc w:val="right"/>
              <w:spacing w:after="0" w:line="225" w:lineRule="exact"/>
              <w:rPr>
                <w:sz w:val="20"/>
                <w:szCs w:val="20"/>
                <w:color w:val="auto"/>
              </w:rPr>
            </w:pPr>
            <w:r>
              <w:rPr>
                <w:rFonts w:ascii="Times New Roman" w:cs="Times New Roman" w:eastAsia="Times New Roman" w:hAnsi="Times New Roman"/>
                <w:sz w:val="20"/>
                <w:szCs w:val="20"/>
                <w:color w:val="auto"/>
                <w:highlight w:val="lightGray"/>
                <w:w w:val="99"/>
              </w:rPr>
              <w:t>$</w:t>
            </w:r>
          </w:p>
        </w:tc>
        <w:tc>
          <w:tcPr>
            <w:tcW w:w="1080" w:type="dxa"/>
            <w:vAlign w:val="bottom"/>
            <w:tcBorders>
              <w:top w:val="single" w:sz="8" w:color="auto"/>
            </w:tcBorders>
            <w:shd w:val="clear" w:color="auto" w:fill="DBDBDB"/>
          </w:tcPr>
          <w:p>
            <w:pPr>
              <w:spacing w:after="0"/>
              <w:rPr>
                <w:sz w:val="19"/>
                <w:szCs w:val="19"/>
                <w:color w:val="auto"/>
              </w:rPr>
            </w:pPr>
          </w:p>
        </w:tc>
        <w:tc>
          <w:tcPr>
            <w:tcW w:w="560" w:type="dxa"/>
            <w:vAlign w:val="bottom"/>
            <w:tcBorders>
              <w:top w:val="single" w:sz="8" w:color="auto"/>
            </w:tcBorders>
            <w:shd w:val="clear" w:color="auto" w:fill="DBDBDB"/>
          </w:tcPr>
          <w:p>
            <w:pPr>
              <w:jc w:val="right"/>
              <w:spacing w:after="0" w:line="225" w:lineRule="exact"/>
              <w:rPr>
                <w:sz w:val="20"/>
                <w:szCs w:val="20"/>
                <w:color w:val="auto"/>
              </w:rPr>
            </w:pPr>
            <w:r>
              <w:rPr>
                <w:rFonts w:ascii="Times New Roman" w:cs="Times New Roman" w:eastAsia="Times New Roman" w:hAnsi="Times New Roman"/>
                <w:sz w:val="20"/>
                <w:szCs w:val="20"/>
                <w:color w:val="auto"/>
              </w:rPr>
              <w:t>1,397</w:t>
            </w:r>
          </w:p>
        </w:tc>
        <w:tc>
          <w:tcPr>
            <w:tcW w:w="220" w:type="dxa"/>
            <w:vAlign w:val="bottom"/>
            <w:tcBorders>
              <w:top w:val="single" w:sz="8" w:color="DBDBDB"/>
            </w:tcBorders>
            <w:shd w:val="clear" w:color="auto" w:fill="DBDBDB"/>
          </w:tcPr>
          <w:p>
            <w:pPr>
              <w:spacing w:after="0"/>
              <w:rPr>
                <w:sz w:val="19"/>
                <w:szCs w:val="19"/>
                <w:color w:val="auto"/>
              </w:rPr>
            </w:pPr>
          </w:p>
        </w:tc>
        <w:tc>
          <w:tcPr>
            <w:tcW w:w="80" w:type="dxa"/>
            <w:vAlign w:val="bottom"/>
            <w:tcBorders>
              <w:top w:val="single" w:sz="8" w:color="DBDBDB"/>
            </w:tcBorders>
            <w:shd w:val="clear" w:color="auto" w:fill="DBDBDB"/>
          </w:tcPr>
          <w:p>
            <w:pPr>
              <w:spacing w:after="0"/>
              <w:rPr>
                <w:sz w:val="19"/>
                <w:szCs w:val="19"/>
                <w:color w:val="auto"/>
              </w:rPr>
            </w:pPr>
          </w:p>
        </w:tc>
        <w:tc>
          <w:tcPr>
            <w:tcW w:w="1220" w:type="dxa"/>
            <w:vAlign w:val="bottom"/>
            <w:tcBorders>
              <w:top w:val="single" w:sz="8" w:color="auto"/>
            </w:tcBorders>
            <w:shd w:val="clear" w:color="auto" w:fill="DBDBDB"/>
          </w:tcPr>
          <w:p>
            <w:pPr>
              <w:jc w:val="right"/>
              <w:ind w:right="1022"/>
              <w:spacing w:after="0" w:line="225"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580" w:type="dxa"/>
            <w:vAlign w:val="bottom"/>
            <w:tcBorders>
              <w:top w:val="single" w:sz="8" w:color="auto"/>
            </w:tcBorders>
            <w:shd w:val="clear" w:color="auto" w:fill="DBDBDB"/>
          </w:tcPr>
          <w:p>
            <w:pPr>
              <w:ind w:left="120"/>
              <w:spacing w:after="0" w:line="225" w:lineRule="exact"/>
              <w:rPr>
                <w:sz w:val="20"/>
                <w:szCs w:val="20"/>
                <w:color w:val="auto"/>
              </w:rPr>
            </w:pPr>
            <w:r>
              <w:rPr>
                <w:rFonts w:ascii="Times New Roman" w:cs="Times New Roman" w:eastAsia="Times New Roman" w:hAnsi="Times New Roman"/>
                <w:sz w:val="20"/>
                <w:szCs w:val="20"/>
                <w:color w:val="auto"/>
                <w:w w:val="97"/>
              </w:rPr>
              <w:t>4,222</w:t>
            </w:r>
          </w:p>
        </w:tc>
      </w:tr>
      <w:tr>
        <w:trPr>
          <w:trHeight w:val="238"/>
        </w:trPr>
        <w:tc>
          <w:tcPr>
            <w:tcW w:w="6720" w:type="dxa"/>
            <w:vAlign w:val="bottom"/>
            <w:tcBorders>
              <w:bottom w:val="single" w:sz="8" w:color="DBDBDB"/>
            </w:tcBorders>
            <w:gridSpan w:val="2"/>
          </w:tcPr>
          <w:p>
            <w:pPr>
              <w:ind w:left="20"/>
              <w:spacing w:after="0"/>
              <w:rPr>
                <w:sz w:val="20"/>
                <w:szCs w:val="20"/>
                <w:color w:val="auto"/>
              </w:rPr>
            </w:pPr>
            <w:r>
              <w:rPr>
                <w:rFonts w:ascii="Times New Roman" w:cs="Times New Roman" w:eastAsia="Times New Roman" w:hAnsi="Times New Roman"/>
                <w:sz w:val="20"/>
                <w:szCs w:val="20"/>
                <w:color w:val="auto"/>
              </w:rPr>
              <w:t>Amortization of debt issuance costs</w:t>
            </w: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954</w:t>
            </w:r>
          </w:p>
        </w:tc>
        <w:tc>
          <w:tcPr>
            <w:tcW w:w="220" w:type="dxa"/>
            <w:vAlign w:val="bottom"/>
            <w:tcBorders>
              <w:bottom w:val="single" w:sz="8" w:color="DBDBDB"/>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w w:val="97"/>
              </w:rPr>
              <w:t>1,466</w:t>
            </w:r>
          </w:p>
        </w:tc>
      </w:tr>
      <w:tr>
        <w:trPr>
          <w:trHeight w:val="286"/>
        </w:trPr>
        <w:tc>
          <w:tcPr>
            <w:tcW w:w="6650" w:type="dxa"/>
            <w:vAlign w:val="bottom"/>
            <w:tcBorders>
              <w:bottom w:val="single" w:sz="8" w:color="DBDBDB"/>
            </w:tcBorders>
            <w:shd w:val="clear" w:color="auto" w:fill="DBDBDB"/>
          </w:tcPr>
          <w:p>
            <w:pPr>
              <w:ind w:left="20"/>
              <w:spacing w:after="0" w:line="218" w:lineRule="exact"/>
              <w:rPr>
                <w:sz w:val="20"/>
                <w:szCs w:val="20"/>
                <w:color w:val="auto"/>
              </w:rPr>
            </w:pPr>
            <w:r>
              <w:rPr>
                <w:rFonts w:ascii="Times New Roman" w:cs="Times New Roman" w:eastAsia="Times New Roman" w:hAnsi="Times New Roman"/>
                <w:sz w:val="20"/>
                <w:szCs w:val="20"/>
                <w:color w:val="auto"/>
              </w:rPr>
              <w:t>Total interest cost</w:t>
            </w:r>
          </w:p>
        </w:tc>
        <w:tc>
          <w:tcPr>
            <w:tcW w:w="70" w:type="dxa"/>
            <w:vAlign w:val="bottom"/>
            <w:tcBorders>
              <w:bottom w:val="single" w:sz="8" w:color="DBDBDB"/>
            </w:tcBorders>
            <w:shd w:val="clear" w:color="auto" w:fill="DBDBDB"/>
          </w:tcPr>
          <w:p>
            <w:pPr>
              <w:spacing w:after="0"/>
              <w:rPr>
                <w:sz w:val="24"/>
                <w:szCs w:val="24"/>
                <w:color w:val="auto"/>
              </w:rPr>
            </w:pPr>
          </w:p>
        </w:tc>
        <w:tc>
          <w:tcPr>
            <w:tcW w:w="140" w:type="dxa"/>
            <w:vAlign w:val="bottom"/>
            <w:tcBorders>
              <w:bottom w:val="single" w:sz="8" w:color="DBDBDB"/>
            </w:tcBorders>
            <w:shd w:val="clear" w:color="auto" w:fill="DBDBDB"/>
          </w:tcPr>
          <w:p>
            <w:pPr>
              <w:jc w:val="right"/>
              <w:spacing w:after="0" w:line="218" w:lineRule="exact"/>
              <w:rPr>
                <w:sz w:val="20"/>
                <w:szCs w:val="20"/>
                <w:color w:val="auto"/>
              </w:rPr>
            </w:pPr>
            <w:r>
              <w:rPr>
                <w:rFonts w:ascii="Times New Roman" w:cs="Times New Roman" w:eastAsia="Times New Roman" w:hAnsi="Times New Roman"/>
                <w:sz w:val="20"/>
                <w:szCs w:val="20"/>
                <w:color w:val="auto"/>
                <w:highlight w:val="lightGray"/>
                <w:w w:val="99"/>
              </w:rPr>
              <w:t>$</w:t>
            </w:r>
          </w:p>
        </w:tc>
        <w:tc>
          <w:tcPr>
            <w:tcW w:w="1080" w:type="dxa"/>
            <w:vAlign w:val="bottom"/>
            <w:tcBorders>
              <w:bottom w:val="single" w:sz="8" w:color="DBDBDB"/>
            </w:tcBorders>
            <w:shd w:val="clear" w:color="auto" w:fill="DBDBDB"/>
          </w:tcPr>
          <w:p>
            <w:pPr>
              <w:spacing w:after="0"/>
              <w:rPr>
                <w:sz w:val="24"/>
                <w:szCs w:val="24"/>
                <w:color w:val="auto"/>
              </w:rPr>
            </w:pPr>
          </w:p>
        </w:tc>
        <w:tc>
          <w:tcPr>
            <w:tcW w:w="560" w:type="dxa"/>
            <w:vAlign w:val="bottom"/>
            <w:tcBorders>
              <w:bottom w:val="single" w:sz="8" w:color="DBDBDB"/>
            </w:tcBorders>
            <w:shd w:val="clear" w:color="auto" w:fill="DBDBDB"/>
          </w:tcPr>
          <w:p>
            <w:pPr>
              <w:jc w:val="right"/>
              <w:spacing w:after="0" w:line="218" w:lineRule="exact"/>
              <w:rPr>
                <w:sz w:val="20"/>
                <w:szCs w:val="20"/>
                <w:color w:val="auto"/>
              </w:rPr>
            </w:pPr>
            <w:r>
              <w:rPr>
                <w:rFonts w:ascii="Times New Roman" w:cs="Times New Roman" w:eastAsia="Times New Roman" w:hAnsi="Times New Roman"/>
                <w:sz w:val="20"/>
                <w:szCs w:val="20"/>
                <w:color w:val="auto"/>
              </w:rPr>
              <w:t>2,351</w:t>
            </w:r>
          </w:p>
        </w:tc>
        <w:tc>
          <w:tcPr>
            <w:tcW w:w="220" w:type="dxa"/>
            <w:vAlign w:val="bottom"/>
            <w:tcBorders>
              <w:bottom w:val="single" w:sz="8" w:color="DBDBDB"/>
            </w:tcBorders>
            <w:shd w:val="clear" w:color="auto" w:fill="DBDBDB"/>
          </w:tcPr>
          <w:p>
            <w:pPr>
              <w:spacing w:after="0"/>
              <w:rPr>
                <w:sz w:val="24"/>
                <w:szCs w:val="24"/>
                <w:color w:val="auto"/>
              </w:rPr>
            </w:pPr>
          </w:p>
        </w:tc>
        <w:tc>
          <w:tcPr>
            <w:tcW w:w="80" w:type="dxa"/>
            <w:vAlign w:val="bottom"/>
            <w:tcBorders>
              <w:bottom w:val="single" w:sz="8" w:color="DBDBDB"/>
            </w:tcBorders>
            <w:shd w:val="clear" w:color="auto" w:fill="DBDBDB"/>
          </w:tcPr>
          <w:p>
            <w:pPr>
              <w:spacing w:after="0"/>
              <w:rPr>
                <w:sz w:val="24"/>
                <w:szCs w:val="24"/>
                <w:color w:val="auto"/>
              </w:rPr>
            </w:pPr>
          </w:p>
        </w:tc>
        <w:tc>
          <w:tcPr>
            <w:tcW w:w="1220" w:type="dxa"/>
            <w:vAlign w:val="bottom"/>
            <w:tcBorders>
              <w:bottom w:val="single" w:sz="8" w:color="DBDBDB"/>
            </w:tcBorders>
            <w:shd w:val="clear" w:color="auto" w:fill="DBDBDB"/>
          </w:tcPr>
          <w:p>
            <w:pPr>
              <w:jc w:val="right"/>
              <w:ind w:right="1022"/>
              <w:spacing w:after="0" w:line="218"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580" w:type="dxa"/>
            <w:vAlign w:val="bottom"/>
            <w:tcBorders>
              <w:bottom w:val="single" w:sz="8" w:color="DBDBDB"/>
            </w:tcBorders>
            <w:shd w:val="clear" w:color="auto" w:fill="DBDBDB"/>
          </w:tcPr>
          <w:p>
            <w:pPr>
              <w:ind w:left="120"/>
              <w:spacing w:after="0" w:line="218" w:lineRule="exact"/>
              <w:rPr>
                <w:sz w:val="20"/>
                <w:szCs w:val="20"/>
                <w:color w:val="auto"/>
              </w:rPr>
            </w:pPr>
            <w:r>
              <w:rPr>
                <w:rFonts w:ascii="Times New Roman" w:cs="Times New Roman" w:eastAsia="Times New Roman" w:hAnsi="Times New Roman"/>
                <w:sz w:val="20"/>
                <w:szCs w:val="20"/>
                <w:color w:val="auto"/>
                <w:w w:val="97"/>
              </w:rPr>
              <w:t>5,688</w:t>
            </w:r>
          </w:p>
        </w:tc>
      </w:tr>
      <w:tr>
        <w:trPr>
          <w:trHeight w:val="242"/>
        </w:trPr>
        <w:tc>
          <w:tcPr>
            <w:tcW w:w="6720" w:type="dxa"/>
            <w:vAlign w:val="bottom"/>
            <w:tcBorders>
              <w:top w:val="single" w:sz="8" w:color="DBDBDB"/>
            </w:tcBorders>
            <w:gridSpan w:val="2"/>
          </w:tcPr>
          <w:p>
            <w:pPr>
              <w:ind w:left="20"/>
              <w:spacing w:after="0"/>
              <w:rPr>
                <w:sz w:val="20"/>
                <w:szCs w:val="20"/>
                <w:color w:val="auto"/>
              </w:rPr>
            </w:pPr>
            <w:r>
              <w:rPr>
                <w:rFonts w:ascii="Times New Roman" w:cs="Times New Roman" w:eastAsia="Times New Roman" w:hAnsi="Times New Roman"/>
                <w:sz w:val="20"/>
                <w:szCs w:val="20"/>
                <w:color w:val="auto"/>
              </w:rPr>
              <w:t>Effective interest rate</w:t>
            </w:r>
          </w:p>
        </w:tc>
        <w:tc>
          <w:tcPr>
            <w:tcW w:w="14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220" w:type="dxa"/>
            <w:vAlign w:val="bottom"/>
            <w:tcBorders>
              <w:top w:val="single" w:sz="8" w:color="DBDBDB"/>
            </w:tcBorders>
          </w:tcPr>
          <w:p>
            <w:pPr>
              <w:spacing w:after="0"/>
              <w:rPr>
                <w:sz w:val="21"/>
                <w:szCs w:val="21"/>
                <w:color w:val="auto"/>
              </w:rPr>
            </w:pPr>
          </w:p>
        </w:tc>
        <w:tc>
          <w:tcPr>
            <w:tcW w:w="80" w:type="dxa"/>
            <w:vAlign w:val="bottom"/>
            <w:tcBorders>
              <w:top w:val="single" w:sz="8" w:color="DBDBDB"/>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w:t>
            </w:r>
          </w:p>
        </w:tc>
      </w:tr>
      <w:tr>
        <w:trPr>
          <w:trHeight w:val="447"/>
        </w:trPr>
        <w:tc>
          <w:tcPr>
            <w:tcW w:w="67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NOTE M—ACCRUED LIABILITIES</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43"/>
        </w:trPr>
        <w:tc>
          <w:tcPr>
            <w:tcW w:w="7940" w:type="dxa"/>
            <w:vAlign w:val="bottom"/>
            <w:gridSpan w:val="4"/>
          </w:tcPr>
          <w:p>
            <w:pPr>
              <w:ind w:left="720"/>
              <w:spacing w:after="0"/>
              <w:rPr>
                <w:sz w:val="20"/>
                <w:szCs w:val="20"/>
                <w:color w:val="auto"/>
              </w:rPr>
            </w:pPr>
            <w:r>
              <w:rPr>
                <w:rFonts w:ascii="Times New Roman" w:cs="Times New Roman" w:eastAsia="Times New Roman" w:hAnsi="Times New Roman"/>
                <w:sz w:val="20"/>
                <w:szCs w:val="20"/>
                <w:color w:val="auto"/>
              </w:rPr>
              <w:t>Accrued liabilities consisted of the following for the periods indicated (in thousands):</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188"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741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ind w:right="22"/>
              <w:spacing w:after="0"/>
              <w:rPr>
                <w:sz w:val="20"/>
                <w:szCs w:val="20"/>
                <w:color w:val="auto"/>
              </w:rPr>
            </w:pPr>
            <w:r>
              <w:rPr>
                <w:rFonts w:ascii="Times New Roman" w:cs="Times New Roman" w:eastAsia="Times New Roman" w:hAnsi="Times New Roman"/>
                <w:sz w:val="20"/>
                <w:szCs w:val="20"/>
                <w:b w:val="1"/>
                <w:bCs w:val="1"/>
                <w:color w:val="auto"/>
                <w:w w:val="97"/>
              </w:rPr>
              <w:t>December 31,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56"/>
        </w:trPr>
        <w:tc>
          <w:tcPr>
            <w:tcW w:w="7410" w:type="dxa"/>
            <w:vAlign w:val="bottom"/>
            <w:tcBorders>
              <w:bottom w:val="single" w:sz="8" w:color="DBDBDB"/>
            </w:tcBorders>
          </w:tcPr>
          <w:p>
            <w:pPr>
              <w:spacing w:after="0"/>
              <w:rPr>
                <w:sz w:val="22"/>
                <w:szCs w:val="22"/>
                <w:color w:val="auto"/>
              </w:rPr>
            </w:pPr>
          </w:p>
        </w:tc>
        <w:tc>
          <w:tcPr>
            <w:tcW w:w="110" w:type="dxa"/>
            <w:vAlign w:val="bottom"/>
            <w:tcBorders>
              <w:bottom w:val="single" w:sz="8" w:color="DBDBDB"/>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20"/>
                <w:szCs w:val="20"/>
                <w:b w:val="1"/>
                <w:bCs w:val="1"/>
                <w:color w:val="auto"/>
              </w:rPr>
              <w:t>2025</w:t>
            </w:r>
          </w:p>
        </w:tc>
        <w:tc>
          <w:tcPr>
            <w:tcW w:w="200" w:type="dxa"/>
            <w:vAlign w:val="bottom"/>
            <w:tcBorders>
              <w:bottom w:val="single" w:sz="8" w:color="DBDBDB"/>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20"/>
                <w:szCs w:val="20"/>
                <w:b w:val="1"/>
                <w:bCs w:val="1"/>
                <w:color w:val="auto"/>
              </w:rPr>
              <w:t>2024</w:t>
            </w:r>
          </w:p>
        </w:tc>
        <w:tc>
          <w:tcPr>
            <w:tcW w:w="20" w:type="dxa"/>
            <w:vAlign w:val="bottom"/>
            <w:tcBorders>
              <w:bottom w:val="single" w:sz="8" w:color="DBDBDB"/>
            </w:tcBorders>
          </w:tcPr>
          <w:p>
            <w:pPr>
              <w:spacing w:after="0"/>
              <w:rPr>
                <w:sz w:val="22"/>
                <w:szCs w:val="22"/>
                <w:color w:val="auto"/>
              </w:rPr>
            </w:pPr>
          </w:p>
        </w:tc>
      </w:tr>
      <w:tr>
        <w:trPr>
          <w:trHeight w:val="225"/>
        </w:trPr>
        <w:tc>
          <w:tcPr>
            <w:tcW w:w="7410" w:type="dxa"/>
            <w:vAlign w:val="bottom"/>
            <w:shd w:val="clear" w:color="auto" w:fill="DBDBDB"/>
          </w:tcPr>
          <w:p>
            <w:pPr>
              <w:spacing w:after="0" w:line="220" w:lineRule="exact"/>
              <w:rPr>
                <w:sz w:val="20"/>
                <w:szCs w:val="20"/>
                <w:color w:val="auto"/>
              </w:rPr>
            </w:pPr>
            <w:r>
              <w:rPr>
                <w:rFonts w:ascii="Times New Roman" w:cs="Times New Roman" w:eastAsia="Times New Roman" w:hAnsi="Times New Roman"/>
                <w:sz w:val="20"/>
                <w:szCs w:val="20"/>
                <w:color w:val="auto"/>
              </w:rPr>
              <w:t>Accrued payroll</w:t>
            </w:r>
          </w:p>
        </w:tc>
        <w:tc>
          <w:tcPr>
            <w:tcW w:w="110" w:type="dxa"/>
            <w:vAlign w:val="bottom"/>
            <w:tcBorders>
              <w:right w:val="single" w:sz="8" w:color="DBDBDB"/>
            </w:tcBorders>
            <w:shd w:val="clear" w:color="auto" w:fill="DBDBDB"/>
          </w:tcPr>
          <w:p>
            <w:pPr>
              <w:spacing w:after="0"/>
              <w:rPr>
                <w:sz w:val="19"/>
                <w:szCs w:val="19"/>
                <w:color w:val="auto"/>
              </w:rPr>
            </w:pPr>
          </w:p>
        </w:tc>
        <w:tc>
          <w:tcPr>
            <w:tcW w:w="100" w:type="dxa"/>
            <w:vAlign w:val="bottom"/>
            <w:shd w:val="clear" w:color="auto" w:fill="DBDBDB"/>
          </w:tcPr>
          <w:p>
            <w:pPr>
              <w:jc w:val="right"/>
              <w:spacing w:after="0" w:line="225"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280" w:type="dxa"/>
            <w:vAlign w:val="bottom"/>
            <w:shd w:val="clear" w:color="auto" w:fill="DBDBDB"/>
          </w:tcPr>
          <w:p>
            <w:pPr>
              <w:jc w:val="right"/>
              <w:spacing w:after="0" w:line="225" w:lineRule="exact"/>
              <w:rPr>
                <w:sz w:val="20"/>
                <w:szCs w:val="20"/>
                <w:color w:val="auto"/>
              </w:rPr>
            </w:pPr>
            <w:r>
              <w:rPr>
                <w:rFonts w:ascii="Times New Roman" w:cs="Times New Roman" w:eastAsia="Times New Roman" w:hAnsi="Times New Roman"/>
                <w:sz w:val="20"/>
                <w:szCs w:val="20"/>
                <w:color w:val="auto"/>
              </w:rPr>
              <w:t>28,384</w:t>
            </w:r>
          </w:p>
        </w:tc>
        <w:tc>
          <w:tcPr>
            <w:tcW w:w="200" w:type="dxa"/>
            <w:vAlign w:val="bottom"/>
            <w:tcBorders>
              <w:right w:val="single" w:sz="8" w:color="DBDBDB"/>
            </w:tcBorders>
            <w:shd w:val="clear" w:color="auto" w:fill="DBDBDB"/>
          </w:tcPr>
          <w:p>
            <w:pPr>
              <w:spacing w:after="0"/>
              <w:rPr>
                <w:sz w:val="19"/>
                <w:szCs w:val="19"/>
                <w:color w:val="auto"/>
              </w:rPr>
            </w:pPr>
          </w:p>
        </w:tc>
        <w:tc>
          <w:tcPr>
            <w:tcW w:w="100" w:type="dxa"/>
            <w:vAlign w:val="bottom"/>
            <w:shd w:val="clear" w:color="auto" w:fill="DBDBDB"/>
          </w:tcPr>
          <w:p>
            <w:pPr>
              <w:jc w:val="right"/>
              <w:spacing w:after="0" w:line="225"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280" w:type="dxa"/>
            <w:vAlign w:val="bottom"/>
            <w:shd w:val="clear" w:color="auto" w:fill="DBDBDB"/>
          </w:tcPr>
          <w:p>
            <w:pPr>
              <w:jc w:val="right"/>
              <w:spacing w:after="0" w:line="225" w:lineRule="exact"/>
              <w:rPr>
                <w:sz w:val="20"/>
                <w:szCs w:val="20"/>
                <w:color w:val="auto"/>
              </w:rPr>
            </w:pPr>
            <w:r>
              <w:rPr>
                <w:rFonts w:ascii="Times New Roman" w:cs="Times New Roman" w:eastAsia="Times New Roman" w:hAnsi="Times New Roman"/>
                <w:sz w:val="20"/>
                <w:szCs w:val="20"/>
                <w:color w:val="auto"/>
              </w:rPr>
              <w:t>13,136</w:t>
            </w:r>
          </w:p>
        </w:tc>
        <w:tc>
          <w:tcPr>
            <w:tcW w:w="20" w:type="dxa"/>
            <w:vAlign w:val="bottom"/>
            <w:shd w:val="clear" w:color="auto" w:fill="DBDBDB"/>
          </w:tcPr>
          <w:p>
            <w:pPr>
              <w:spacing w:after="0"/>
              <w:rPr>
                <w:sz w:val="19"/>
                <w:szCs w:val="19"/>
                <w:color w:val="auto"/>
              </w:rPr>
            </w:pPr>
          </w:p>
        </w:tc>
      </w:tr>
      <w:tr>
        <w:trPr>
          <w:trHeight w:val="235"/>
        </w:trPr>
        <w:tc>
          <w:tcPr>
            <w:tcW w:w="7410" w:type="dxa"/>
            <w:vAlign w:val="bottom"/>
          </w:tcPr>
          <w:p>
            <w:pPr>
              <w:spacing w:after="0"/>
              <w:rPr>
                <w:sz w:val="20"/>
                <w:szCs w:val="20"/>
                <w:color w:val="auto"/>
              </w:rPr>
            </w:pPr>
            <w:r>
              <w:rPr>
                <w:rFonts w:ascii="Times New Roman" w:cs="Times New Roman" w:eastAsia="Times New Roman" w:hAnsi="Times New Roman"/>
                <w:sz w:val="20"/>
                <w:szCs w:val="20"/>
                <w:color w:val="auto"/>
              </w:rPr>
              <w:t>Accrued employee benefits</w:t>
            </w:r>
          </w:p>
        </w:tc>
        <w:tc>
          <w:tcPr>
            <w:tcW w:w="11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5,506</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4,014</w:t>
            </w:r>
          </w:p>
        </w:tc>
        <w:tc>
          <w:tcPr>
            <w:tcW w:w="20" w:type="dxa"/>
            <w:vAlign w:val="bottom"/>
          </w:tcPr>
          <w:p>
            <w:pPr>
              <w:spacing w:after="0"/>
              <w:rPr>
                <w:sz w:val="20"/>
                <w:szCs w:val="20"/>
                <w:color w:val="auto"/>
              </w:rPr>
            </w:pPr>
          </w:p>
        </w:tc>
      </w:tr>
      <w:tr>
        <w:trPr>
          <w:trHeight w:val="235"/>
        </w:trPr>
        <w:tc>
          <w:tcPr>
            <w:tcW w:w="7410" w:type="dxa"/>
            <w:vAlign w:val="bottom"/>
            <w:shd w:val="clear" w:color="auto" w:fill="DBDBDB"/>
          </w:tcPr>
          <w:p>
            <w:pPr>
              <w:spacing w:after="0"/>
              <w:rPr>
                <w:sz w:val="20"/>
                <w:szCs w:val="20"/>
                <w:color w:val="auto"/>
              </w:rPr>
            </w:pPr>
            <w:r>
              <w:rPr>
                <w:rFonts w:ascii="Times New Roman" w:cs="Times New Roman" w:eastAsia="Times New Roman" w:hAnsi="Times New Roman"/>
                <w:sz w:val="20"/>
                <w:szCs w:val="20"/>
                <w:color w:val="auto"/>
              </w:rPr>
              <w:t>Accrued state and local taxes</w:t>
            </w:r>
          </w:p>
        </w:tc>
        <w:tc>
          <w:tcPr>
            <w:tcW w:w="110" w:type="dxa"/>
            <w:vAlign w:val="bottom"/>
            <w:tcBorders>
              <w:right w:val="single" w:sz="8" w:color="DBDBDB"/>
            </w:tcBorders>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2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965</w:t>
            </w:r>
          </w:p>
        </w:tc>
        <w:tc>
          <w:tcPr>
            <w:tcW w:w="200" w:type="dxa"/>
            <w:vAlign w:val="bottom"/>
            <w:tcBorders>
              <w:right w:val="single" w:sz="8" w:color="DBDBDB"/>
            </w:tcBorders>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2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824</w:t>
            </w:r>
          </w:p>
        </w:tc>
        <w:tc>
          <w:tcPr>
            <w:tcW w:w="20" w:type="dxa"/>
            <w:vAlign w:val="bottom"/>
            <w:shd w:val="clear" w:color="auto" w:fill="DBDBDB"/>
          </w:tcPr>
          <w:p>
            <w:pPr>
              <w:spacing w:after="0"/>
              <w:rPr>
                <w:sz w:val="20"/>
                <w:szCs w:val="20"/>
                <w:color w:val="auto"/>
              </w:rPr>
            </w:pPr>
          </w:p>
        </w:tc>
      </w:tr>
      <w:tr>
        <w:trPr>
          <w:trHeight w:val="235"/>
        </w:trPr>
        <w:tc>
          <w:tcPr>
            <w:tcW w:w="7410" w:type="dxa"/>
            <w:vAlign w:val="bottom"/>
          </w:tcPr>
          <w:p>
            <w:pPr>
              <w:spacing w:after="0"/>
              <w:rPr>
                <w:sz w:val="20"/>
                <w:szCs w:val="20"/>
                <w:color w:val="auto"/>
              </w:rPr>
            </w:pPr>
            <w:r>
              <w:rPr>
                <w:rFonts w:ascii="Times New Roman" w:cs="Times New Roman" w:eastAsia="Times New Roman" w:hAnsi="Times New Roman"/>
                <w:sz w:val="20"/>
                <w:szCs w:val="20"/>
                <w:color w:val="auto"/>
              </w:rPr>
              <w:t>Accrued interest</w:t>
            </w:r>
          </w:p>
        </w:tc>
        <w:tc>
          <w:tcPr>
            <w:tcW w:w="11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w:t>
            </w:r>
          </w:p>
        </w:tc>
        <w:tc>
          <w:tcPr>
            <w:tcW w:w="20" w:type="dxa"/>
            <w:vAlign w:val="bottom"/>
          </w:tcPr>
          <w:p>
            <w:pPr>
              <w:spacing w:after="0"/>
              <w:rPr>
                <w:sz w:val="20"/>
                <w:szCs w:val="20"/>
                <w:color w:val="auto"/>
              </w:rPr>
            </w:pPr>
          </w:p>
        </w:tc>
      </w:tr>
      <w:tr>
        <w:trPr>
          <w:trHeight w:val="235"/>
        </w:trPr>
        <w:tc>
          <w:tcPr>
            <w:tcW w:w="7410" w:type="dxa"/>
            <w:vAlign w:val="bottom"/>
            <w:shd w:val="clear" w:color="auto" w:fill="DBDBDB"/>
          </w:tcPr>
          <w:p>
            <w:pPr>
              <w:spacing w:after="0"/>
              <w:rPr>
                <w:sz w:val="20"/>
                <w:szCs w:val="20"/>
                <w:color w:val="auto"/>
              </w:rPr>
            </w:pPr>
            <w:r>
              <w:rPr>
                <w:rFonts w:ascii="Times New Roman" w:cs="Times New Roman" w:eastAsia="Times New Roman" w:hAnsi="Times New Roman"/>
                <w:sz w:val="20"/>
                <w:szCs w:val="20"/>
                <w:color w:val="auto"/>
              </w:rPr>
              <w:t>Accrued shipping and tariff expenses</w:t>
            </w:r>
          </w:p>
        </w:tc>
        <w:tc>
          <w:tcPr>
            <w:tcW w:w="110" w:type="dxa"/>
            <w:vAlign w:val="bottom"/>
            <w:tcBorders>
              <w:right w:val="single" w:sz="8" w:color="DBDBDB"/>
            </w:tcBorders>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2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516</w:t>
            </w:r>
          </w:p>
        </w:tc>
        <w:tc>
          <w:tcPr>
            <w:tcW w:w="200" w:type="dxa"/>
            <w:vAlign w:val="bottom"/>
            <w:tcBorders>
              <w:right w:val="single" w:sz="8" w:color="DBDBDB"/>
            </w:tcBorders>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2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803</w:t>
            </w:r>
          </w:p>
        </w:tc>
        <w:tc>
          <w:tcPr>
            <w:tcW w:w="20" w:type="dxa"/>
            <w:vAlign w:val="bottom"/>
            <w:shd w:val="clear" w:color="auto" w:fill="DBDBDB"/>
          </w:tcPr>
          <w:p>
            <w:pPr>
              <w:spacing w:after="0"/>
              <w:rPr>
                <w:sz w:val="20"/>
                <w:szCs w:val="20"/>
                <w:color w:val="auto"/>
              </w:rPr>
            </w:pPr>
          </w:p>
        </w:tc>
      </w:tr>
      <w:tr>
        <w:trPr>
          <w:trHeight w:val="235"/>
        </w:trPr>
        <w:tc>
          <w:tcPr>
            <w:tcW w:w="7410" w:type="dxa"/>
            <w:vAlign w:val="bottom"/>
          </w:tcPr>
          <w:p>
            <w:pPr>
              <w:spacing w:after="0"/>
              <w:rPr>
                <w:sz w:val="20"/>
                <w:szCs w:val="20"/>
                <w:color w:val="auto"/>
              </w:rPr>
            </w:pPr>
            <w:r>
              <w:rPr>
                <w:rFonts w:ascii="Times New Roman" w:cs="Times New Roman" w:eastAsia="Times New Roman" w:hAnsi="Times New Roman"/>
                <w:sz w:val="20"/>
                <w:szCs w:val="20"/>
                <w:color w:val="auto"/>
              </w:rPr>
              <w:t>Advance payments</w:t>
            </w:r>
          </w:p>
        </w:tc>
        <w:tc>
          <w:tcPr>
            <w:tcW w:w="11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288</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188</w:t>
            </w:r>
          </w:p>
        </w:tc>
        <w:tc>
          <w:tcPr>
            <w:tcW w:w="20" w:type="dxa"/>
            <w:vAlign w:val="bottom"/>
          </w:tcPr>
          <w:p>
            <w:pPr>
              <w:spacing w:after="0"/>
              <w:rPr>
                <w:sz w:val="20"/>
                <w:szCs w:val="20"/>
                <w:color w:val="auto"/>
              </w:rPr>
            </w:pPr>
          </w:p>
        </w:tc>
      </w:tr>
      <w:tr>
        <w:trPr>
          <w:trHeight w:val="235"/>
        </w:trPr>
        <w:tc>
          <w:tcPr>
            <w:tcW w:w="7410" w:type="dxa"/>
            <w:vAlign w:val="bottom"/>
            <w:shd w:val="clear" w:color="auto" w:fill="DBDBDB"/>
          </w:tcPr>
          <w:p>
            <w:pPr>
              <w:spacing w:after="0"/>
              <w:rPr>
                <w:sz w:val="20"/>
                <w:szCs w:val="20"/>
                <w:color w:val="auto"/>
              </w:rPr>
            </w:pPr>
            <w:r>
              <w:rPr>
                <w:rFonts w:ascii="Times New Roman" w:cs="Times New Roman" w:eastAsia="Times New Roman" w:hAnsi="Times New Roman"/>
                <w:sz w:val="20"/>
                <w:szCs w:val="20"/>
                <w:color w:val="auto"/>
              </w:rPr>
              <w:t>Accrued commission</w:t>
            </w:r>
          </w:p>
        </w:tc>
        <w:tc>
          <w:tcPr>
            <w:tcW w:w="110" w:type="dxa"/>
            <w:vAlign w:val="bottom"/>
            <w:tcBorders>
              <w:right w:val="single" w:sz="8" w:color="DBDBDB"/>
            </w:tcBorders>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2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1,381</w:t>
            </w:r>
          </w:p>
        </w:tc>
        <w:tc>
          <w:tcPr>
            <w:tcW w:w="200" w:type="dxa"/>
            <w:vAlign w:val="bottom"/>
            <w:tcBorders>
              <w:right w:val="single" w:sz="8" w:color="DBDBDB"/>
            </w:tcBorders>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2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768</w:t>
            </w:r>
          </w:p>
        </w:tc>
        <w:tc>
          <w:tcPr>
            <w:tcW w:w="20" w:type="dxa"/>
            <w:vAlign w:val="bottom"/>
            <w:shd w:val="clear" w:color="auto" w:fill="DBDBDB"/>
          </w:tcPr>
          <w:p>
            <w:pPr>
              <w:spacing w:after="0"/>
              <w:rPr>
                <w:sz w:val="20"/>
                <w:szCs w:val="20"/>
                <w:color w:val="auto"/>
              </w:rPr>
            </w:pPr>
          </w:p>
        </w:tc>
      </w:tr>
      <w:tr>
        <w:trPr>
          <w:trHeight w:val="235"/>
        </w:trPr>
        <w:tc>
          <w:tcPr>
            <w:tcW w:w="7410" w:type="dxa"/>
            <w:vAlign w:val="bottom"/>
          </w:tcPr>
          <w:p>
            <w:pPr>
              <w:spacing w:after="0"/>
              <w:rPr>
                <w:sz w:val="20"/>
                <w:szCs w:val="20"/>
                <w:color w:val="auto"/>
              </w:rPr>
            </w:pPr>
            <w:r>
              <w:rPr>
                <w:rFonts w:ascii="Times New Roman" w:cs="Times New Roman" w:eastAsia="Times New Roman" w:hAnsi="Times New Roman"/>
                <w:sz w:val="20"/>
                <w:szCs w:val="20"/>
                <w:color w:val="auto"/>
              </w:rPr>
              <w:t>Accrued professional fees</w:t>
            </w:r>
          </w:p>
        </w:tc>
        <w:tc>
          <w:tcPr>
            <w:tcW w:w="11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406</w:t>
            </w:r>
          </w:p>
        </w:tc>
        <w:tc>
          <w:tcPr>
            <w:tcW w:w="20" w:type="dxa"/>
            <w:vAlign w:val="bottom"/>
          </w:tcPr>
          <w:p>
            <w:pPr>
              <w:spacing w:after="0"/>
              <w:rPr>
                <w:sz w:val="20"/>
                <w:szCs w:val="20"/>
                <w:color w:val="auto"/>
              </w:rPr>
            </w:pPr>
          </w:p>
        </w:tc>
      </w:tr>
      <w:tr>
        <w:trPr>
          <w:trHeight w:val="235"/>
        </w:trPr>
        <w:tc>
          <w:tcPr>
            <w:tcW w:w="7410" w:type="dxa"/>
            <w:vAlign w:val="bottom"/>
            <w:shd w:val="clear" w:color="auto" w:fill="DBDBDB"/>
          </w:tcPr>
          <w:p>
            <w:pPr>
              <w:spacing w:after="0"/>
              <w:rPr>
                <w:sz w:val="20"/>
                <w:szCs w:val="20"/>
                <w:color w:val="auto"/>
              </w:rPr>
            </w:pPr>
            <w:r>
              <w:rPr>
                <w:rFonts w:ascii="Times New Roman" w:cs="Times New Roman" w:eastAsia="Times New Roman" w:hAnsi="Times New Roman"/>
                <w:sz w:val="20"/>
                <w:szCs w:val="20"/>
                <w:color w:val="auto"/>
              </w:rPr>
              <w:t>Accrued product warranty</w:t>
            </w:r>
          </w:p>
        </w:tc>
        <w:tc>
          <w:tcPr>
            <w:tcW w:w="110" w:type="dxa"/>
            <w:vAlign w:val="bottom"/>
            <w:tcBorders>
              <w:right w:val="single" w:sz="8" w:color="DBDBDB"/>
            </w:tcBorders>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2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480</w:t>
            </w:r>
          </w:p>
        </w:tc>
        <w:tc>
          <w:tcPr>
            <w:tcW w:w="200" w:type="dxa"/>
            <w:vAlign w:val="bottom"/>
            <w:tcBorders>
              <w:right w:val="single" w:sz="8" w:color="DBDBDB"/>
            </w:tcBorders>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2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277</w:t>
            </w:r>
          </w:p>
        </w:tc>
        <w:tc>
          <w:tcPr>
            <w:tcW w:w="20" w:type="dxa"/>
            <w:vAlign w:val="bottom"/>
            <w:shd w:val="clear" w:color="auto" w:fill="DBDBDB"/>
          </w:tcPr>
          <w:p>
            <w:pPr>
              <w:spacing w:after="0"/>
              <w:rPr>
                <w:sz w:val="20"/>
                <w:szCs w:val="20"/>
                <w:color w:val="auto"/>
              </w:rPr>
            </w:pPr>
          </w:p>
        </w:tc>
      </w:tr>
      <w:tr>
        <w:trPr>
          <w:trHeight w:val="238"/>
        </w:trPr>
        <w:tc>
          <w:tcPr>
            <w:tcW w:w="7410" w:type="dxa"/>
            <w:vAlign w:val="bottom"/>
            <w:tcBorders>
              <w:bottom w:val="single" w:sz="8" w:color="DBDBDB"/>
            </w:tcBorders>
          </w:tcPr>
          <w:p>
            <w:pPr>
              <w:spacing w:after="0"/>
              <w:rPr>
                <w:sz w:val="20"/>
                <w:szCs w:val="20"/>
                <w:color w:val="auto"/>
              </w:rPr>
            </w:pPr>
            <w:r>
              <w:rPr>
                <w:rFonts w:ascii="Times New Roman" w:cs="Times New Roman" w:eastAsia="Times New Roman" w:hAnsi="Times New Roman"/>
                <w:sz w:val="20"/>
                <w:szCs w:val="20"/>
                <w:color w:val="auto"/>
              </w:rPr>
              <w:t>Accrued other</w:t>
            </w:r>
          </w:p>
        </w:tc>
        <w:tc>
          <w:tcPr>
            <w:tcW w:w="110" w:type="dxa"/>
            <w:vAlign w:val="bottom"/>
            <w:tcBorders>
              <w:bottom w:val="single" w:sz="8" w:color="DBDBDB"/>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2,791</w:t>
            </w:r>
          </w:p>
        </w:tc>
        <w:tc>
          <w:tcPr>
            <w:tcW w:w="200" w:type="dxa"/>
            <w:vAlign w:val="bottom"/>
            <w:tcBorders>
              <w:bottom w:val="single" w:sz="8" w:color="DBDBDB"/>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1,561</w:t>
            </w:r>
          </w:p>
        </w:tc>
        <w:tc>
          <w:tcPr>
            <w:tcW w:w="20" w:type="dxa"/>
            <w:vAlign w:val="bottom"/>
            <w:tcBorders>
              <w:bottom w:val="single" w:sz="8" w:color="DBDBDB"/>
            </w:tcBorders>
          </w:tcPr>
          <w:p>
            <w:pPr>
              <w:spacing w:after="0"/>
              <w:rPr>
                <w:sz w:val="20"/>
                <w:szCs w:val="20"/>
                <w:color w:val="auto"/>
              </w:rPr>
            </w:pPr>
          </w:p>
        </w:tc>
      </w:tr>
      <w:tr>
        <w:trPr>
          <w:trHeight w:val="262"/>
        </w:trPr>
        <w:tc>
          <w:tcPr>
            <w:tcW w:w="7410" w:type="dxa"/>
            <w:vAlign w:val="bottom"/>
            <w:tcBorders>
              <w:bottom w:val="single" w:sz="8" w:color="DBDBDB"/>
            </w:tcBorders>
            <w:shd w:val="clear" w:color="auto" w:fill="DBDBDB"/>
          </w:tcPr>
          <w:p>
            <w:pPr>
              <w:spacing w:after="0" w:line="220" w:lineRule="exact"/>
              <w:rPr>
                <w:sz w:val="20"/>
                <w:szCs w:val="20"/>
                <w:color w:val="auto"/>
              </w:rPr>
            </w:pPr>
            <w:r>
              <w:rPr>
                <w:rFonts w:ascii="Times New Roman" w:cs="Times New Roman" w:eastAsia="Times New Roman" w:hAnsi="Times New Roman"/>
                <w:sz w:val="20"/>
                <w:szCs w:val="20"/>
                <w:color w:val="auto"/>
              </w:rPr>
              <w:t>Total accrued liabilities</w:t>
            </w:r>
          </w:p>
        </w:tc>
        <w:tc>
          <w:tcPr>
            <w:tcW w:w="110" w:type="dxa"/>
            <w:vAlign w:val="bottom"/>
            <w:tcBorders>
              <w:bottom w:val="single" w:sz="8" w:color="DBDBDB"/>
              <w:right w:val="single" w:sz="8" w:color="DBDBDB"/>
            </w:tcBorders>
            <w:shd w:val="clear" w:color="auto" w:fill="DBDBDB"/>
          </w:tcPr>
          <w:p>
            <w:pPr>
              <w:spacing w:after="0"/>
              <w:rPr>
                <w:sz w:val="22"/>
                <w:szCs w:val="22"/>
                <w:color w:val="auto"/>
              </w:rPr>
            </w:pPr>
          </w:p>
        </w:tc>
        <w:tc>
          <w:tcPr>
            <w:tcW w:w="10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28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rPr>
              <w:t>42,491</w:t>
            </w:r>
          </w:p>
        </w:tc>
        <w:tc>
          <w:tcPr>
            <w:tcW w:w="200" w:type="dxa"/>
            <w:vAlign w:val="bottom"/>
            <w:tcBorders>
              <w:bottom w:val="single" w:sz="8" w:color="DBDBDB"/>
              <w:right w:val="single" w:sz="8" w:color="DBDBDB"/>
            </w:tcBorders>
            <w:shd w:val="clear" w:color="auto" w:fill="DBDBDB"/>
          </w:tcPr>
          <w:p>
            <w:pPr>
              <w:spacing w:after="0"/>
              <w:rPr>
                <w:sz w:val="22"/>
                <w:szCs w:val="22"/>
                <w:color w:val="auto"/>
              </w:rPr>
            </w:pPr>
          </w:p>
        </w:tc>
        <w:tc>
          <w:tcPr>
            <w:tcW w:w="10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28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rPr>
              <w:t>22,091</w:t>
            </w:r>
          </w:p>
        </w:tc>
        <w:tc>
          <w:tcPr>
            <w:tcW w:w="20" w:type="dxa"/>
            <w:vAlign w:val="bottom"/>
            <w:tcBorders>
              <w:bottom w:val="single" w:sz="8" w:color="DBDBDB"/>
            </w:tcBorders>
            <w:shd w:val="clear" w:color="auto" w:fill="DBDBDB"/>
          </w:tcPr>
          <w:p>
            <w:pPr>
              <w:spacing w:after="0"/>
              <w:rPr>
                <w:sz w:val="22"/>
                <w:szCs w:val="22"/>
                <w:color w:val="auto"/>
              </w:rPr>
            </w:pPr>
          </w:p>
        </w:tc>
      </w:tr>
      <w:tr>
        <w:trPr>
          <w:trHeight w:val="20"/>
        </w:trPr>
        <w:tc>
          <w:tcPr>
            <w:tcW w:w="7410" w:type="dxa"/>
            <w:vAlign w:val="bottom"/>
            <w:tcBorders>
              <w:top w:val="single" w:sz="8" w:color="DBDBDB"/>
            </w:tcBorders>
          </w:tcPr>
          <w:p>
            <w:pPr>
              <w:spacing w:after="0" w:line="20" w:lineRule="exact"/>
              <w:rPr>
                <w:sz w:val="1"/>
                <w:szCs w:val="1"/>
                <w:color w:val="auto"/>
              </w:rPr>
            </w:pPr>
          </w:p>
        </w:tc>
        <w:tc>
          <w:tcPr>
            <w:tcW w:w="110" w:type="dxa"/>
            <w:vAlign w:val="bottom"/>
            <w:tcBorders>
              <w:top w:val="single" w:sz="8" w:color="DBDBDB"/>
              <w:right w:val="single" w:sz="8" w:color="auto"/>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DBDBDB"/>
              <w:right w:val="single" w:sz="8" w:color="auto"/>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N—OTHER INCOME AND EXPENSE</w:t>
      </w:r>
    </w:p>
    <w:p>
      <w:pPr>
        <w:spacing w:after="0" w:line="2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Other income and expense consisted of the following for the periods indicated (in thousands):</w:t>
      </w:r>
    </w:p>
    <w:p>
      <w:pPr>
        <w:spacing w:after="0" w:line="222" w:lineRule="exact"/>
        <w:rPr>
          <w:sz w:val="20"/>
          <w:szCs w:val="20"/>
          <w:color w:val="auto"/>
        </w:rPr>
      </w:pPr>
    </w:p>
    <w:tbl>
      <w:tblPr>
        <w:tblLayout w:type="fixed"/>
        <w:tblInd w:w="60" w:type="dxa"/>
        <w:tblCellMar>
          <w:top w:w="0" w:type="dxa"/>
          <w:left w:w="0" w:type="dxa"/>
          <w:bottom w:w="0" w:type="dxa"/>
          <w:right w:w="0" w:type="dxa"/>
        </w:tblCellMar>
      </w:tblPr>
      <w:tr>
        <w:trPr>
          <w:trHeight w:val="257"/>
        </w:trPr>
        <w:tc>
          <w:tcPr>
            <w:tcW w:w="5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600" w:type="dxa"/>
            <w:vAlign w:val="bottom"/>
            <w:tcBorders>
              <w:bottom w:val="single" w:sz="8" w:color="auto"/>
            </w:tcBorders>
            <w:gridSpan w:val="8"/>
          </w:tcPr>
          <w:p>
            <w:pPr>
              <w:jc w:val="right"/>
              <w:ind w:right="62"/>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1040" w:type="dxa"/>
            <w:vAlign w:val="bottom"/>
            <w:tcBorders>
              <w:bottom w:val="single" w:sz="8" w:color="auto"/>
            </w:tcBorders>
          </w:tcPr>
          <w:p>
            <w:pPr>
              <w:spacing w:after="0"/>
              <w:rPr>
                <w:sz w:val="22"/>
                <w:szCs w:val="22"/>
                <w:color w:val="auto"/>
              </w:rPr>
            </w:pPr>
          </w:p>
        </w:tc>
      </w:tr>
      <w:tr>
        <w:trPr>
          <w:trHeight w:val="227"/>
        </w:trPr>
        <w:tc>
          <w:tcPr>
            <w:tcW w:w="5820" w:type="dxa"/>
            <w:vAlign w:val="bottom"/>
            <w:tcBorders>
              <w:bottom w:val="single" w:sz="8" w:color="DBDBDB"/>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920" w:type="dxa"/>
            <w:vAlign w:val="bottom"/>
            <w:tcBorders>
              <w:bottom w:val="single" w:sz="8" w:color="auto"/>
            </w:tcBorders>
          </w:tcPr>
          <w:p>
            <w:pPr>
              <w:jc w:val="right"/>
              <w:spacing w:after="0" w:line="227" w:lineRule="exact"/>
              <w:rPr>
                <w:sz w:val="20"/>
                <w:szCs w:val="20"/>
                <w:color w:val="auto"/>
              </w:rPr>
            </w:pPr>
            <w:r>
              <w:rPr>
                <w:rFonts w:ascii="Times New Roman" w:cs="Times New Roman" w:eastAsia="Times New Roman" w:hAnsi="Times New Roman"/>
                <w:sz w:val="20"/>
                <w:szCs w:val="20"/>
                <w:b w:val="1"/>
                <w:bCs w:val="1"/>
                <w:color w:val="auto"/>
              </w:rPr>
              <w:t>2025</w:t>
            </w:r>
          </w:p>
        </w:tc>
        <w:tc>
          <w:tcPr>
            <w:tcW w:w="460" w:type="dxa"/>
            <w:vAlign w:val="bottom"/>
            <w:tcBorders>
              <w:bottom w:val="single" w:sz="8" w:color="auto"/>
            </w:tcBorders>
          </w:tcPr>
          <w:p>
            <w:pPr>
              <w:spacing w:after="0"/>
              <w:rPr>
                <w:sz w:val="19"/>
                <w:szCs w:val="19"/>
                <w:color w:val="auto"/>
              </w:rPr>
            </w:pPr>
          </w:p>
        </w:tc>
        <w:tc>
          <w:tcPr>
            <w:tcW w:w="200" w:type="dxa"/>
            <w:vAlign w:val="bottom"/>
            <w:tcBorders>
              <w:bottom w:val="single" w:sz="8" w:color="DBDBDB"/>
            </w:tcBorders>
          </w:tcPr>
          <w:p>
            <w:pPr>
              <w:spacing w:after="0"/>
              <w:rPr>
                <w:sz w:val="19"/>
                <w:szCs w:val="19"/>
                <w:color w:val="auto"/>
              </w:rPr>
            </w:pPr>
          </w:p>
        </w:tc>
        <w:tc>
          <w:tcPr>
            <w:tcW w:w="20" w:type="dxa"/>
            <w:vAlign w:val="bottom"/>
            <w:tcBorders>
              <w:bottom w:val="single" w:sz="8" w:color="DBDBDB"/>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02"/>
              <w:spacing w:after="0" w:line="227" w:lineRule="exact"/>
              <w:rPr>
                <w:sz w:val="20"/>
                <w:szCs w:val="20"/>
                <w:color w:val="auto"/>
              </w:rPr>
            </w:pPr>
            <w:r>
              <w:rPr>
                <w:rFonts w:ascii="Times New Roman" w:cs="Times New Roman" w:eastAsia="Times New Roman" w:hAnsi="Times New Roman"/>
                <w:sz w:val="20"/>
                <w:szCs w:val="20"/>
                <w:b w:val="1"/>
                <w:bCs w:val="1"/>
                <w:color w:val="auto"/>
              </w:rPr>
              <w:t>2024</w:t>
            </w:r>
          </w:p>
        </w:tc>
        <w:tc>
          <w:tcPr>
            <w:tcW w:w="180" w:type="dxa"/>
            <w:vAlign w:val="bottom"/>
            <w:tcBorders>
              <w:bottom w:val="single" w:sz="8" w:color="DBDBDB"/>
            </w:tcBorders>
          </w:tcPr>
          <w:p>
            <w:pPr>
              <w:spacing w:after="0"/>
              <w:rPr>
                <w:sz w:val="19"/>
                <w:szCs w:val="19"/>
                <w:color w:val="auto"/>
              </w:rPr>
            </w:pPr>
          </w:p>
        </w:tc>
        <w:tc>
          <w:tcPr>
            <w:tcW w:w="20" w:type="dxa"/>
            <w:vAlign w:val="bottom"/>
            <w:tcBorders>
              <w:bottom w:val="single" w:sz="8" w:color="DBDBD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02"/>
              <w:spacing w:after="0" w:line="227" w:lineRule="exact"/>
              <w:rPr>
                <w:sz w:val="20"/>
                <w:szCs w:val="20"/>
                <w:color w:val="auto"/>
              </w:rPr>
            </w:pPr>
            <w:r>
              <w:rPr>
                <w:rFonts w:ascii="Times New Roman" w:cs="Times New Roman" w:eastAsia="Times New Roman" w:hAnsi="Times New Roman"/>
                <w:sz w:val="20"/>
                <w:szCs w:val="20"/>
                <w:b w:val="1"/>
                <w:bCs w:val="1"/>
                <w:color w:val="auto"/>
              </w:rPr>
              <w:t>2023</w:t>
            </w:r>
          </w:p>
        </w:tc>
      </w:tr>
      <w:tr>
        <w:trPr>
          <w:trHeight w:val="220"/>
        </w:trPr>
        <w:tc>
          <w:tcPr>
            <w:tcW w:w="5820" w:type="dxa"/>
            <w:vAlign w:val="bottom"/>
            <w:tcBorders>
              <w:bottom w:val="single" w:sz="8" w:color="DBDBDB"/>
            </w:tcBorders>
            <w:shd w:val="clear" w:color="auto" w:fill="DBDBDB"/>
          </w:tcPr>
          <w:p>
            <w:pPr>
              <w:spacing w:after="0" w:line="220" w:lineRule="exact"/>
              <w:rPr>
                <w:sz w:val="20"/>
                <w:szCs w:val="20"/>
                <w:color w:val="auto"/>
              </w:rPr>
            </w:pPr>
            <w:r>
              <w:rPr>
                <w:rFonts w:ascii="Times New Roman" w:cs="Times New Roman" w:eastAsia="Times New Roman" w:hAnsi="Times New Roman"/>
                <w:sz w:val="20"/>
                <w:szCs w:val="20"/>
                <w:color w:val="auto"/>
              </w:rPr>
              <w:t>Foreign exchange transaction gain</w:t>
            </w:r>
          </w:p>
        </w:tc>
        <w:tc>
          <w:tcPr>
            <w:tcW w:w="100" w:type="dxa"/>
            <w:vAlign w:val="bottom"/>
            <w:tcBorders>
              <w:bottom w:val="single" w:sz="8" w:color="DBDBDB"/>
            </w:tcBorders>
            <w:shd w:val="clear" w:color="auto" w:fill="DBDBDB"/>
          </w:tcPr>
          <w:p>
            <w:pPr>
              <w:spacing w:after="0"/>
              <w:rPr>
                <w:sz w:val="19"/>
                <w:szCs w:val="19"/>
                <w:color w:val="auto"/>
              </w:rPr>
            </w:pPr>
          </w:p>
        </w:tc>
        <w:tc>
          <w:tcPr>
            <w:tcW w:w="920" w:type="dxa"/>
            <w:vAlign w:val="bottom"/>
            <w:tcBorders>
              <w:bottom w:val="single" w:sz="8" w:color="DBDBDB"/>
            </w:tcBorders>
            <w:shd w:val="clear" w:color="auto" w:fill="DBDBDB"/>
          </w:tcPr>
          <w:p>
            <w:pPr>
              <w:jc w:val="right"/>
              <w:ind w:right="702"/>
              <w:spacing w:after="0" w:line="220" w:lineRule="exact"/>
              <w:rPr>
                <w:sz w:val="20"/>
                <w:szCs w:val="20"/>
                <w:color w:val="auto"/>
              </w:rPr>
            </w:pPr>
            <w:r>
              <w:rPr>
                <w:rFonts w:ascii="Times New Roman" w:cs="Times New Roman" w:eastAsia="Times New Roman" w:hAnsi="Times New Roman"/>
                <w:sz w:val="20"/>
                <w:szCs w:val="20"/>
                <w:color w:val="auto"/>
                <w:highlight w:val="lightGray"/>
                <w:w w:val="99"/>
              </w:rPr>
              <w:t>$</w:t>
            </w:r>
          </w:p>
        </w:tc>
        <w:tc>
          <w:tcPr>
            <w:tcW w:w="46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w w:val="97"/>
              </w:rPr>
              <w:t>2,039</w:t>
            </w:r>
          </w:p>
        </w:tc>
        <w:tc>
          <w:tcPr>
            <w:tcW w:w="200" w:type="dxa"/>
            <w:vAlign w:val="bottom"/>
            <w:tcBorders>
              <w:bottom w:val="single" w:sz="8" w:color="DBDBDB"/>
            </w:tcBorders>
            <w:shd w:val="clear" w:color="auto" w:fill="DBDBDB"/>
          </w:tcPr>
          <w:p>
            <w:pPr>
              <w:spacing w:after="0"/>
              <w:rPr>
                <w:sz w:val="19"/>
                <w:szCs w:val="19"/>
                <w:color w:val="auto"/>
              </w:rPr>
            </w:pPr>
          </w:p>
        </w:tc>
        <w:tc>
          <w:tcPr>
            <w:tcW w:w="20" w:type="dxa"/>
            <w:vAlign w:val="bottom"/>
            <w:tcBorders>
              <w:bottom w:val="single" w:sz="8" w:color="DBDBDB"/>
            </w:tcBorders>
            <w:shd w:val="clear" w:color="auto" w:fill="DBDBDB"/>
          </w:tcPr>
          <w:p>
            <w:pPr>
              <w:spacing w:after="0"/>
              <w:rPr>
                <w:sz w:val="19"/>
                <w:szCs w:val="19"/>
                <w:color w:val="auto"/>
              </w:rPr>
            </w:pPr>
          </w:p>
        </w:tc>
        <w:tc>
          <w:tcPr>
            <w:tcW w:w="10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28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rPr>
              <w:t>144</w:t>
            </w:r>
          </w:p>
        </w:tc>
        <w:tc>
          <w:tcPr>
            <w:tcW w:w="180" w:type="dxa"/>
            <w:vAlign w:val="bottom"/>
            <w:tcBorders>
              <w:bottom w:val="single" w:sz="8" w:color="DBDBDB"/>
            </w:tcBorders>
            <w:shd w:val="clear" w:color="auto" w:fill="DBDBDB"/>
          </w:tcPr>
          <w:p>
            <w:pPr>
              <w:spacing w:after="0"/>
              <w:rPr>
                <w:sz w:val="19"/>
                <w:szCs w:val="19"/>
                <w:color w:val="auto"/>
              </w:rPr>
            </w:pPr>
          </w:p>
        </w:tc>
        <w:tc>
          <w:tcPr>
            <w:tcW w:w="20" w:type="dxa"/>
            <w:vAlign w:val="bottom"/>
            <w:tcBorders>
              <w:bottom w:val="single" w:sz="8" w:color="DBDBDB"/>
            </w:tcBorders>
            <w:shd w:val="clear" w:color="auto" w:fill="DBDBDB"/>
          </w:tcPr>
          <w:p>
            <w:pPr>
              <w:spacing w:after="0"/>
              <w:rPr>
                <w:sz w:val="19"/>
                <w:szCs w:val="19"/>
                <w:color w:val="auto"/>
              </w:rPr>
            </w:pPr>
          </w:p>
        </w:tc>
        <w:tc>
          <w:tcPr>
            <w:tcW w:w="340" w:type="dxa"/>
            <w:vAlign w:val="bottom"/>
            <w:tcBorders>
              <w:bottom w:val="single" w:sz="8" w:color="DBDBDB"/>
            </w:tcBorders>
            <w:shd w:val="clear" w:color="auto" w:fill="DBDBDB"/>
          </w:tcPr>
          <w:p>
            <w:pPr>
              <w:jc w:val="right"/>
              <w:ind w:right="142"/>
              <w:spacing w:after="0" w:line="220"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04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rPr>
              <w:t>711</w:t>
            </w:r>
          </w:p>
        </w:tc>
      </w:tr>
      <w:tr>
        <w:trPr>
          <w:trHeight w:val="220"/>
        </w:trPr>
        <w:tc>
          <w:tcPr>
            <w:tcW w:w="5820" w:type="dxa"/>
            <w:vAlign w:val="bottom"/>
            <w:tcBorders>
              <w:bottom w:val="single" w:sz="8" w:color="DBDBDB"/>
            </w:tcBorders>
          </w:tcPr>
          <w:p>
            <w:pPr>
              <w:spacing w:after="0" w:line="220" w:lineRule="exact"/>
              <w:rPr>
                <w:sz w:val="20"/>
                <w:szCs w:val="20"/>
                <w:color w:val="auto"/>
              </w:rPr>
            </w:pPr>
            <w:r>
              <w:rPr>
                <w:rFonts w:ascii="Times New Roman" w:cs="Times New Roman" w:eastAsia="Times New Roman" w:hAnsi="Times New Roman"/>
                <w:sz w:val="20"/>
                <w:szCs w:val="20"/>
                <w:color w:val="auto"/>
              </w:rPr>
              <w:t>Government subsidy income</w:t>
            </w:r>
          </w:p>
        </w:tc>
        <w:tc>
          <w:tcPr>
            <w:tcW w:w="100" w:type="dxa"/>
            <w:vAlign w:val="bottom"/>
            <w:tcBorders>
              <w:bottom w:val="single" w:sz="8" w:color="DBDBDB"/>
            </w:tcBorders>
          </w:tcPr>
          <w:p>
            <w:pPr>
              <w:spacing w:after="0"/>
              <w:rPr>
                <w:sz w:val="19"/>
                <w:szCs w:val="19"/>
                <w:color w:val="auto"/>
              </w:rPr>
            </w:pPr>
          </w:p>
        </w:tc>
        <w:tc>
          <w:tcPr>
            <w:tcW w:w="920" w:type="dxa"/>
            <w:vAlign w:val="bottom"/>
            <w:tcBorders>
              <w:bottom w:val="single" w:sz="8" w:color="DBDBDB"/>
            </w:tcBorders>
          </w:tcPr>
          <w:p>
            <w:pPr>
              <w:spacing w:after="0"/>
              <w:rPr>
                <w:sz w:val="19"/>
                <w:szCs w:val="19"/>
                <w:color w:val="auto"/>
              </w:rPr>
            </w:pPr>
          </w:p>
        </w:tc>
        <w:tc>
          <w:tcPr>
            <w:tcW w:w="460" w:type="dxa"/>
            <w:vAlign w:val="bottom"/>
            <w:tcBorders>
              <w:bottom w:val="single" w:sz="8" w:color="DBDBDB"/>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97"/>
              </w:rPr>
              <w:t>4,866</w:t>
            </w:r>
          </w:p>
        </w:tc>
        <w:tc>
          <w:tcPr>
            <w:tcW w:w="200" w:type="dxa"/>
            <w:vAlign w:val="bottom"/>
            <w:tcBorders>
              <w:bottom w:val="single" w:sz="8" w:color="DBDBDB"/>
            </w:tcBorders>
          </w:tcPr>
          <w:p>
            <w:pPr>
              <w:spacing w:after="0"/>
              <w:rPr>
                <w:sz w:val="19"/>
                <w:szCs w:val="19"/>
                <w:color w:val="auto"/>
              </w:rPr>
            </w:pPr>
          </w:p>
        </w:tc>
        <w:tc>
          <w:tcPr>
            <w:tcW w:w="20" w:type="dxa"/>
            <w:vAlign w:val="bottom"/>
            <w:tcBorders>
              <w:bottom w:val="single" w:sz="8" w:color="DBDBDB"/>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1280" w:type="dxa"/>
            <w:vAlign w:val="bottom"/>
            <w:tcBorders>
              <w:bottom w:val="single" w:sz="8" w:color="DBDBDB"/>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395</w:t>
            </w:r>
          </w:p>
        </w:tc>
        <w:tc>
          <w:tcPr>
            <w:tcW w:w="180" w:type="dxa"/>
            <w:vAlign w:val="bottom"/>
            <w:tcBorders>
              <w:bottom w:val="single" w:sz="8" w:color="DBDBDB"/>
            </w:tcBorders>
          </w:tcPr>
          <w:p>
            <w:pPr>
              <w:spacing w:after="0"/>
              <w:rPr>
                <w:sz w:val="19"/>
                <w:szCs w:val="19"/>
                <w:color w:val="auto"/>
              </w:rPr>
            </w:pPr>
          </w:p>
        </w:tc>
        <w:tc>
          <w:tcPr>
            <w:tcW w:w="20" w:type="dxa"/>
            <w:vAlign w:val="bottom"/>
            <w:tcBorders>
              <w:bottom w:val="single" w:sz="8" w:color="DBDBDB"/>
            </w:tcBorders>
          </w:tcPr>
          <w:p>
            <w:pPr>
              <w:spacing w:after="0"/>
              <w:rPr>
                <w:sz w:val="19"/>
                <w:szCs w:val="19"/>
                <w:color w:val="auto"/>
              </w:rPr>
            </w:pPr>
          </w:p>
        </w:tc>
        <w:tc>
          <w:tcPr>
            <w:tcW w:w="340" w:type="dxa"/>
            <w:vAlign w:val="bottom"/>
            <w:tcBorders>
              <w:bottom w:val="single" w:sz="8" w:color="DBDBDB"/>
            </w:tcBorders>
          </w:tcPr>
          <w:p>
            <w:pPr>
              <w:spacing w:after="0"/>
              <w:rPr>
                <w:sz w:val="19"/>
                <w:szCs w:val="19"/>
                <w:color w:val="auto"/>
              </w:rPr>
            </w:pPr>
          </w:p>
        </w:tc>
        <w:tc>
          <w:tcPr>
            <w:tcW w:w="1040" w:type="dxa"/>
            <w:vAlign w:val="bottom"/>
            <w:tcBorders>
              <w:bottom w:val="single" w:sz="8" w:color="DBDBDB"/>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937</w:t>
            </w:r>
          </w:p>
        </w:tc>
      </w:tr>
      <w:tr>
        <w:trPr>
          <w:trHeight w:val="212"/>
        </w:trPr>
        <w:tc>
          <w:tcPr>
            <w:tcW w:w="5820" w:type="dxa"/>
            <w:vAlign w:val="bottom"/>
            <w:tcBorders>
              <w:bottom w:val="single" w:sz="8" w:color="DBDBDB"/>
            </w:tcBorders>
            <w:shd w:val="clear" w:color="auto" w:fill="DBDBDB"/>
          </w:tcPr>
          <w:p>
            <w:pPr>
              <w:spacing w:after="0" w:line="210" w:lineRule="exact"/>
              <w:rPr>
                <w:sz w:val="20"/>
                <w:szCs w:val="20"/>
                <w:color w:val="auto"/>
              </w:rPr>
            </w:pPr>
            <w:r>
              <w:rPr>
                <w:rFonts w:ascii="Times New Roman" w:cs="Times New Roman" w:eastAsia="Times New Roman" w:hAnsi="Times New Roman"/>
                <w:sz w:val="20"/>
                <w:szCs w:val="20"/>
                <w:color w:val="auto"/>
              </w:rPr>
              <w:t>Loss on disposal of assets</w:t>
            </w:r>
          </w:p>
        </w:tc>
        <w:tc>
          <w:tcPr>
            <w:tcW w:w="100" w:type="dxa"/>
            <w:vAlign w:val="bottom"/>
            <w:tcBorders>
              <w:bottom w:val="single" w:sz="8" w:color="DBDBDB"/>
            </w:tcBorders>
            <w:shd w:val="clear" w:color="auto" w:fill="DBDBDB"/>
          </w:tcPr>
          <w:p>
            <w:pPr>
              <w:spacing w:after="0"/>
              <w:rPr>
                <w:sz w:val="18"/>
                <w:szCs w:val="18"/>
                <w:color w:val="auto"/>
              </w:rPr>
            </w:pPr>
          </w:p>
        </w:tc>
        <w:tc>
          <w:tcPr>
            <w:tcW w:w="920" w:type="dxa"/>
            <w:vAlign w:val="bottom"/>
            <w:tcBorders>
              <w:bottom w:val="single" w:sz="8" w:color="DBDBDB"/>
            </w:tcBorders>
            <w:shd w:val="clear" w:color="auto" w:fill="DBDBDB"/>
          </w:tcPr>
          <w:p>
            <w:pPr>
              <w:spacing w:after="0"/>
              <w:rPr>
                <w:sz w:val="18"/>
                <w:szCs w:val="18"/>
                <w:color w:val="auto"/>
              </w:rPr>
            </w:pPr>
          </w:p>
        </w:tc>
        <w:tc>
          <w:tcPr>
            <w:tcW w:w="460" w:type="dxa"/>
            <w:vAlign w:val="bottom"/>
            <w:tcBorders>
              <w:bottom w:val="single" w:sz="8" w:color="DBDBDB"/>
            </w:tcBorders>
            <w:shd w:val="clear" w:color="auto" w:fill="DBDBDB"/>
          </w:tcPr>
          <w:p>
            <w:pPr>
              <w:jc w:val="right"/>
              <w:spacing w:after="0" w:line="210" w:lineRule="exact"/>
              <w:rPr>
                <w:sz w:val="20"/>
                <w:szCs w:val="20"/>
                <w:color w:val="auto"/>
              </w:rPr>
            </w:pPr>
            <w:r>
              <w:rPr>
                <w:rFonts w:ascii="Times New Roman" w:cs="Times New Roman" w:eastAsia="Times New Roman" w:hAnsi="Times New Roman"/>
                <w:sz w:val="20"/>
                <w:szCs w:val="20"/>
                <w:color w:val="auto"/>
              </w:rPr>
              <w:t>(38)</w:t>
            </w:r>
          </w:p>
        </w:tc>
        <w:tc>
          <w:tcPr>
            <w:tcW w:w="200" w:type="dxa"/>
            <w:vAlign w:val="bottom"/>
            <w:tcBorders>
              <w:bottom w:val="single" w:sz="8" w:color="DBDBDB"/>
            </w:tcBorders>
            <w:shd w:val="clear" w:color="auto" w:fill="DBDBDB"/>
          </w:tcPr>
          <w:p>
            <w:pPr>
              <w:spacing w:after="0"/>
              <w:rPr>
                <w:sz w:val="18"/>
                <w:szCs w:val="18"/>
                <w:color w:val="auto"/>
              </w:rPr>
            </w:pPr>
          </w:p>
        </w:tc>
        <w:tc>
          <w:tcPr>
            <w:tcW w:w="2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1280" w:type="dxa"/>
            <w:vAlign w:val="bottom"/>
            <w:tcBorders>
              <w:bottom w:val="single" w:sz="8" w:color="DBDBDB"/>
            </w:tcBorders>
            <w:shd w:val="clear" w:color="auto" w:fill="DBDBDB"/>
          </w:tcPr>
          <w:p>
            <w:pPr>
              <w:jc w:val="right"/>
              <w:spacing w:after="0" w:line="210" w:lineRule="exact"/>
              <w:rPr>
                <w:sz w:val="20"/>
                <w:szCs w:val="20"/>
                <w:color w:val="auto"/>
              </w:rPr>
            </w:pPr>
            <w:r>
              <w:rPr>
                <w:rFonts w:ascii="Times New Roman" w:cs="Times New Roman" w:eastAsia="Times New Roman" w:hAnsi="Times New Roman"/>
                <w:sz w:val="20"/>
                <w:szCs w:val="20"/>
                <w:color w:val="auto"/>
              </w:rPr>
              <w:t>(132)</w:t>
            </w:r>
          </w:p>
        </w:tc>
        <w:tc>
          <w:tcPr>
            <w:tcW w:w="180" w:type="dxa"/>
            <w:vAlign w:val="bottom"/>
            <w:tcBorders>
              <w:bottom w:val="single" w:sz="8" w:color="DBDBDB"/>
            </w:tcBorders>
            <w:shd w:val="clear" w:color="auto" w:fill="DBDBDB"/>
          </w:tcPr>
          <w:p>
            <w:pPr>
              <w:spacing w:after="0"/>
              <w:rPr>
                <w:sz w:val="18"/>
                <w:szCs w:val="18"/>
                <w:color w:val="auto"/>
              </w:rPr>
            </w:pPr>
          </w:p>
        </w:tc>
        <w:tc>
          <w:tcPr>
            <w:tcW w:w="20" w:type="dxa"/>
            <w:vAlign w:val="bottom"/>
            <w:tcBorders>
              <w:bottom w:val="single" w:sz="8" w:color="DBDBDB"/>
            </w:tcBorders>
            <w:shd w:val="clear" w:color="auto" w:fill="DBDBDB"/>
          </w:tcPr>
          <w:p>
            <w:pPr>
              <w:spacing w:after="0"/>
              <w:rPr>
                <w:sz w:val="18"/>
                <w:szCs w:val="18"/>
                <w:color w:val="auto"/>
              </w:rPr>
            </w:pPr>
          </w:p>
        </w:tc>
        <w:tc>
          <w:tcPr>
            <w:tcW w:w="340" w:type="dxa"/>
            <w:vAlign w:val="bottom"/>
            <w:tcBorders>
              <w:bottom w:val="single" w:sz="8" w:color="DBDBDB"/>
            </w:tcBorders>
            <w:shd w:val="clear" w:color="auto" w:fill="DBDBDB"/>
          </w:tcPr>
          <w:p>
            <w:pPr>
              <w:spacing w:after="0"/>
              <w:rPr>
                <w:sz w:val="18"/>
                <w:szCs w:val="18"/>
                <w:color w:val="auto"/>
              </w:rPr>
            </w:pPr>
          </w:p>
        </w:tc>
        <w:tc>
          <w:tcPr>
            <w:tcW w:w="1040" w:type="dxa"/>
            <w:vAlign w:val="bottom"/>
            <w:tcBorders>
              <w:bottom w:val="single" w:sz="8" w:color="DBDBDB"/>
            </w:tcBorders>
            <w:shd w:val="clear" w:color="auto" w:fill="DBDBDB"/>
          </w:tcPr>
          <w:p>
            <w:pPr>
              <w:jc w:val="right"/>
              <w:spacing w:after="0" w:line="210" w:lineRule="exact"/>
              <w:rPr>
                <w:sz w:val="20"/>
                <w:szCs w:val="20"/>
                <w:color w:val="auto"/>
              </w:rPr>
            </w:pPr>
            <w:r>
              <w:rPr>
                <w:rFonts w:ascii="Times New Roman" w:cs="Times New Roman" w:eastAsia="Times New Roman" w:hAnsi="Times New Roman"/>
                <w:sz w:val="20"/>
                <w:szCs w:val="20"/>
                <w:color w:val="auto"/>
              </w:rPr>
              <w:t>(51)</w:t>
            </w:r>
          </w:p>
        </w:tc>
      </w:tr>
      <w:tr>
        <w:trPr>
          <w:trHeight w:val="235"/>
        </w:trPr>
        <w:tc>
          <w:tcPr>
            <w:tcW w:w="5920" w:type="dxa"/>
            <w:vAlign w:val="bottom"/>
            <w:tcBorders>
              <w:bottom w:val="single" w:sz="8" w:color="DBDBDB"/>
            </w:tcBorders>
            <w:gridSpan w:val="2"/>
          </w:tcPr>
          <w:p>
            <w:pPr>
              <w:spacing w:after="0"/>
              <w:rPr>
                <w:sz w:val="20"/>
                <w:szCs w:val="20"/>
                <w:color w:val="auto"/>
              </w:rPr>
            </w:pPr>
            <w:r>
              <w:rPr>
                <w:rFonts w:ascii="Times New Roman" w:cs="Times New Roman" w:eastAsia="Times New Roman" w:hAnsi="Times New Roman"/>
                <w:sz w:val="20"/>
                <w:szCs w:val="20"/>
                <w:color w:val="auto"/>
              </w:rPr>
              <w:t>Loss on debt extinguishment</w:t>
            </w:r>
          </w:p>
        </w:tc>
        <w:tc>
          <w:tcPr>
            <w:tcW w:w="920" w:type="dxa"/>
            <w:vAlign w:val="bottom"/>
            <w:tcBorders>
              <w:bottom w:val="single" w:sz="8" w:color="DBDBDB"/>
            </w:tcBorders>
          </w:tcPr>
          <w:p>
            <w:pPr>
              <w:spacing w:after="0"/>
              <w:rPr>
                <w:sz w:val="20"/>
                <w:szCs w:val="20"/>
                <w:color w:val="auto"/>
              </w:rPr>
            </w:pPr>
          </w:p>
        </w:tc>
        <w:tc>
          <w:tcPr>
            <w:tcW w:w="460" w:type="dxa"/>
            <w:vAlign w:val="bottom"/>
            <w:tcBorders>
              <w:bottom w:val="single" w:sz="8" w:color="DBDBDB"/>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bottom w:val="single" w:sz="8" w:color="DBDBDB"/>
            </w:tcBorders>
          </w:tcPr>
          <w:p>
            <w:pPr>
              <w:spacing w:after="0"/>
              <w:rPr>
                <w:sz w:val="20"/>
                <w:szCs w:val="20"/>
                <w:color w:val="auto"/>
              </w:rPr>
            </w:pPr>
          </w:p>
        </w:tc>
        <w:tc>
          <w:tcPr>
            <w:tcW w:w="20" w:type="dxa"/>
            <w:vAlign w:val="bottom"/>
            <w:tcBorders>
              <w:bottom w:val="single" w:sz="8" w:color="DBDBDB"/>
            </w:tcBorders>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1280" w:type="dxa"/>
            <w:vAlign w:val="bottom"/>
            <w:tcBorders>
              <w:bottom w:val="single" w:sz="8" w:color="DBDBDB"/>
            </w:tcBorders>
          </w:tcPr>
          <w:p>
            <w:pPr>
              <w:jc w:val="right"/>
              <w:spacing w:after="0"/>
              <w:rPr>
                <w:sz w:val="20"/>
                <w:szCs w:val="20"/>
                <w:color w:val="auto"/>
              </w:rPr>
            </w:pPr>
            <w:r>
              <w:rPr>
                <w:rFonts w:ascii="Times New Roman" w:cs="Times New Roman" w:eastAsia="Times New Roman" w:hAnsi="Times New Roman"/>
                <w:sz w:val="20"/>
                <w:szCs w:val="20"/>
                <w:color w:val="auto"/>
              </w:rPr>
              <w:t>(111,962)</w:t>
            </w:r>
          </w:p>
        </w:tc>
        <w:tc>
          <w:tcPr>
            <w:tcW w:w="180" w:type="dxa"/>
            <w:vAlign w:val="bottom"/>
            <w:tcBorders>
              <w:bottom w:val="single" w:sz="8" w:color="DBDBDB"/>
            </w:tcBorders>
          </w:tcPr>
          <w:p>
            <w:pPr>
              <w:spacing w:after="0"/>
              <w:rPr>
                <w:sz w:val="20"/>
                <w:szCs w:val="20"/>
                <w:color w:val="auto"/>
              </w:rPr>
            </w:pPr>
          </w:p>
        </w:tc>
        <w:tc>
          <w:tcPr>
            <w:tcW w:w="20" w:type="dxa"/>
            <w:vAlign w:val="bottom"/>
            <w:tcBorders>
              <w:bottom w:val="single" w:sz="8" w:color="DBDBDB"/>
            </w:tcBorders>
          </w:tcPr>
          <w:p>
            <w:pPr>
              <w:spacing w:after="0"/>
              <w:rPr>
                <w:sz w:val="20"/>
                <w:szCs w:val="20"/>
                <w:color w:val="auto"/>
              </w:rPr>
            </w:pPr>
          </w:p>
        </w:tc>
        <w:tc>
          <w:tcPr>
            <w:tcW w:w="340" w:type="dxa"/>
            <w:vAlign w:val="bottom"/>
            <w:tcBorders>
              <w:bottom w:val="single" w:sz="8" w:color="DBDBDB"/>
            </w:tcBorders>
          </w:tcPr>
          <w:p>
            <w:pPr>
              <w:spacing w:after="0"/>
              <w:rPr>
                <w:sz w:val="20"/>
                <w:szCs w:val="20"/>
                <w:color w:val="auto"/>
              </w:rPr>
            </w:pPr>
          </w:p>
        </w:tc>
        <w:tc>
          <w:tcPr>
            <w:tcW w:w="1040" w:type="dxa"/>
            <w:vAlign w:val="bottom"/>
            <w:tcBorders>
              <w:bottom w:val="single" w:sz="8" w:color="DBDBDB"/>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28"/>
        </w:trPr>
        <w:tc>
          <w:tcPr>
            <w:tcW w:w="5820" w:type="dxa"/>
            <w:vAlign w:val="bottom"/>
            <w:tcBorders>
              <w:bottom w:val="single" w:sz="8" w:color="DBDBDB"/>
            </w:tcBorders>
            <w:shd w:val="clear" w:color="auto" w:fill="DBDBDB"/>
          </w:tcPr>
          <w:p>
            <w:pPr>
              <w:spacing w:after="0" w:line="208" w:lineRule="exact"/>
              <w:rPr>
                <w:sz w:val="20"/>
                <w:szCs w:val="20"/>
                <w:color w:val="auto"/>
              </w:rPr>
            </w:pPr>
            <w:r>
              <w:rPr>
                <w:rFonts w:ascii="Times New Roman" w:cs="Times New Roman" w:eastAsia="Times New Roman" w:hAnsi="Times New Roman"/>
                <w:sz w:val="20"/>
                <w:szCs w:val="20"/>
                <w:color w:val="auto"/>
              </w:rPr>
              <w:t>Other non-operating gain (loss)</w:t>
            </w:r>
          </w:p>
        </w:tc>
        <w:tc>
          <w:tcPr>
            <w:tcW w:w="100" w:type="dxa"/>
            <w:vAlign w:val="bottom"/>
            <w:tcBorders>
              <w:bottom w:val="single" w:sz="8" w:color="DBDBDB"/>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spacing w:after="0"/>
              <w:rPr>
                <w:sz w:val="19"/>
                <w:szCs w:val="19"/>
                <w:color w:val="auto"/>
              </w:rPr>
            </w:pPr>
          </w:p>
        </w:tc>
        <w:tc>
          <w:tcPr>
            <w:tcW w:w="460" w:type="dxa"/>
            <w:vAlign w:val="bottom"/>
            <w:tcBorders>
              <w:bottom w:val="single" w:sz="8" w:color="auto"/>
            </w:tcBorders>
            <w:shd w:val="clear" w:color="auto" w:fill="DBDBDB"/>
          </w:tcPr>
          <w:p>
            <w:pPr>
              <w:jc w:val="right"/>
              <w:spacing w:after="0" w:line="208" w:lineRule="exact"/>
              <w:rPr>
                <w:sz w:val="20"/>
                <w:szCs w:val="20"/>
                <w:color w:val="auto"/>
              </w:rPr>
            </w:pPr>
            <w:r>
              <w:rPr>
                <w:rFonts w:ascii="Times New Roman" w:cs="Times New Roman" w:eastAsia="Times New Roman" w:hAnsi="Times New Roman"/>
                <w:sz w:val="20"/>
                <w:szCs w:val="20"/>
                <w:color w:val="auto"/>
                <w:w w:val="97"/>
              </w:rPr>
              <w:t>2,736</w:t>
            </w:r>
          </w:p>
        </w:tc>
        <w:tc>
          <w:tcPr>
            <w:tcW w:w="200" w:type="dxa"/>
            <w:vAlign w:val="bottom"/>
            <w:tcBorders>
              <w:bottom w:val="single" w:sz="8" w:color="DBDBDB"/>
            </w:tcBorders>
            <w:shd w:val="clear" w:color="auto" w:fill="DBDBDB"/>
          </w:tcPr>
          <w:p>
            <w:pPr>
              <w:spacing w:after="0"/>
              <w:rPr>
                <w:sz w:val="19"/>
                <w:szCs w:val="19"/>
                <w:color w:val="auto"/>
              </w:rPr>
            </w:pPr>
          </w:p>
        </w:tc>
        <w:tc>
          <w:tcPr>
            <w:tcW w:w="20" w:type="dxa"/>
            <w:vAlign w:val="bottom"/>
            <w:tcBorders>
              <w:bottom w:val="single" w:sz="8" w:color="DBDBDB"/>
            </w:tcBorders>
            <w:shd w:val="clear" w:color="auto" w:fill="DBDBDB"/>
          </w:tcPr>
          <w:p>
            <w:pPr>
              <w:spacing w:after="0"/>
              <w:rPr>
                <w:sz w:val="19"/>
                <w:szCs w:val="19"/>
                <w:color w:val="auto"/>
              </w:rPr>
            </w:pPr>
          </w:p>
        </w:tc>
        <w:tc>
          <w:tcPr>
            <w:tcW w:w="100" w:type="dxa"/>
            <w:vAlign w:val="bottom"/>
            <w:tcBorders>
              <w:bottom w:val="single" w:sz="8" w:color="auto"/>
            </w:tcBorders>
            <w:shd w:val="clear" w:color="auto" w:fill="DBDBDB"/>
          </w:tcPr>
          <w:p>
            <w:pPr>
              <w:spacing w:after="0"/>
              <w:rPr>
                <w:sz w:val="19"/>
                <w:szCs w:val="19"/>
                <w:color w:val="auto"/>
              </w:rPr>
            </w:pPr>
          </w:p>
        </w:tc>
        <w:tc>
          <w:tcPr>
            <w:tcW w:w="1280" w:type="dxa"/>
            <w:vAlign w:val="bottom"/>
            <w:tcBorders>
              <w:bottom w:val="single" w:sz="8" w:color="auto"/>
            </w:tcBorders>
            <w:shd w:val="clear" w:color="auto" w:fill="DBDBDB"/>
          </w:tcPr>
          <w:p>
            <w:pPr>
              <w:jc w:val="right"/>
              <w:spacing w:after="0" w:line="208" w:lineRule="exact"/>
              <w:rPr>
                <w:sz w:val="20"/>
                <w:szCs w:val="20"/>
                <w:color w:val="auto"/>
              </w:rPr>
            </w:pPr>
            <w:r>
              <w:rPr>
                <w:rFonts w:ascii="Times New Roman" w:cs="Times New Roman" w:eastAsia="Times New Roman" w:hAnsi="Times New Roman"/>
                <w:sz w:val="20"/>
                <w:szCs w:val="20"/>
                <w:color w:val="auto"/>
              </w:rPr>
              <w:t>1,684</w:t>
            </w:r>
          </w:p>
        </w:tc>
        <w:tc>
          <w:tcPr>
            <w:tcW w:w="180" w:type="dxa"/>
            <w:vAlign w:val="bottom"/>
            <w:tcBorders>
              <w:bottom w:val="single" w:sz="8" w:color="DBDBDB"/>
            </w:tcBorders>
            <w:shd w:val="clear" w:color="auto" w:fill="DBDBDB"/>
          </w:tcPr>
          <w:p>
            <w:pPr>
              <w:spacing w:after="0"/>
              <w:rPr>
                <w:sz w:val="19"/>
                <w:szCs w:val="19"/>
                <w:color w:val="auto"/>
              </w:rPr>
            </w:pPr>
          </w:p>
        </w:tc>
        <w:tc>
          <w:tcPr>
            <w:tcW w:w="20" w:type="dxa"/>
            <w:vAlign w:val="bottom"/>
            <w:tcBorders>
              <w:bottom w:val="single" w:sz="8" w:color="DBDBDB"/>
            </w:tcBorders>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line="208" w:lineRule="exact"/>
              <w:rPr>
                <w:sz w:val="20"/>
                <w:szCs w:val="20"/>
                <w:color w:val="auto"/>
              </w:rPr>
            </w:pPr>
            <w:r>
              <w:rPr>
                <w:rFonts w:ascii="Times New Roman" w:cs="Times New Roman" w:eastAsia="Times New Roman" w:hAnsi="Times New Roman"/>
                <w:sz w:val="20"/>
                <w:szCs w:val="20"/>
                <w:color w:val="auto"/>
              </w:rPr>
              <w:t>(7,468)</w:t>
            </w:r>
          </w:p>
        </w:tc>
      </w:tr>
      <w:tr>
        <w:trPr>
          <w:trHeight w:val="233"/>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Total other income (expense), net</w:t>
            </w:r>
          </w:p>
        </w:tc>
        <w:tc>
          <w:tcPr>
            <w:tcW w:w="100" w:type="dxa"/>
            <w:vAlign w:val="bottom"/>
          </w:tcPr>
          <w:p>
            <w:pPr>
              <w:spacing w:after="0"/>
              <w:rPr>
                <w:sz w:val="20"/>
                <w:szCs w:val="20"/>
                <w:color w:val="auto"/>
              </w:rPr>
            </w:pPr>
          </w:p>
        </w:tc>
        <w:tc>
          <w:tcPr>
            <w:tcW w:w="920" w:type="dxa"/>
            <w:vAlign w:val="bottom"/>
            <w:tcBorders>
              <w:bottom w:val="single" w:sz="8" w:color="auto"/>
            </w:tcBorders>
          </w:tcPr>
          <w:p>
            <w:pPr>
              <w:jc w:val="right"/>
              <w:ind w:right="702"/>
              <w:spacing w:after="0"/>
              <w:rPr>
                <w:sz w:val="20"/>
                <w:szCs w:val="20"/>
                <w:color w:val="auto"/>
              </w:rPr>
            </w:pPr>
            <w:r>
              <w:rPr>
                <w:rFonts w:ascii="Times New Roman" w:cs="Times New Roman" w:eastAsia="Times New Roman" w:hAnsi="Times New Roman"/>
                <w:sz w:val="20"/>
                <w:szCs w:val="20"/>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7"/>
              </w:rPr>
              <w:t>9,603</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(109,871)</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(5,871)</w:t>
            </w:r>
          </w:p>
        </w:tc>
      </w:tr>
      <w:tr>
        <w:trPr>
          <w:trHeight w:val="20"/>
        </w:trPr>
        <w:tc>
          <w:tcPr>
            <w:tcW w:w="5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600"/>
          </w:cols>
          <w:pgMar w:left="640" w:top="410"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ectPr>
          <w:pgSz w:w="11880" w:h="15480" w:orient="portrait"/>
          <w:cols w:equalWidth="0" w:num="1">
            <w:col w:w="10600"/>
          </w:cols>
          <w:pgMar w:left="640" w:top="410" w:right="640" w:bottom="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20"/>
          <w:szCs w:val="20"/>
          <w:b w:val="1"/>
          <w:bCs w:val="1"/>
          <w:color w:val="auto"/>
        </w:rPr>
        <w:t>NOTE O—INCOME TAXES</w:t>
      </w:r>
    </w:p>
    <w:p>
      <w:pPr>
        <w:spacing w:after="0" w:line="222" w:lineRule="exact"/>
        <w:rPr>
          <w:sz w:val="20"/>
          <w:szCs w:val="20"/>
          <w:color w:val="auto"/>
        </w:rPr>
      </w:pPr>
    </w:p>
    <w:p>
      <w:pPr>
        <w:ind w:right="700" w:firstLine="706"/>
        <w:spacing w:after="0" w:line="268" w:lineRule="auto"/>
        <w:rPr>
          <w:sz w:val="20"/>
          <w:szCs w:val="20"/>
          <w:color w:val="auto"/>
        </w:rPr>
      </w:pPr>
      <w:r>
        <w:rPr>
          <w:rFonts w:ascii="Times New Roman" w:cs="Times New Roman" w:eastAsia="Times New Roman" w:hAnsi="Times New Roman"/>
          <w:sz w:val="20"/>
          <w:szCs w:val="20"/>
          <w:color w:val="auto"/>
        </w:rPr>
        <w:t>The sources of the Company’s loss from operations before income taxes were as follows for the periods indicated (in thousands):</w:t>
      </w:r>
    </w:p>
    <w:p>
      <w:pPr>
        <w:spacing w:after="0" w:line="166" w:lineRule="exact"/>
        <w:rPr>
          <w:sz w:val="20"/>
          <w:szCs w:val="20"/>
          <w:color w:val="auto"/>
        </w:rPr>
      </w:pPr>
    </w:p>
    <w:tbl>
      <w:tblPr>
        <w:tblLayout w:type="fixed"/>
        <w:tblInd w:w="60" w:type="dxa"/>
        <w:tblCellMar>
          <w:top w:w="0" w:type="dxa"/>
          <w:left w:w="0" w:type="dxa"/>
          <w:bottom w:w="0" w:type="dxa"/>
          <w:right w:w="0" w:type="dxa"/>
        </w:tblCellMar>
      </w:tblPr>
      <w:tr>
        <w:trPr>
          <w:trHeight w:val="255"/>
        </w:trPr>
        <w:tc>
          <w:tcPr>
            <w:tcW w:w="5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420" w:type="dxa"/>
            <w:vAlign w:val="bottom"/>
            <w:tcBorders>
              <w:bottom w:val="single" w:sz="8" w:color="auto"/>
            </w:tcBorders>
            <w:gridSpan w:val="6"/>
          </w:tcPr>
          <w:p>
            <w:pPr>
              <w:jc w:val="right"/>
              <w:ind w:right="42"/>
              <w:spacing w:after="0"/>
              <w:rPr>
                <w:sz w:val="20"/>
                <w:szCs w:val="20"/>
                <w:color w:val="auto"/>
              </w:rPr>
            </w:pPr>
            <w:r>
              <w:rPr>
                <w:rFonts w:ascii="Times New Roman" w:cs="Times New Roman" w:eastAsia="Times New Roman" w:hAnsi="Times New Roman"/>
                <w:sz w:val="20"/>
                <w:szCs w:val="20"/>
                <w:b w:val="1"/>
                <w:bCs w:val="1"/>
                <w:color w:val="auto"/>
              </w:rPr>
              <w:t>Years ended December 31,</w:t>
            </w:r>
          </w:p>
        </w:tc>
        <w:tc>
          <w:tcPr>
            <w:tcW w:w="1020" w:type="dxa"/>
            <w:vAlign w:val="bottom"/>
            <w:tcBorders>
              <w:bottom w:val="single" w:sz="8" w:color="auto"/>
            </w:tcBorders>
          </w:tcPr>
          <w:p>
            <w:pPr>
              <w:spacing w:after="0"/>
              <w:rPr>
                <w:sz w:val="22"/>
                <w:szCs w:val="22"/>
                <w:color w:val="auto"/>
              </w:rPr>
            </w:pPr>
          </w:p>
        </w:tc>
      </w:tr>
      <w:tr>
        <w:trPr>
          <w:trHeight w:val="229"/>
        </w:trPr>
        <w:tc>
          <w:tcPr>
            <w:tcW w:w="5820" w:type="dxa"/>
            <w:vAlign w:val="bottom"/>
            <w:tcBorders>
              <w:bottom w:val="single" w:sz="8" w:color="DBDBDB"/>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20"/>
                <w:szCs w:val="20"/>
                <w:b w:val="1"/>
                <w:bCs w:val="1"/>
                <w:color w:val="auto"/>
              </w:rPr>
              <w:t>2025</w:t>
            </w:r>
          </w:p>
        </w:tc>
        <w:tc>
          <w:tcPr>
            <w:tcW w:w="220" w:type="dxa"/>
            <w:vAlign w:val="bottom"/>
            <w:tcBorders>
              <w:bottom w:val="single" w:sz="8" w:color="DBDBDB"/>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20"/>
                <w:szCs w:val="20"/>
                <w:b w:val="1"/>
                <w:bCs w:val="1"/>
                <w:color w:val="auto"/>
              </w:rPr>
              <w:t>2024</w:t>
            </w:r>
          </w:p>
        </w:tc>
        <w:tc>
          <w:tcPr>
            <w:tcW w:w="20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20"/>
        </w:trPr>
        <w:tc>
          <w:tcPr>
            <w:tcW w:w="5820" w:type="dxa"/>
            <w:vAlign w:val="bottom"/>
            <w:tcBorders>
              <w:bottom w:val="single" w:sz="8" w:color="DBDBDB"/>
            </w:tcBorders>
            <w:shd w:val="clear" w:color="auto" w:fill="DBDBDB"/>
          </w:tcPr>
          <w:p>
            <w:pPr>
              <w:spacing w:after="0" w:line="220" w:lineRule="exact"/>
              <w:rPr>
                <w:sz w:val="20"/>
                <w:szCs w:val="20"/>
                <w:color w:val="auto"/>
              </w:rPr>
            </w:pPr>
            <w:r>
              <w:rPr>
                <w:rFonts w:ascii="Times New Roman" w:cs="Times New Roman" w:eastAsia="Times New Roman" w:hAnsi="Times New Roman"/>
                <w:sz w:val="20"/>
                <w:szCs w:val="20"/>
                <w:color w:val="auto"/>
              </w:rPr>
              <w:t>Domestic</w:t>
            </w:r>
          </w:p>
        </w:tc>
        <w:tc>
          <w:tcPr>
            <w:tcW w:w="100" w:type="dxa"/>
            <w:vAlign w:val="bottom"/>
            <w:tcBorders>
              <w:bottom w:val="single" w:sz="8" w:color="DBDBDB"/>
            </w:tcBorders>
            <w:shd w:val="clear" w:color="auto" w:fill="DBDBDB"/>
          </w:tcPr>
          <w:p>
            <w:pPr>
              <w:spacing w:after="0"/>
              <w:rPr>
                <w:sz w:val="19"/>
                <w:szCs w:val="19"/>
                <w:color w:val="auto"/>
              </w:rPr>
            </w:pPr>
          </w:p>
        </w:tc>
        <w:tc>
          <w:tcPr>
            <w:tcW w:w="12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highlight w:val="lightGray"/>
                <w:w w:val="99"/>
              </w:rPr>
              <w:t>$</w:t>
            </w:r>
          </w:p>
        </w:tc>
        <w:tc>
          <w:tcPr>
            <w:tcW w:w="126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rPr>
              <w:t>(81,667)</w:t>
            </w:r>
          </w:p>
        </w:tc>
        <w:tc>
          <w:tcPr>
            <w:tcW w:w="220" w:type="dxa"/>
            <w:vAlign w:val="bottom"/>
            <w:tcBorders>
              <w:bottom w:val="single" w:sz="8" w:color="DBDBDB"/>
              <w:right w:val="single" w:sz="8" w:color="DBDBDB"/>
            </w:tcBorders>
            <w:shd w:val="clear" w:color="auto" w:fill="DBDBDB"/>
          </w:tcPr>
          <w:p>
            <w:pPr>
              <w:spacing w:after="0"/>
              <w:rPr>
                <w:sz w:val="19"/>
                <w:szCs w:val="19"/>
                <w:color w:val="auto"/>
              </w:rPr>
            </w:pPr>
          </w:p>
        </w:tc>
        <w:tc>
          <w:tcPr>
            <w:tcW w:w="10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28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rPr>
              <w:t>(181,701)</w:t>
            </w:r>
          </w:p>
        </w:tc>
        <w:tc>
          <w:tcPr>
            <w:tcW w:w="200" w:type="dxa"/>
            <w:vAlign w:val="bottom"/>
            <w:tcBorders>
              <w:bottom w:val="single" w:sz="8" w:color="DBDBDB"/>
              <w:right w:val="single" w:sz="8" w:color="DBDBDB"/>
            </w:tcBorders>
            <w:shd w:val="clear" w:color="auto" w:fill="DBDBDB"/>
          </w:tcPr>
          <w:p>
            <w:pPr>
              <w:spacing w:after="0"/>
              <w:rPr>
                <w:sz w:val="19"/>
                <w:szCs w:val="19"/>
                <w:color w:val="auto"/>
              </w:rPr>
            </w:pPr>
          </w:p>
        </w:tc>
        <w:tc>
          <w:tcPr>
            <w:tcW w:w="360" w:type="dxa"/>
            <w:vAlign w:val="bottom"/>
            <w:tcBorders>
              <w:bottom w:val="single" w:sz="8" w:color="DBDBDB"/>
            </w:tcBorders>
            <w:shd w:val="clear" w:color="auto" w:fill="DBDBDB"/>
          </w:tcPr>
          <w:p>
            <w:pPr>
              <w:jc w:val="right"/>
              <w:ind w:right="162"/>
              <w:spacing w:after="0" w:line="220"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02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rPr>
              <w:t>(52,886)</w:t>
            </w:r>
          </w:p>
        </w:tc>
      </w:tr>
      <w:tr>
        <w:trPr>
          <w:trHeight w:val="222"/>
        </w:trPr>
        <w:tc>
          <w:tcPr>
            <w:tcW w:w="5820" w:type="dxa"/>
            <w:vAlign w:val="bottom"/>
            <w:tcBorders>
              <w:bottom w:val="single" w:sz="8" w:color="DBDBDB"/>
            </w:tcBorders>
          </w:tcPr>
          <w:p>
            <w:pPr>
              <w:spacing w:after="0" w:line="222" w:lineRule="exact"/>
              <w:rPr>
                <w:sz w:val="20"/>
                <w:szCs w:val="20"/>
                <w:color w:val="auto"/>
              </w:rPr>
            </w:pPr>
            <w:r>
              <w:rPr>
                <w:rFonts w:ascii="Times New Roman" w:cs="Times New Roman" w:eastAsia="Times New Roman" w:hAnsi="Times New Roman"/>
                <w:sz w:val="20"/>
                <w:szCs w:val="20"/>
                <w:color w:val="auto"/>
              </w:rPr>
              <w:t>Foreign</w:t>
            </w:r>
          </w:p>
        </w:tc>
        <w:tc>
          <w:tcPr>
            <w:tcW w:w="100" w:type="dxa"/>
            <w:vAlign w:val="bottom"/>
            <w:tcBorders>
              <w:bottom w:val="single" w:sz="8" w:color="DBDBD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line="222" w:lineRule="exact"/>
              <w:rPr>
                <w:sz w:val="20"/>
                <w:szCs w:val="20"/>
                <w:color w:val="auto"/>
              </w:rPr>
            </w:pPr>
            <w:r>
              <w:rPr>
                <w:rFonts w:ascii="Times New Roman" w:cs="Times New Roman" w:eastAsia="Times New Roman" w:hAnsi="Times New Roman"/>
                <w:sz w:val="20"/>
                <w:szCs w:val="20"/>
                <w:color w:val="auto"/>
              </w:rPr>
              <w:t>34,963)</w:t>
            </w:r>
          </w:p>
        </w:tc>
        <w:tc>
          <w:tcPr>
            <w:tcW w:w="220" w:type="dxa"/>
            <w:vAlign w:val="bottom"/>
            <w:tcBorders>
              <w:bottom w:val="single" w:sz="8" w:color="DBDBDB"/>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line="222" w:lineRule="exact"/>
              <w:rPr>
                <w:sz w:val="20"/>
                <w:szCs w:val="20"/>
                <w:color w:val="auto"/>
              </w:rPr>
            </w:pPr>
            <w:r>
              <w:rPr>
                <w:rFonts w:ascii="Times New Roman" w:cs="Times New Roman" w:eastAsia="Times New Roman" w:hAnsi="Times New Roman"/>
                <w:sz w:val="20"/>
                <w:szCs w:val="20"/>
                <w:color w:val="auto"/>
              </w:rPr>
              <w:t>(5,030)</w:t>
            </w:r>
          </w:p>
        </w:tc>
        <w:tc>
          <w:tcPr>
            <w:tcW w:w="20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line="222" w:lineRule="exact"/>
              <w:rPr>
                <w:sz w:val="20"/>
                <w:szCs w:val="20"/>
                <w:color w:val="auto"/>
              </w:rPr>
            </w:pPr>
            <w:r>
              <w:rPr>
                <w:rFonts w:ascii="Times New Roman" w:cs="Times New Roman" w:eastAsia="Times New Roman" w:hAnsi="Times New Roman"/>
                <w:sz w:val="20"/>
                <w:szCs w:val="20"/>
                <w:color w:val="auto"/>
              </w:rPr>
              <w:t>(3,153)</w:t>
            </w:r>
          </w:p>
        </w:tc>
      </w:tr>
      <w:tr>
        <w:trPr>
          <w:trHeight w:val="267"/>
        </w:trPr>
        <w:tc>
          <w:tcPr>
            <w:tcW w:w="5820" w:type="dxa"/>
            <w:vAlign w:val="bottom"/>
            <w:tcBorders>
              <w:bottom w:val="single" w:sz="8" w:color="DBDBDB"/>
            </w:tcBorders>
            <w:shd w:val="clear" w:color="auto" w:fill="DBDBDB"/>
          </w:tcPr>
          <w:p>
            <w:pPr>
              <w:spacing w:after="0" w:line="220" w:lineRule="exact"/>
              <w:rPr>
                <w:sz w:val="20"/>
                <w:szCs w:val="20"/>
                <w:color w:val="auto"/>
              </w:rPr>
            </w:pPr>
            <w:r>
              <w:rPr>
                <w:rFonts w:ascii="Times New Roman" w:cs="Times New Roman" w:eastAsia="Times New Roman" w:hAnsi="Times New Roman"/>
                <w:sz w:val="20"/>
                <w:szCs w:val="20"/>
                <w:color w:val="auto"/>
              </w:rPr>
              <w:t>Total loss before income taxes</w:t>
            </w:r>
          </w:p>
        </w:tc>
        <w:tc>
          <w:tcPr>
            <w:tcW w:w="100" w:type="dxa"/>
            <w:vAlign w:val="bottom"/>
            <w:tcBorders>
              <w:bottom w:val="single" w:sz="8" w:color="DBDBDB"/>
            </w:tcBorders>
            <w:shd w:val="clear" w:color="auto" w:fill="DBDBDB"/>
          </w:tcPr>
          <w:p>
            <w:pPr>
              <w:spacing w:after="0"/>
              <w:rPr>
                <w:sz w:val="22"/>
                <w:szCs w:val="22"/>
                <w:color w:val="auto"/>
              </w:rPr>
            </w:pPr>
          </w:p>
        </w:tc>
        <w:tc>
          <w:tcPr>
            <w:tcW w:w="12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highlight w:val="lightGray"/>
                <w:w w:val="99"/>
              </w:rPr>
              <w:t>$</w:t>
            </w:r>
          </w:p>
        </w:tc>
        <w:tc>
          <w:tcPr>
            <w:tcW w:w="126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rPr>
              <w:t>(46,704)</w:t>
            </w:r>
          </w:p>
        </w:tc>
        <w:tc>
          <w:tcPr>
            <w:tcW w:w="220" w:type="dxa"/>
            <w:vAlign w:val="bottom"/>
            <w:tcBorders>
              <w:bottom w:val="single" w:sz="8" w:color="DBDBDB"/>
              <w:right w:val="single" w:sz="8" w:color="DBDBDB"/>
            </w:tcBorders>
            <w:shd w:val="clear" w:color="auto" w:fill="DBDBDB"/>
          </w:tcPr>
          <w:p>
            <w:pPr>
              <w:spacing w:after="0"/>
              <w:rPr>
                <w:sz w:val="22"/>
                <w:szCs w:val="22"/>
                <w:color w:val="auto"/>
              </w:rPr>
            </w:pPr>
          </w:p>
        </w:tc>
        <w:tc>
          <w:tcPr>
            <w:tcW w:w="10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28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rPr>
              <w:t>(186,731)</w:t>
            </w:r>
          </w:p>
        </w:tc>
        <w:tc>
          <w:tcPr>
            <w:tcW w:w="200" w:type="dxa"/>
            <w:vAlign w:val="bottom"/>
            <w:tcBorders>
              <w:bottom w:val="single" w:sz="8" w:color="DBDBDB"/>
              <w:right w:val="single" w:sz="8" w:color="DBDBDB"/>
            </w:tcBorders>
            <w:shd w:val="clear" w:color="auto" w:fill="DBDBDB"/>
          </w:tcPr>
          <w:p>
            <w:pPr>
              <w:spacing w:after="0"/>
              <w:rPr>
                <w:sz w:val="22"/>
                <w:szCs w:val="22"/>
                <w:color w:val="auto"/>
              </w:rPr>
            </w:pPr>
          </w:p>
        </w:tc>
        <w:tc>
          <w:tcPr>
            <w:tcW w:w="360" w:type="dxa"/>
            <w:vAlign w:val="bottom"/>
            <w:tcBorders>
              <w:bottom w:val="single" w:sz="8" w:color="DBDBDB"/>
            </w:tcBorders>
            <w:shd w:val="clear" w:color="auto" w:fill="DBDBDB"/>
          </w:tcPr>
          <w:p>
            <w:pPr>
              <w:jc w:val="right"/>
              <w:ind w:right="162"/>
              <w:spacing w:after="0" w:line="220"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02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rPr>
              <w:t>(56,039)</w:t>
            </w:r>
          </w:p>
        </w:tc>
      </w:tr>
      <w:tr>
        <w:trPr>
          <w:trHeight w:val="20"/>
        </w:trPr>
        <w:tc>
          <w:tcPr>
            <w:tcW w:w="582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DBDBDB"/>
              <w:right w:val="single" w:sz="8" w:color="auto"/>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DBDBDB"/>
              <w:right w:val="single" w:sz="8" w:color="auto"/>
            </w:tcBorders>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r>
    </w:tbl>
    <w:p>
      <w:pPr>
        <w:spacing w:after="0" w:line="20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provision for income tax expense (benefit) for the years ended December 31, was as follows (in thousands):</w:t>
      </w:r>
    </w:p>
    <w:p>
      <w:pPr>
        <w:spacing w:after="0" w:line="224" w:lineRule="exact"/>
        <w:rPr>
          <w:sz w:val="20"/>
          <w:szCs w:val="20"/>
          <w:color w:val="auto"/>
        </w:rPr>
      </w:pPr>
    </w:p>
    <w:tbl>
      <w:tblPr>
        <w:tblLayout w:type="fixed"/>
        <w:tblInd w:w="60" w:type="dxa"/>
        <w:tblCellMar>
          <w:top w:w="0" w:type="dxa"/>
          <w:left w:w="0" w:type="dxa"/>
          <w:bottom w:w="0" w:type="dxa"/>
          <w:right w:w="0" w:type="dxa"/>
        </w:tblCellMar>
      </w:tblPr>
      <w:tr>
        <w:trPr>
          <w:trHeight w:val="255"/>
        </w:trPr>
        <w:tc>
          <w:tcPr>
            <w:tcW w:w="5820" w:type="dxa"/>
            <w:vAlign w:val="bottom"/>
            <w:tcBorders>
              <w:bottom w:val="single" w:sz="8" w:color="DBDBDB"/>
            </w:tcBorders>
          </w:tcPr>
          <w:p>
            <w:pPr>
              <w:spacing w:after="0"/>
              <w:rPr>
                <w:sz w:val="20"/>
                <w:szCs w:val="20"/>
                <w:color w:val="auto"/>
              </w:rPr>
            </w:pPr>
            <w:r>
              <w:rPr>
                <w:rFonts w:ascii="Times New Roman" w:cs="Times New Roman" w:eastAsia="Times New Roman" w:hAnsi="Times New Roman"/>
                <w:sz w:val="20"/>
                <w:szCs w:val="20"/>
                <w:color w:val="auto"/>
              </w:rPr>
              <w:t>Current:</w:t>
            </w:r>
          </w:p>
        </w:tc>
        <w:tc>
          <w:tcPr>
            <w:tcW w:w="100" w:type="dxa"/>
            <w:vAlign w:val="bottom"/>
            <w:tcBorders>
              <w:bottom w:val="single" w:sz="8" w:color="DBDBDB"/>
            </w:tcBorders>
          </w:tcPr>
          <w:p>
            <w:pPr>
              <w:spacing w:after="0"/>
              <w:rPr>
                <w:sz w:val="22"/>
                <w:szCs w:val="22"/>
                <w:color w:val="auto"/>
              </w:rPr>
            </w:pPr>
          </w:p>
        </w:tc>
        <w:tc>
          <w:tcPr>
            <w:tcW w:w="20" w:type="dxa"/>
            <w:vAlign w:val="bottom"/>
            <w:tcBorders>
              <w:bottom w:val="single" w:sz="8" w:color="DBDBDB"/>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20"/>
                <w:szCs w:val="20"/>
                <w:b w:val="1"/>
                <w:bCs w:val="1"/>
                <w:color w:val="auto"/>
              </w:rPr>
              <w:t>2025</w:t>
            </w:r>
          </w:p>
        </w:tc>
        <w:tc>
          <w:tcPr>
            <w:tcW w:w="20" w:type="dxa"/>
            <w:vAlign w:val="bottom"/>
            <w:tcBorders>
              <w:bottom w:val="single" w:sz="8" w:color="DBDBDB"/>
            </w:tcBorders>
          </w:tcPr>
          <w:p>
            <w:pPr>
              <w:spacing w:after="0"/>
              <w:rPr>
                <w:sz w:val="22"/>
                <w:szCs w:val="22"/>
                <w:color w:val="auto"/>
              </w:rPr>
            </w:pPr>
          </w:p>
        </w:tc>
        <w:tc>
          <w:tcPr>
            <w:tcW w:w="80" w:type="dxa"/>
            <w:vAlign w:val="bottom"/>
            <w:tcBorders>
              <w:bottom w:val="single" w:sz="8" w:color="DBDBDB"/>
            </w:tcBorders>
          </w:tcPr>
          <w:p>
            <w:pPr>
              <w:spacing w:after="0"/>
              <w:rPr>
                <w:sz w:val="22"/>
                <w:szCs w:val="22"/>
                <w:color w:val="auto"/>
              </w:rPr>
            </w:pPr>
          </w:p>
        </w:tc>
        <w:tc>
          <w:tcPr>
            <w:tcW w:w="100" w:type="dxa"/>
            <w:vAlign w:val="bottom"/>
            <w:tcBorders>
              <w:bottom w:val="single" w:sz="8" w:color="DBDBDB"/>
            </w:tcBorders>
          </w:tcPr>
          <w:p>
            <w:pPr>
              <w:spacing w:after="0"/>
              <w:rPr>
                <w:sz w:val="22"/>
                <w:szCs w:val="22"/>
                <w:color w:val="auto"/>
              </w:rPr>
            </w:pPr>
          </w:p>
        </w:tc>
        <w:tc>
          <w:tcPr>
            <w:tcW w:w="20" w:type="dxa"/>
            <w:vAlign w:val="bottom"/>
            <w:tcBorders>
              <w:bottom w:val="single" w:sz="8" w:color="DBDBDB"/>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20"/>
                <w:szCs w:val="20"/>
                <w:b w:val="1"/>
                <w:bCs w:val="1"/>
                <w:color w:val="auto"/>
              </w:rPr>
              <w:t>2024</w:t>
            </w:r>
          </w:p>
        </w:tc>
        <w:tc>
          <w:tcPr>
            <w:tcW w:w="100" w:type="dxa"/>
            <w:vAlign w:val="bottom"/>
            <w:tcBorders>
              <w:bottom w:val="single" w:sz="8" w:color="DBDBDB"/>
            </w:tcBorders>
          </w:tcPr>
          <w:p>
            <w:pPr>
              <w:spacing w:after="0"/>
              <w:rPr>
                <w:sz w:val="22"/>
                <w:szCs w:val="22"/>
                <w:color w:val="auto"/>
              </w:rPr>
            </w:pPr>
          </w:p>
        </w:tc>
        <w:tc>
          <w:tcPr>
            <w:tcW w:w="80" w:type="dxa"/>
            <w:vAlign w:val="bottom"/>
            <w:tcBorders>
              <w:bottom w:val="single" w:sz="8" w:color="DBDBDB"/>
            </w:tcBorders>
          </w:tcPr>
          <w:p>
            <w:pPr>
              <w:spacing w:after="0"/>
              <w:rPr>
                <w:sz w:val="22"/>
                <w:szCs w:val="22"/>
                <w:color w:val="auto"/>
              </w:rPr>
            </w:pPr>
          </w:p>
        </w:tc>
        <w:tc>
          <w:tcPr>
            <w:tcW w:w="20" w:type="dxa"/>
            <w:vAlign w:val="bottom"/>
            <w:tcBorders>
              <w:bottom w:val="single" w:sz="8" w:color="DBDBDB"/>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20"/>
                <w:szCs w:val="20"/>
                <w:b w:val="1"/>
                <w:bCs w:val="1"/>
                <w:color w:val="auto"/>
              </w:rPr>
              <w:t>2023</w:t>
            </w:r>
          </w:p>
        </w:tc>
        <w:tc>
          <w:tcPr>
            <w:tcW w:w="20" w:type="dxa"/>
            <w:vAlign w:val="bottom"/>
            <w:tcBorders>
              <w:bottom w:val="single" w:sz="8" w:color="DBDBDB"/>
            </w:tcBorders>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5820" w:type="dxa"/>
            <w:vAlign w:val="bottom"/>
            <w:tcBorders>
              <w:bottom w:val="single" w:sz="8" w:color="DBDBDB"/>
            </w:tcBorders>
            <w:shd w:val="clear" w:color="auto" w:fill="DBDBDB"/>
          </w:tcPr>
          <w:p>
            <w:pPr>
              <w:ind w:left="180"/>
              <w:spacing w:after="0" w:line="220" w:lineRule="exact"/>
              <w:rPr>
                <w:sz w:val="20"/>
                <w:szCs w:val="20"/>
                <w:color w:val="auto"/>
              </w:rPr>
            </w:pPr>
            <w:r>
              <w:rPr>
                <w:rFonts w:ascii="Times New Roman" w:cs="Times New Roman" w:eastAsia="Times New Roman" w:hAnsi="Times New Roman"/>
                <w:sz w:val="20"/>
                <w:szCs w:val="20"/>
                <w:color w:val="auto"/>
              </w:rPr>
              <w:t>Federal</w:t>
            </w:r>
          </w:p>
        </w:tc>
        <w:tc>
          <w:tcPr>
            <w:tcW w:w="100" w:type="dxa"/>
            <w:vAlign w:val="bottom"/>
            <w:tcBorders>
              <w:bottom w:val="single" w:sz="8" w:color="DBDBDB"/>
            </w:tcBorders>
            <w:shd w:val="clear" w:color="auto" w:fill="DBDBDB"/>
          </w:tcPr>
          <w:p>
            <w:pPr>
              <w:spacing w:after="0"/>
              <w:rPr>
                <w:sz w:val="19"/>
                <w:szCs w:val="19"/>
                <w:color w:val="auto"/>
              </w:rPr>
            </w:pPr>
          </w:p>
        </w:tc>
        <w:tc>
          <w:tcPr>
            <w:tcW w:w="20" w:type="dxa"/>
            <w:vAlign w:val="bottom"/>
            <w:tcBorders>
              <w:bottom w:val="single" w:sz="8" w:color="DBDBDB"/>
            </w:tcBorders>
            <w:shd w:val="clear" w:color="auto" w:fill="DBDBDB"/>
          </w:tcPr>
          <w:p>
            <w:pPr>
              <w:spacing w:after="0"/>
              <w:rPr>
                <w:sz w:val="19"/>
                <w:szCs w:val="19"/>
                <w:color w:val="auto"/>
              </w:rPr>
            </w:pPr>
          </w:p>
        </w:tc>
        <w:tc>
          <w:tcPr>
            <w:tcW w:w="10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26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DBDBDB"/>
            </w:tcBorders>
            <w:shd w:val="clear" w:color="auto" w:fill="DBDBDB"/>
          </w:tcPr>
          <w:p>
            <w:pPr>
              <w:spacing w:after="0"/>
              <w:rPr>
                <w:sz w:val="19"/>
                <w:szCs w:val="19"/>
                <w:color w:val="auto"/>
              </w:rPr>
            </w:pPr>
          </w:p>
        </w:tc>
        <w:tc>
          <w:tcPr>
            <w:tcW w:w="80" w:type="dxa"/>
            <w:vAlign w:val="bottom"/>
            <w:tcBorders>
              <w:bottom w:val="single" w:sz="8" w:color="DBDBDB"/>
            </w:tcBorders>
            <w:shd w:val="clear" w:color="auto" w:fill="DBDBDB"/>
          </w:tcPr>
          <w:p>
            <w:pPr>
              <w:spacing w:after="0"/>
              <w:rPr>
                <w:sz w:val="19"/>
                <w:szCs w:val="19"/>
                <w:color w:val="auto"/>
              </w:rPr>
            </w:pPr>
          </w:p>
        </w:tc>
        <w:tc>
          <w:tcPr>
            <w:tcW w:w="100" w:type="dxa"/>
            <w:vAlign w:val="bottom"/>
            <w:tcBorders>
              <w:bottom w:val="single" w:sz="8" w:color="DBDBDB"/>
            </w:tcBorders>
            <w:shd w:val="clear" w:color="auto" w:fill="DBDBDB"/>
          </w:tcPr>
          <w:p>
            <w:pPr>
              <w:spacing w:after="0"/>
              <w:rPr>
                <w:sz w:val="19"/>
                <w:szCs w:val="19"/>
                <w:color w:val="auto"/>
              </w:rPr>
            </w:pPr>
          </w:p>
        </w:tc>
        <w:tc>
          <w:tcPr>
            <w:tcW w:w="20" w:type="dxa"/>
            <w:vAlign w:val="bottom"/>
            <w:tcBorders>
              <w:bottom w:val="single" w:sz="8" w:color="DBDBDB"/>
            </w:tcBorders>
            <w:shd w:val="clear" w:color="auto" w:fill="DBDBDB"/>
          </w:tcPr>
          <w:p>
            <w:pPr>
              <w:spacing w:after="0"/>
              <w:rPr>
                <w:sz w:val="19"/>
                <w:szCs w:val="19"/>
                <w:color w:val="auto"/>
              </w:rPr>
            </w:pPr>
          </w:p>
        </w:tc>
        <w:tc>
          <w:tcPr>
            <w:tcW w:w="10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28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DBDBDB"/>
            </w:tcBorders>
            <w:shd w:val="clear" w:color="auto" w:fill="DBDBDB"/>
          </w:tcPr>
          <w:p>
            <w:pPr>
              <w:spacing w:after="0"/>
              <w:rPr>
                <w:sz w:val="19"/>
                <w:szCs w:val="19"/>
                <w:color w:val="auto"/>
              </w:rPr>
            </w:pPr>
          </w:p>
        </w:tc>
        <w:tc>
          <w:tcPr>
            <w:tcW w:w="80" w:type="dxa"/>
            <w:vAlign w:val="bottom"/>
            <w:tcBorders>
              <w:bottom w:val="single" w:sz="8" w:color="DBDBDB"/>
            </w:tcBorders>
            <w:shd w:val="clear" w:color="auto" w:fill="DBDBDB"/>
          </w:tcPr>
          <w:p>
            <w:pPr>
              <w:spacing w:after="0"/>
              <w:rPr>
                <w:sz w:val="19"/>
                <w:szCs w:val="19"/>
                <w:color w:val="auto"/>
              </w:rPr>
            </w:pPr>
          </w:p>
        </w:tc>
        <w:tc>
          <w:tcPr>
            <w:tcW w:w="20" w:type="dxa"/>
            <w:vAlign w:val="bottom"/>
            <w:tcBorders>
              <w:bottom w:val="single" w:sz="8" w:color="DBDBDB"/>
            </w:tcBorders>
            <w:shd w:val="clear" w:color="auto" w:fill="DBDBDB"/>
          </w:tcPr>
          <w:p>
            <w:pPr>
              <w:spacing w:after="0"/>
              <w:rPr>
                <w:sz w:val="19"/>
                <w:szCs w:val="19"/>
                <w:color w:val="auto"/>
              </w:rPr>
            </w:pPr>
          </w:p>
        </w:tc>
        <w:tc>
          <w:tcPr>
            <w:tcW w:w="10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28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DBDBDB"/>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820" w:type="dxa"/>
            <w:vAlign w:val="bottom"/>
            <w:tcBorders>
              <w:bottom w:val="single" w:sz="8" w:color="DBDBDB"/>
            </w:tcBorders>
          </w:tcPr>
          <w:p>
            <w:pPr>
              <w:ind w:left="180"/>
              <w:spacing w:after="0" w:line="220" w:lineRule="exact"/>
              <w:rPr>
                <w:sz w:val="20"/>
                <w:szCs w:val="20"/>
                <w:color w:val="auto"/>
              </w:rPr>
            </w:pPr>
            <w:r>
              <w:rPr>
                <w:rFonts w:ascii="Times New Roman" w:cs="Times New Roman" w:eastAsia="Times New Roman" w:hAnsi="Times New Roman"/>
                <w:sz w:val="20"/>
                <w:szCs w:val="20"/>
                <w:color w:val="auto"/>
              </w:rPr>
              <w:t>State</w:t>
            </w:r>
          </w:p>
        </w:tc>
        <w:tc>
          <w:tcPr>
            <w:tcW w:w="100" w:type="dxa"/>
            <w:vAlign w:val="bottom"/>
            <w:tcBorders>
              <w:bottom w:val="single" w:sz="8" w:color="DBDBDB"/>
            </w:tcBorders>
          </w:tcPr>
          <w:p>
            <w:pPr>
              <w:spacing w:after="0"/>
              <w:rPr>
                <w:sz w:val="19"/>
                <w:szCs w:val="19"/>
                <w:color w:val="auto"/>
              </w:rPr>
            </w:pPr>
          </w:p>
        </w:tc>
        <w:tc>
          <w:tcPr>
            <w:tcW w:w="20" w:type="dxa"/>
            <w:vAlign w:val="bottom"/>
            <w:tcBorders>
              <w:bottom w:val="single" w:sz="8" w:color="DBDBDB"/>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1260" w:type="dxa"/>
            <w:vAlign w:val="bottom"/>
            <w:tcBorders>
              <w:bottom w:val="single" w:sz="8" w:color="DBDBDB"/>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w:t>
            </w:r>
          </w:p>
        </w:tc>
        <w:tc>
          <w:tcPr>
            <w:tcW w:w="20" w:type="dxa"/>
            <w:vAlign w:val="bottom"/>
            <w:tcBorders>
              <w:bottom w:val="single" w:sz="8" w:color="DBDBDB"/>
            </w:tcBorders>
          </w:tcPr>
          <w:p>
            <w:pPr>
              <w:spacing w:after="0"/>
              <w:rPr>
                <w:sz w:val="19"/>
                <w:szCs w:val="19"/>
                <w:color w:val="auto"/>
              </w:rPr>
            </w:pPr>
          </w:p>
        </w:tc>
        <w:tc>
          <w:tcPr>
            <w:tcW w:w="80" w:type="dxa"/>
            <w:vAlign w:val="bottom"/>
            <w:tcBorders>
              <w:bottom w:val="single" w:sz="8" w:color="DBDBDB"/>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20" w:type="dxa"/>
            <w:vAlign w:val="bottom"/>
            <w:tcBorders>
              <w:bottom w:val="single" w:sz="8" w:color="DBDBDB"/>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1280" w:type="dxa"/>
            <w:vAlign w:val="bottom"/>
            <w:tcBorders>
              <w:bottom w:val="single" w:sz="8" w:color="DBDBDB"/>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w:t>
            </w:r>
          </w:p>
        </w:tc>
        <w:tc>
          <w:tcPr>
            <w:tcW w:w="100" w:type="dxa"/>
            <w:vAlign w:val="bottom"/>
            <w:tcBorders>
              <w:bottom w:val="single" w:sz="8" w:color="DBDBDB"/>
            </w:tcBorders>
          </w:tcPr>
          <w:p>
            <w:pPr>
              <w:spacing w:after="0"/>
              <w:rPr>
                <w:sz w:val="19"/>
                <w:szCs w:val="19"/>
                <w:color w:val="auto"/>
              </w:rPr>
            </w:pPr>
          </w:p>
        </w:tc>
        <w:tc>
          <w:tcPr>
            <w:tcW w:w="80" w:type="dxa"/>
            <w:vAlign w:val="bottom"/>
            <w:tcBorders>
              <w:bottom w:val="single" w:sz="8" w:color="DBDBDB"/>
            </w:tcBorders>
          </w:tcPr>
          <w:p>
            <w:pPr>
              <w:spacing w:after="0"/>
              <w:rPr>
                <w:sz w:val="19"/>
                <w:szCs w:val="19"/>
                <w:color w:val="auto"/>
              </w:rPr>
            </w:pPr>
          </w:p>
        </w:tc>
        <w:tc>
          <w:tcPr>
            <w:tcW w:w="20" w:type="dxa"/>
            <w:vAlign w:val="bottom"/>
            <w:tcBorders>
              <w:bottom w:val="single" w:sz="8" w:color="DBDBDB"/>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1280" w:type="dxa"/>
            <w:vAlign w:val="bottom"/>
            <w:tcBorders>
              <w:bottom w:val="single" w:sz="8" w:color="DBDBDB"/>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w:t>
            </w:r>
          </w:p>
        </w:tc>
        <w:tc>
          <w:tcPr>
            <w:tcW w:w="20" w:type="dxa"/>
            <w:vAlign w:val="bottom"/>
            <w:tcBorders>
              <w:bottom w:val="single" w:sz="8" w:color="DBDBDB"/>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820" w:type="dxa"/>
            <w:vAlign w:val="bottom"/>
            <w:tcBorders>
              <w:bottom w:val="single" w:sz="8" w:color="DBDBDB"/>
            </w:tcBorders>
            <w:shd w:val="clear" w:color="auto" w:fill="DBDBDB"/>
          </w:tcPr>
          <w:p>
            <w:pPr>
              <w:ind w:left="180"/>
              <w:spacing w:after="0" w:line="208" w:lineRule="exact"/>
              <w:rPr>
                <w:sz w:val="20"/>
                <w:szCs w:val="20"/>
                <w:color w:val="auto"/>
              </w:rPr>
            </w:pPr>
            <w:r>
              <w:rPr>
                <w:rFonts w:ascii="Times New Roman" w:cs="Times New Roman" w:eastAsia="Times New Roman" w:hAnsi="Times New Roman"/>
                <w:sz w:val="20"/>
                <w:szCs w:val="20"/>
                <w:color w:val="auto"/>
              </w:rPr>
              <w:t>Foreign</w:t>
            </w:r>
          </w:p>
        </w:tc>
        <w:tc>
          <w:tcPr>
            <w:tcW w:w="100" w:type="dxa"/>
            <w:vAlign w:val="bottom"/>
            <w:tcBorders>
              <w:bottom w:val="single" w:sz="8" w:color="DBDBDB"/>
            </w:tcBorders>
            <w:shd w:val="clear" w:color="auto" w:fill="DBDBDB"/>
          </w:tcPr>
          <w:p>
            <w:pPr>
              <w:spacing w:after="0"/>
              <w:rPr>
                <w:sz w:val="19"/>
                <w:szCs w:val="19"/>
                <w:color w:val="auto"/>
              </w:rPr>
            </w:pPr>
          </w:p>
        </w:tc>
        <w:tc>
          <w:tcPr>
            <w:tcW w:w="20" w:type="dxa"/>
            <w:vAlign w:val="bottom"/>
            <w:tcBorders>
              <w:bottom w:val="single" w:sz="8" w:color="DBDBDB"/>
            </w:tcBorders>
            <w:shd w:val="clear" w:color="auto" w:fill="DBDBDB"/>
          </w:tcPr>
          <w:p>
            <w:pPr>
              <w:spacing w:after="0"/>
              <w:rPr>
                <w:sz w:val="19"/>
                <w:szCs w:val="19"/>
                <w:color w:val="auto"/>
              </w:rPr>
            </w:pPr>
          </w:p>
        </w:tc>
        <w:tc>
          <w:tcPr>
            <w:tcW w:w="100" w:type="dxa"/>
            <w:vAlign w:val="bottom"/>
            <w:tcBorders>
              <w:bottom w:val="single" w:sz="8" w:color="auto"/>
            </w:tcBorders>
            <w:shd w:val="clear" w:color="auto" w:fill="DBDBDB"/>
          </w:tcPr>
          <w:p>
            <w:pPr>
              <w:spacing w:after="0"/>
              <w:rPr>
                <w:sz w:val="19"/>
                <w:szCs w:val="19"/>
                <w:color w:val="auto"/>
              </w:rPr>
            </w:pPr>
          </w:p>
        </w:tc>
        <w:tc>
          <w:tcPr>
            <w:tcW w:w="1260" w:type="dxa"/>
            <w:vAlign w:val="bottom"/>
            <w:tcBorders>
              <w:bottom w:val="single" w:sz="8" w:color="auto"/>
            </w:tcBorders>
            <w:shd w:val="clear" w:color="auto" w:fill="DBDBDB"/>
          </w:tcPr>
          <w:p>
            <w:pPr>
              <w:jc w:val="right"/>
              <w:spacing w:after="0" w:line="208"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DBDBDB"/>
            </w:tcBorders>
            <w:shd w:val="clear" w:color="auto" w:fill="DBDBDB"/>
          </w:tcPr>
          <w:p>
            <w:pPr>
              <w:spacing w:after="0"/>
              <w:rPr>
                <w:sz w:val="19"/>
                <w:szCs w:val="19"/>
                <w:color w:val="auto"/>
              </w:rPr>
            </w:pPr>
          </w:p>
        </w:tc>
        <w:tc>
          <w:tcPr>
            <w:tcW w:w="80" w:type="dxa"/>
            <w:vAlign w:val="bottom"/>
            <w:tcBorders>
              <w:bottom w:val="single" w:sz="8" w:color="DBDBDB"/>
            </w:tcBorders>
            <w:shd w:val="clear" w:color="auto" w:fill="DBDBDB"/>
          </w:tcPr>
          <w:p>
            <w:pPr>
              <w:spacing w:after="0"/>
              <w:rPr>
                <w:sz w:val="19"/>
                <w:szCs w:val="19"/>
                <w:color w:val="auto"/>
              </w:rPr>
            </w:pPr>
          </w:p>
        </w:tc>
        <w:tc>
          <w:tcPr>
            <w:tcW w:w="100" w:type="dxa"/>
            <w:vAlign w:val="bottom"/>
            <w:tcBorders>
              <w:bottom w:val="single" w:sz="8" w:color="DBDBDB"/>
            </w:tcBorders>
            <w:shd w:val="clear" w:color="auto" w:fill="DBDBDB"/>
          </w:tcPr>
          <w:p>
            <w:pPr>
              <w:spacing w:after="0"/>
              <w:rPr>
                <w:sz w:val="19"/>
                <w:szCs w:val="19"/>
                <w:color w:val="auto"/>
              </w:rPr>
            </w:pPr>
          </w:p>
        </w:tc>
        <w:tc>
          <w:tcPr>
            <w:tcW w:w="20" w:type="dxa"/>
            <w:vAlign w:val="bottom"/>
            <w:tcBorders>
              <w:bottom w:val="single" w:sz="8" w:color="DBDBDB"/>
            </w:tcBorders>
            <w:shd w:val="clear" w:color="auto" w:fill="DBDBDB"/>
          </w:tcPr>
          <w:p>
            <w:pPr>
              <w:spacing w:after="0"/>
              <w:rPr>
                <w:sz w:val="19"/>
                <w:szCs w:val="19"/>
                <w:color w:val="auto"/>
              </w:rPr>
            </w:pPr>
          </w:p>
        </w:tc>
        <w:tc>
          <w:tcPr>
            <w:tcW w:w="100" w:type="dxa"/>
            <w:vAlign w:val="bottom"/>
            <w:tcBorders>
              <w:bottom w:val="single" w:sz="8" w:color="auto"/>
            </w:tcBorders>
            <w:shd w:val="clear" w:color="auto" w:fill="DBDBDB"/>
          </w:tcPr>
          <w:p>
            <w:pPr>
              <w:spacing w:after="0"/>
              <w:rPr>
                <w:sz w:val="19"/>
                <w:szCs w:val="19"/>
                <w:color w:val="auto"/>
              </w:rPr>
            </w:pPr>
          </w:p>
        </w:tc>
        <w:tc>
          <w:tcPr>
            <w:tcW w:w="1280" w:type="dxa"/>
            <w:vAlign w:val="bottom"/>
            <w:tcBorders>
              <w:bottom w:val="single" w:sz="8" w:color="auto"/>
            </w:tcBorders>
            <w:shd w:val="clear" w:color="auto" w:fill="DBDBDB"/>
          </w:tcPr>
          <w:p>
            <w:pPr>
              <w:jc w:val="right"/>
              <w:spacing w:after="0" w:line="208"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DBDBDB"/>
            </w:tcBorders>
            <w:shd w:val="clear" w:color="auto" w:fill="DBDBDB"/>
          </w:tcPr>
          <w:p>
            <w:pPr>
              <w:spacing w:after="0"/>
              <w:rPr>
                <w:sz w:val="19"/>
                <w:szCs w:val="19"/>
                <w:color w:val="auto"/>
              </w:rPr>
            </w:pPr>
          </w:p>
        </w:tc>
        <w:tc>
          <w:tcPr>
            <w:tcW w:w="80" w:type="dxa"/>
            <w:vAlign w:val="bottom"/>
            <w:tcBorders>
              <w:bottom w:val="single" w:sz="8" w:color="DBDBDB"/>
            </w:tcBorders>
            <w:shd w:val="clear" w:color="auto" w:fill="DBDBDB"/>
          </w:tcPr>
          <w:p>
            <w:pPr>
              <w:spacing w:after="0"/>
              <w:rPr>
                <w:sz w:val="19"/>
                <w:szCs w:val="19"/>
                <w:color w:val="auto"/>
              </w:rPr>
            </w:pPr>
          </w:p>
        </w:tc>
        <w:tc>
          <w:tcPr>
            <w:tcW w:w="20" w:type="dxa"/>
            <w:vAlign w:val="bottom"/>
            <w:tcBorders>
              <w:bottom w:val="single" w:sz="8" w:color="DBDBDB"/>
            </w:tcBorders>
            <w:shd w:val="clear" w:color="auto" w:fill="DBDBDB"/>
          </w:tcPr>
          <w:p>
            <w:pPr>
              <w:spacing w:after="0"/>
              <w:rPr>
                <w:sz w:val="19"/>
                <w:szCs w:val="19"/>
                <w:color w:val="auto"/>
              </w:rPr>
            </w:pPr>
          </w:p>
        </w:tc>
        <w:tc>
          <w:tcPr>
            <w:tcW w:w="100" w:type="dxa"/>
            <w:vAlign w:val="bottom"/>
            <w:tcBorders>
              <w:bottom w:val="single" w:sz="8" w:color="auto"/>
            </w:tcBorders>
            <w:shd w:val="clear" w:color="auto" w:fill="DBDBDB"/>
          </w:tcPr>
          <w:p>
            <w:pPr>
              <w:spacing w:after="0"/>
              <w:rPr>
                <w:sz w:val="19"/>
                <w:szCs w:val="19"/>
                <w:color w:val="auto"/>
              </w:rPr>
            </w:pPr>
          </w:p>
        </w:tc>
        <w:tc>
          <w:tcPr>
            <w:tcW w:w="1280" w:type="dxa"/>
            <w:vAlign w:val="bottom"/>
            <w:tcBorders>
              <w:bottom w:val="single" w:sz="8" w:color="auto"/>
            </w:tcBorders>
            <w:shd w:val="clear" w:color="auto" w:fill="DBDBDB"/>
          </w:tcPr>
          <w:p>
            <w:pPr>
              <w:jc w:val="right"/>
              <w:spacing w:after="0" w:line="208" w:lineRule="exact"/>
              <w:rPr>
                <w:sz w:val="20"/>
                <w:szCs w:val="20"/>
                <w:color w:val="auto"/>
              </w:rPr>
            </w:pPr>
            <w:r>
              <w:rPr>
                <w:rFonts w:ascii="Times New Roman" w:cs="Times New Roman" w:eastAsia="Times New Roman" w:hAnsi="Times New Roman"/>
                <w:sz w:val="20"/>
                <w:szCs w:val="20"/>
                <w:color w:val="auto"/>
              </w:rPr>
              <w:t>8</w:t>
            </w:r>
          </w:p>
        </w:tc>
        <w:tc>
          <w:tcPr>
            <w:tcW w:w="20" w:type="dxa"/>
            <w:vAlign w:val="bottom"/>
            <w:tcBorders>
              <w:bottom w:val="single" w:sz="8" w:color="DBDBDB"/>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820" w:type="dxa"/>
            <w:vAlign w:val="bottom"/>
            <w:tcBorders>
              <w:bottom w:val="single" w:sz="8" w:color="DBDBDB"/>
            </w:tcBorders>
          </w:tcPr>
          <w:p>
            <w:pPr>
              <w:spacing w:after="0" w:line="214" w:lineRule="exact"/>
              <w:rPr>
                <w:sz w:val="20"/>
                <w:szCs w:val="20"/>
                <w:color w:val="auto"/>
              </w:rPr>
            </w:pPr>
            <w:r>
              <w:rPr>
                <w:rFonts w:ascii="Times New Roman" w:cs="Times New Roman" w:eastAsia="Times New Roman" w:hAnsi="Times New Roman"/>
                <w:sz w:val="20"/>
                <w:szCs w:val="20"/>
                <w:color w:val="auto"/>
              </w:rPr>
              <w:t>Total</w:t>
            </w:r>
          </w:p>
        </w:tc>
        <w:tc>
          <w:tcPr>
            <w:tcW w:w="100" w:type="dxa"/>
            <w:vAlign w:val="bottom"/>
            <w:tcBorders>
              <w:bottom w:val="single" w:sz="8" w:color="DBDBDB"/>
            </w:tcBorders>
          </w:tcPr>
          <w:p>
            <w:pPr>
              <w:spacing w:after="0"/>
              <w:rPr>
                <w:sz w:val="18"/>
                <w:szCs w:val="18"/>
                <w:color w:val="auto"/>
              </w:rPr>
            </w:pPr>
          </w:p>
        </w:tc>
        <w:tc>
          <w:tcPr>
            <w:tcW w:w="20" w:type="dxa"/>
            <w:vAlign w:val="bottom"/>
            <w:tcBorders>
              <w:bottom w:val="single" w:sz="8" w:color="DBDBDB"/>
            </w:tcBorders>
          </w:tcPr>
          <w:p>
            <w:pPr>
              <w:spacing w:after="0"/>
              <w:rPr>
                <w:sz w:val="18"/>
                <w:szCs w:val="18"/>
                <w:color w:val="auto"/>
              </w:rPr>
            </w:pPr>
          </w:p>
        </w:tc>
        <w:tc>
          <w:tcPr>
            <w:tcW w:w="100" w:type="dxa"/>
            <w:vAlign w:val="bottom"/>
            <w:tcBorders>
              <w:bottom w:val="single" w:sz="8" w:color="DBDBDB"/>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Borders>
              <w:bottom w:val="single" w:sz="8" w:color="DBDBDB"/>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2</w:t>
            </w:r>
          </w:p>
        </w:tc>
        <w:tc>
          <w:tcPr>
            <w:tcW w:w="20" w:type="dxa"/>
            <w:vAlign w:val="bottom"/>
            <w:tcBorders>
              <w:bottom w:val="single" w:sz="8" w:color="DBDBDB"/>
            </w:tcBorders>
          </w:tcPr>
          <w:p>
            <w:pPr>
              <w:spacing w:after="0"/>
              <w:rPr>
                <w:sz w:val="18"/>
                <w:szCs w:val="18"/>
                <w:color w:val="auto"/>
              </w:rPr>
            </w:pPr>
          </w:p>
        </w:tc>
        <w:tc>
          <w:tcPr>
            <w:tcW w:w="80" w:type="dxa"/>
            <w:vAlign w:val="bottom"/>
            <w:tcBorders>
              <w:bottom w:val="single" w:sz="8" w:color="DBDBDB"/>
            </w:tcBorders>
          </w:tcPr>
          <w:p>
            <w:pPr>
              <w:spacing w:after="0"/>
              <w:rPr>
                <w:sz w:val="18"/>
                <w:szCs w:val="18"/>
                <w:color w:val="auto"/>
              </w:rPr>
            </w:pPr>
          </w:p>
        </w:tc>
        <w:tc>
          <w:tcPr>
            <w:tcW w:w="100" w:type="dxa"/>
            <w:vAlign w:val="bottom"/>
            <w:tcBorders>
              <w:bottom w:val="single" w:sz="8" w:color="DBDBDB"/>
            </w:tcBorders>
          </w:tcPr>
          <w:p>
            <w:pPr>
              <w:spacing w:after="0"/>
              <w:rPr>
                <w:sz w:val="18"/>
                <w:szCs w:val="18"/>
                <w:color w:val="auto"/>
              </w:rPr>
            </w:pPr>
          </w:p>
        </w:tc>
        <w:tc>
          <w:tcPr>
            <w:tcW w:w="20" w:type="dxa"/>
            <w:vAlign w:val="bottom"/>
            <w:tcBorders>
              <w:bottom w:val="single" w:sz="8" w:color="DBDBDB"/>
            </w:tcBorders>
          </w:tcPr>
          <w:p>
            <w:pPr>
              <w:spacing w:after="0"/>
              <w:rPr>
                <w:sz w:val="18"/>
                <w:szCs w:val="18"/>
                <w:color w:val="auto"/>
              </w:rPr>
            </w:pPr>
          </w:p>
        </w:tc>
        <w:tc>
          <w:tcPr>
            <w:tcW w:w="100" w:type="dxa"/>
            <w:vAlign w:val="bottom"/>
            <w:tcBorders>
              <w:bottom w:val="single" w:sz="8" w:color="DBDBDB"/>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Borders>
              <w:bottom w:val="single" w:sz="8" w:color="DBDBDB"/>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2</w:t>
            </w:r>
          </w:p>
        </w:tc>
        <w:tc>
          <w:tcPr>
            <w:tcW w:w="100" w:type="dxa"/>
            <w:vAlign w:val="bottom"/>
            <w:tcBorders>
              <w:bottom w:val="single" w:sz="8" w:color="DBDBDB"/>
            </w:tcBorders>
          </w:tcPr>
          <w:p>
            <w:pPr>
              <w:spacing w:after="0"/>
              <w:rPr>
                <w:sz w:val="18"/>
                <w:szCs w:val="18"/>
                <w:color w:val="auto"/>
              </w:rPr>
            </w:pPr>
          </w:p>
        </w:tc>
        <w:tc>
          <w:tcPr>
            <w:tcW w:w="80" w:type="dxa"/>
            <w:vAlign w:val="bottom"/>
            <w:tcBorders>
              <w:bottom w:val="single" w:sz="8" w:color="DBDBDB"/>
            </w:tcBorders>
          </w:tcPr>
          <w:p>
            <w:pPr>
              <w:spacing w:after="0"/>
              <w:rPr>
                <w:sz w:val="18"/>
                <w:szCs w:val="18"/>
                <w:color w:val="auto"/>
              </w:rPr>
            </w:pPr>
          </w:p>
        </w:tc>
        <w:tc>
          <w:tcPr>
            <w:tcW w:w="20" w:type="dxa"/>
            <w:vAlign w:val="bottom"/>
            <w:tcBorders>
              <w:bottom w:val="single" w:sz="8" w:color="DBDBDB"/>
            </w:tcBorders>
          </w:tcPr>
          <w:p>
            <w:pPr>
              <w:spacing w:after="0"/>
              <w:rPr>
                <w:sz w:val="18"/>
                <w:szCs w:val="18"/>
                <w:color w:val="auto"/>
              </w:rPr>
            </w:pPr>
          </w:p>
        </w:tc>
        <w:tc>
          <w:tcPr>
            <w:tcW w:w="100" w:type="dxa"/>
            <w:vAlign w:val="bottom"/>
            <w:tcBorders>
              <w:bottom w:val="single" w:sz="8" w:color="DBDBDB"/>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Borders>
              <w:bottom w:val="single" w:sz="8" w:color="DBDBDB"/>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9</w:t>
            </w:r>
          </w:p>
        </w:tc>
        <w:tc>
          <w:tcPr>
            <w:tcW w:w="20" w:type="dxa"/>
            <w:vAlign w:val="bottom"/>
            <w:tcBorders>
              <w:bottom w:val="single" w:sz="8" w:color="DBDBDB"/>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820" w:type="dxa"/>
            <w:vAlign w:val="bottom"/>
            <w:tcBorders>
              <w:bottom w:val="single" w:sz="8" w:color="DBDBDB"/>
            </w:tcBorders>
            <w:shd w:val="clear" w:color="auto" w:fill="DBDBDB"/>
          </w:tcPr>
          <w:p>
            <w:pPr>
              <w:spacing w:after="0" w:line="210" w:lineRule="exact"/>
              <w:rPr>
                <w:sz w:val="20"/>
                <w:szCs w:val="20"/>
                <w:color w:val="auto"/>
              </w:rPr>
            </w:pPr>
            <w:r>
              <w:rPr>
                <w:rFonts w:ascii="Times New Roman" w:cs="Times New Roman" w:eastAsia="Times New Roman" w:hAnsi="Times New Roman"/>
                <w:sz w:val="20"/>
                <w:szCs w:val="20"/>
                <w:color w:val="auto"/>
              </w:rPr>
              <w:t>Deferred:</w:t>
            </w:r>
          </w:p>
        </w:tc>
        <w:tc>
          <w:tcPr>
            <w:tcW w:w="100" w:type="dxa"/>
            <w:vAlign w:val="bottom"/>
            <w:tcBorders>
              <w:bottom w:val="single" w:sz="8" w:color="DBDBDB"/>
            </w:tcBorders>
            <w:shd w:val="clear" w:color="auto" w:fill="DBDBDB"/>
          </w:tcPr>
          <w:p>
            <w:pPr>
              <w:spacing w:after="0"/>
              <w:rPr>
                <w:sz w:val="18"/>
                <w:szCs w:val="18"/>
                <w:color w:val="auto"/>
              </w:rPr>
            </w:pPr>
          </w:p>
        </w:tc>
        <w:tc>
          <w:tcPr>
            <w:tcW w:w="2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1260" w:type="dxa"/>
            <w:vAlign w:val="bottom"/>
            <w:tcBorders>
              <w:bottom w:val="single" w:sz="8" w:color="DBDBDB"/>
            </w:tcBorders>
            <w:shd w:val="clear" w:color="auto" w:fill="DBDBDB"/>
          </w:tcPr>
          <w:p>
            <w:pPr>
              <w:spacing w:after="0"/>
              <w:rPr>
                <w:sz w:val="18"/>
                <w:szCs w:val="18"/>
                <w:color w:val="auto"/>
              </w:rPr>
            </w:pPr>
          </w:p>
        </w:tc>
        <w:tc>
          <w:tcPr>
            <w:tcW w:w="20" w:type="dxa"/>
            <w:vAlign w:val="bottom"/>
            <w:tcBorders>
              <w:bottom w:val="single" w:sz="8" w:color="DBDBDB"/>
            </w:tcBorders>
            <w:shd w:val="clear" w:color="auto" w:fill="DBDBDB"/>
          </w:tcPr>
          <w:p>
            <w:pPr>
              <w:spacing w:after="0"/>
              <w:rPr>
                <w:sz w:val="18"/>
                <w:szCs w:val="18"/>
                <w:color w:val="auto"/>
              </w:rPr>
            </w:pPr>
          </w:p>
        </w:tc>
        <w:tc>
          <w:tcPr>
            <w:tcW w:w="8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2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128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80" w:type="dxa"/>
            <w:vAlign w:val="bottom"/>
            <w:tcBorders>
              <w:bottom w:val="single" w:sz="8" w:color="DBDBDB"/>
            </w:tcBorders>
            <w:shd w:val="clear" w:color="auto" w:fill="DBDBDB"/>
          </w:tcPr>
          <w:p>
            <w:pPr>
              <w:spacing w:after="0"/>
              <w:rPr>
                <w:sz w:val="18"/>
                <w:szCs w:val="18"/>
                <w:color w:val="auto"/>
              </w:rPr>
            </w:pPr>
          </w:p>
        </w:tc>
        <w:tc>
          <w:tcPr>
            <w:tcW w:w="2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1280" w:type="dxa"/>
            <w:vAlign w:val="bottom"/>
            <w:tcBorders>
              <w:bottom w:val="single" w:sz="8" w:color="DBDBDB"/>
            </w:tcBorders>
            <w:shd w:val="clear" w:color="auto" w:fill="DBDBDB"/>
          </w:tcPr>
          <w:p>
            <w:pPr>
              <w:spacing w:after="0"/>
              <w:rPr>
                <w:sz w:val="18"/>
                <w:szCs w:val="18"/>
                <w:color w:val="auto"/>
              </w:rPr>
            </w:pPr>
          </w:p>
        </w:tc>
        <w:tc>
          <w:tcPr>
            <w:tcW w:w="20" w:type="dxa"/>
            <w:vAlign w:val="bottom"/>
            <w:tcBorders>
              <w:bottom w:val="single" w:sz="8" w:color="DBDBDB"/>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820" w:type="dxa"/>
            <w:vAlign w:val="bottom"/>
            <w:tcBorders>
              <w:bottom w:val="single" w:sz="8" w:color="DBDBDB"/>
            </w:tcBorders>
          </w:tcPr>
          <w:p>
            <w:pPr>
              <w:ind w:left="180"/>
              <w:spacing w:after="0" w:line="220" w:lineRule="exact"/>
              <w:rPr>
                <w:sz w:val="20"/>
                <w:szCs w:val="20"/>
                <w:color w:val="auto"/>
              </w:rPr>
            </w:pPr>
            <w:r>
              <w:rPr>
                <w:rFonts w:ascii="Times New Roman" w:cs="Times New Roman" w:eastAsia="Times New Roman" w:hAnsi="Times New Roman"/>
                <w:sz w:val="20"/>
                <w:szCs w:val="20"/>
                <w:color w:val="auto"/>
              </w:rPr>
              <w:t>Federal</w:t>
            </w:r>
          </w:p>
        </w:tc>
        <w:tc>
          <w:tcPr>
            <w:tcW w:w="100" w:type="dxa"/>
            <w:vAlign w:val="bottom"/>
            <w:tcBorders>
              <w:bottom w:val="single" w:sz="8" w:color="DBDBDB"/>
            </w:tcBorders>
          </w:tcPr>
          <w:p>
            <w:pPr>
              <w:spacing w:after="0"/>
              <w:rPr>
                <w:sz w:val="19"/>
                <w:szCs w:val="19"/>
                <w:color w:val="auto"/>
              </w:rPr>
            </w:pPr>
          </w:p>
        </w:tc>
        <w:tc>
          <w:tcPr>
            <w:tcW w:w="20" w:type="dxa"/>
            <w:vAlign w:val="bottom"/>
            <w:tcBorders>
              <w:bottom w:val="single" w:sz="8" w:color="DBDBDB"/>
            </w:tcBorders>
          </w:tcPr>
          <w:p>
            <w:pPr>
              <w:spacing w:after="0"/>
              <w:rPr>
                <w:sz w:val="19"/>
                <w:szCs w:val="19"/>
                <w:color w:val="auto"/>
              </w:rPr>
            </w:pPr>
          </w:p>
        </w:tc>
        <w:tc>
          <w:tcPr>
            <w:tcW w:w="100" w:type="dxa"/>
            <w:vAlign w:val="bottom"/>
            <w:tcBorders>
              <w:bottom w:val="single" w:sz="8" w:color="DBDBDB"/>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Borders>
              <w:bottom w:val="single" w:sz="8" w:color="DBDBDB"/>
            </w:tcBorders>
            <w:gridSpan w:val="2"/>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rPr>
              <w:t>—</w:t>
            </w:r>
          </w:p>
        </w:tc>
        <w:tc>
          <w:tcPr>
            <w:tcW w:w="300" w:type="dxa"/>
            <w:vAlign w:val="bottom"/>
            <w:tcBorders>
              <w:bottom w:val="single" w:sz="8" w:color="DBDBDB"/>
            </w:tcBorders>
            <w:gridSpan w:val="4"/>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280" w:type="dxa"/>
            <w:vAlign w:val="bottom"/>
            <w:tcBorders>
              <w:bottom w:val="single" w:sz="8" w:color="DBDBDB"/>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300" w:type="dxa"/>
            <w:vAlign w:val="bottom"/>
            <w:tcBorders>
              <w:bottom w:val="single" w:sz="8" w:color="DBDBDB"/>
            </w:tcBorders>
            <w:gridSpan w:val="4"/>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300" w:type="dxa"/>
            <w:vAlign w:val="bottom"/>
            <w:tcBorders>
              <w:bottom w:val="single" w:sz="8" w:color="DBDBDB"/>
            </w:tcBorders>
            <w:gridSpan w:val="2"/>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1"/>
        </w:trPr>
        <w:tc>
          <w:tcPr>
            <w:tcW w:w="5820" w:type="dxa"/>
            <w:vAlign w:val="bottom"/>
            <w:tcBorders>
              <w:bottom w:val="single" w:sz="8" w:color="DBDBDB"/>
            </w:tcBorders>
            <w:shd w:val="clear" w:color="auto" w:fill="DBDBDB"/>
          </w:tcPr>
          <w:p>
            <w:pPr>
              <w:ind w:left="180"/>
              <w:spacing w:after="0" w:line="210" w:lineRule="exact"/>
              <w:rPr>
                <w:sz w:val="20"/>
                <w:szCs w:val="20"/>
                <w:color w:val="auto"/>
              </w:rPr>
            </w:pPr>
            <w:r>
              <w:rPr>
                <w:rFonts w:ascii="Times New Roman" w:cs="Times New Roman" w:eastAsia="Times New Roman" w:hAnsi="Times New Roman"/>
                <w:sz w:val="20"/>
                <w:szCs w:val="20"/>
                <w:color w:val="auto"/>
              </w:rPr>
              <w:t>State</w:t>
            </w:r>
          </w:p>
        </w:tc>
        <w:tc>
          <w:tcPr>
            <w:tcW w:w="100" w:type="dxa"/>
            <w:vAlign w:val="bottom"/>
            <w:tcBorders>
              <w:bottom w:val="single" w:sz="8" w:color="DBDBDB"/>
            </w:tcBorders>
            <w:shd w:val="clear" w:color="auto" w:fill="DBDBDB"/>
          </w:tcPr>
          <w:p>
            <w:pPr>
              <w:spacing w:after="0"/>
              <w:rPr>
                <w:sz w:val="20"/>
                <w:szCs w:val="20"/>
                <w:color w:val="auto"/>
              </w:rPr>
            </w:pPr>
          </w:p>
        </w:tc>
        <w:tc>
          <w:tcPr>
            <w:tcW w:w="20" w:type="dxa"/>
            <w:vAlign w:val="bottom"/>
            <w:tcBorders>
              <w:bottom w:val="single" w:sz="8" w:color="DBDBDB"/>
            </w:tcBorders>
            <w:shd w:val="clear" w:color="auto" w:fill="DBDBDB"/>
          </w:tcPr>
          <w:p>
            <w:pPr>
              <w:spacing w:after="0"/>
              <w:rPr>
                <w:sz w:val="20"/>
                <w:szCs w:val="20"/>
                <w:color w:val="auto"/>
              </w:rPr>
            </w:pPr>
          </w:p>
        </w:tc>
        <w:tc>
          <w:tcPr>
            <w:tcW w:w="100" w:type="dxa"/>
            <w:vAlign w:val="bottom"/>
            <w:tcBorders>
              <w:bottom w:val="single" w:sz="8" w:color="DBDBDB"/>
            </w:tcBorders>
            <w:shd w:val="clear" w:color="auto" w:fill="DBDBDB"/>
          </w:tcPr>
          <w:p>
            <w:pPr>
              <w:spacing w:after="0"/>
              <w:rPr>
                <w:sz w:val="20"/>
                <w:szCs w:val="20"/>
                <w:color w:val="auto"/>
              </w:rPr>
            </w:pPr>
          </w:p>
        </w:tc>
        <w:tc>
          <w:tcPr>
            <w:tcW w:w="1260" w:type="dxa"/>
            <w:vAlign w:val="bottom"/>
            <w:tcBorders>
              <w:bottom w:val="single" w:sz="8" w:color="DBDBDB"/>
            </w:tcBorders>
            <w:shd w:val="clear" w:color="auto" w:fill="DBDBDB"/>
          </w:tcPr>
          <w:p>
            <w:pPr>
              <w:jc w:val="right"/>
              <w:spacing w:after="0" w:line="210"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DBDBDB"/>
            </w:tcBorders>
            <w:shd w:val="clear" w:color="auto" w:fill="DBDBDB"/>
          </w:tcPr>
          <w:p>
            <w:pPr>
              <w:spacing w:after="0"/>
              <w:rPr>
                <w:sz w:val="20"/>
                <w:szCs w:val="20"/>
                <w:color w:val="auto"/>
              </w:rPr>
            </w:pPr>
          </w:p>
        </w:tc>
        <w:tc>
          <w:tcPr>
            <w:tcW w:w="80" w:type="dxa"/>
            <w:vAlign w:val="bottom"/>
            <w:tcBorders>
              <w:bottom w:val="single" w:sz="8" w:color="DBDBDB"/>
            </w:tcBorders>
            <w:shd w:val="clear" w:color="auto" w:fill="DBDBDB"/>
          </w:tcPr>
          <w:p>
            <w:pPr>
              <w:spacing w:after="0"/>
              <w:rPr>
                <w:sz w:val="20"/>
                <w:szCs w:val="20"/>
                <w:color w:val="auto"/>
              </w:rPr>
            </w:pPr>
          </w:p>
        </w:tc>
        <w:tc>
          <w:tcPr>
            <w:tcW w:w="100" w:type="dxa"/>
            <w:vAlign w:val="bottom"/>
            <w:tcBorders>
              <w:bottom w:val="single" w:sz="8" w:color="DBDBDB"/>
            </w:tcBorders>
            <w:shd w:val="clear" w:color="auto" w:fill="DBDBDB"/>
          </w:tcPr>
          <w:p>
            <w:pPr>
              <w:spacing w:after="0"/>
              <w:rPr>
                <w:sz w:val="20"/>
                <w:szCs w:val="20"/>
                <w:color w:val="auto"/>
              </w:rPr>
            </w:pPr>
          </w:p>
        </w:tc>
        <w:tc>
          <w:tcPr>
            <w:tcW w:w="20" w:type="dxa"/>
            <w:vAlign w:val="bottom"/>
            <w:tcBorders>
              <w:bottom w:val="single" w:sz="8" w:color="DBDBDB"/>
            </w:tcBorders>
            <w:shd w:val="clear" w:color="auto" w:fill="DBDBDB"/>
          </w:tcPr>
          <w:p>
            <w:pPr>
              <w:spacing w:after="0"/>
              <w:rPr>
                <w:sz w:val="20"/>
                <w:szCs w:val="20"/>
                <w:color w:val="auto"/>
              </w:rPr>
            </w:pPr>
          </w:p>
        </w:tc>
        <w:tc>
          <w:tcPr>
            <w:tcW w:w="100" w:type="dxa"/>
            <w:vAlign w:val="bottom"/>
            <w:tcBorders>
              <w:bottom w:val="single" w:sz="8" w:color="DBDBDB"/>
            </w:tcBorders>
            <w:shd w:val="clear" w:color="auto" w:fill="DBDBDB"/>
          </w:tcPr>
          <w:p>
            <w:pPr>
              <w:spacing w:after="0"/>
              <w:rPr>
                <w:sz w:val="20"/>
                <w:szCs w:val="20"/>
                <w:color w:val="auto"/>
              </w:rPr>
            </w:pPr>
          </w:p>
        </w:tc>
        <w:tc>
          <w:tcPr>
            <w:tcW w:w="1280" w:type="dxa"/>
            <w:vAlign w:val="bottom"/>
            <w:tcBorders>
              <w:bottom w:val="single" w:sz="8" w:color="DBDBDB"/>
            </w:tcBorders>
            <w:shd w:val="clear" w:color="auto" w:fill="DBDBDB"/>
          </w:tcPr>
          <w:p>
            <w:pPr>
              <w:jc w:val="right"/>
              <w:spacing w:after="0" w:line="210"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DBDBDB"/>
            </w:tcBorders>
            <w:shd w:val="clear" w:color="auto" w:fill="DBDBDB"/>
          </w:tcPr>
          <w:p>
            <w:pPr>
              <w:spacing w:after="0"/>
              <w:rPr>
                <w:sz w:val="20"/>
                <w:szCs w:val="20"/>
                <w:color w:val="auto"/>
              </w:rPr>
            </w:pPr>
          </w:p>
        </w:tc>
        <w:tc>
          <w:tcPr>
            <w:tcW w:w="80" w:type="dxa"/>
            <w:vAlign w:val="bottom"/>
            <w:tcBorders>
              <w:bottom w:val="single" w:sz="8" w:color="DBDBDB"/>
            </w:tcBorders>
            <w:shd w:val="clear" w:color="auto" w:fill="DBDBDB"/>
          </w:tcPr>
          <w:p>
            <w:pPr>
              <w:spacing w:after="0"/>
              <w:rPr>
                <w:sz w:val="20"/>
                <w:szCs w:val="20"/>
                <w:color w:val="auto"/>
              </w:rPr>
            </w:pPr>
          </w:p>
        </w:tc>
        <w:tc>
          <w:tcPr>
            <w:tcW w:w="20" w:type="dxa"/>
            <w:vAlign w:val="bottom"/>
            <w:tcBorders>
              <w:bottom w:val="single" w:sz="8" w:color="DBDBDB"/>
            </w:tcBorders>
            <w:shd w:val="clear" w:color="auto" w:fill="DBDBDB"/>
          </w:tcPr>
          <w:p>
            <w:pPr>
              <w:spacing w:after="0"/>
              <w:rPr>
                <w:sz w:val="20"/>
                <w:szCs w:val="20"/>
                <w:color w:val="auto"/>
              </w:rPr>
            </w:pPr>
          </w:p>
        </w:tc>
        <w:tc>
          <w:tcPr>
            <w:tcW w:w="100" w:type="dxa"/>
            <w:vAlign w:val="bottom"/>
            <w:tcBorders>
              <w:bottom w:val="single" w:sz="8" w:color="DBDBDB"/>
            </w:tcBorders>
            <w:shd w:val="clear" w:color="auto" w:fill="DBDBDB"/>
          </w:tcPr>
          <w:p>
            <w:pPr>
              <w:spacing w:after="0"/>
              <w:rPr>
                <w:sz w:val="20"/>
                <w:szCs w:val="20"/>
                <w:color w:val="auto"/>
              </w:rPr>
            </w:pPr>
          </w:p>
        </w:tc>
        <w:tc>
          <w:tcPr>
            <w:tcW w:w="1280" w:type="dxa"/>
            <w:vAlign w:val="bottom"/>
            <w:tcBorders>
              <w:bottom w:val="single" w:sz="8" w:color="DBDBDB"/>
            </w:tcBorders>
            <w:shd w:val="clear" w:color="auto" w:fill="DBDBDB"/>
          </w:tcPr>
          <w:p>
            <w:pPr>
              <w:jc w:val="right"/>
              <w:spacing w:after="0" w:line="210"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DBDBDB"/>
            </w:tcBorders>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5820" w:type="dxa"/>
            <w:vAlign w:val="bottom"/>
            <w:tcBorders>
              <w:bottom w:val="single" w:sz="8" w:color="DBDBDB"/>
            </w:tcBorders>
          </w:tcPr>
          <w:p>
            <w:pPr>
              <w:ind w:left="180"/>
              <w:spacing w:after="0" w:line="205" w:lineRule="exact"/>
              <w:rPr>
                <w:sz w:val="20"/>
                <w:szCs w:val="20"/>
                <w:color w:val="auto"/>
              </w:rPr>
            </w:pPr>
            <w:r>
              <w:rPr>
                <w:rFonts w:ascii="Times New Roman" w:cs="Times New Roman" w:eastAsia="Times New Roman" w:hAnsi="Times New Roman"/>
                <w:sz w:val="20"/>
                <w:szCs w:val="20"/>
                <w:color w:val="auto"/>
              </w:rPr>
              <w:t>Foreign</w:t>
            </w:r>
          </w:p>
        </w:tc>
        <w:tc>
          <w:tcPr>
            <w:tcW w:w="100" w:type="dxa"/>
            <w:vAlign w:val="bottom"/>
            <w:tcBorders>
              <w:bottom w:val="single" w:sz="8" w:color="DBDBDB"/>
            </w:tcBorders>
          </w:tcPr>
          <w:p>
            <w:pPr>
              <w:spacing w:after="0"/>
              <w:rPr>
                <w:sz w:val="17"/>
                <w:szCs w:val="17"/>
                <w:color w:val="auto"/>
              </w:rPr>
            </w:pPr>
          </w:p>
        </w:tc>
        <w:tc>
          <w:tcPr>
            <w:tcW w:w="20" w:type="dxa"/>
            <w:vAlign w:val="bottom"/>
            <w:tcBorders>
              <w:bottom w:val="single" w:sz="8" w:color="DBDBDB"/>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20"/>
                <w:szCs w:val="20"/>
                <w:color w:val="auto"/>
              </w:rPr>
              <w:t>(8,478)</w:t>
            </w:r>
          </w:p>
        </w:tc>
        <w:tc>
          <w:tcPr>
            <w:tcW w:w="20" w:type="dxa"/>
            <w:vAlign w:val="bottom"/>
            <w:tcBorders>
              <w:bottom w:val="single" w:sz="8" w:color="DBDBDB"/>
            </w:tcBorders>
          </w:tcPr>
          <w:p>
            <w:pPr>
              <w:spacing w:after="0"/>
              <w:rPr>
                <w:sz w:val="17"/>
                <w:szCs w:val="17"/>
                <w:color w:val="auto"/>
              </w:rPr>
            </w:pPr>
          </w:p>
        </w:tc>
        <w:tc>
          <w:tcPr>
            <w:tcW w:w="80" w:type="dxa"/>
            <w:vAlign w:val="bottom"/>
            <w:tcBorders>
              <w:bottom w:val="single" w:sz="8" w:color="DBDBDB"/>
            </w:tcBorders>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20" w:type="dxa"/>
            <w:vAlign w:val="bottom"/>
            <w:tcBorders>
              <w:bottom w:val="single" w:sz="8" w:color="DBDBDB"/>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DBDBDB"/>
            </w:tcBorders>
          </w:tcPr>
          <w:p>
            <w:pPr>
              <w:spacing w:after="0"/>
              <w:rPr>
                <w:sz w:val="17"/>
                <w:szCs w:val="17"/>
                <w:color w:val="auto"/>
              </w:rPr>
            </w:pPr>
          </w:p>
        </w:tc>
        <w:tc>
          <w:tcPr>
            <w:tcW w:w="80" w:type="dxa"/>
            <w:vAlign w:val="bottom"/>
            <w:tcBorders>
              <w:bottom w:val="single" w:sz="8" w:color="DBDBDB"/>
            </w:tcBorders>
          </w:tcPr>
          <w:p>
            <w:pPr>
              <w:spacing w:after="0"/>
              <w:rPr>
                <w:sz w:val="17"/>
                <w:szCs w:val="17"/>
                <w:color w:val="auto"/>
              </w:rPr>
            </w:pPr>
          </w:p>
        </w:tc>
        <w:tc>
          <w:tcPr>
            <w:tcW w:w="20" w:type="dxa"/>
            <w:vAlign w:val="bottom"/>
            <w:tcBorders>
              <w:bottom w:val="single" w:sz="8" w:color="DBDBDB"/>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DBDBDB"/>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820" w:type="dxa"/>
            <w:vAlign w:val="bottom"/>
            <w:tcBorders>
              <w:bottom w:val="single" w:sz="8" w:color="DBDBDB"/>
            </w:tcBorders>
            <w:shd w:val="clear" w:color="auto" w:fill="DBDBDB"/>
          </w:tcPr>
          <w:p>
            <w:pPr>
              <w:spacing w:after="0" w:line="220" w:lineRule="exact"/>
              <w:rPr>
                <w:sz w:val="20"/>
                <w:szCs w:val="20"/>
                <w:color w:val="auto"/>
              </w:rPr>
            </w:pPr>
            <w:r>
              <w:rPr>
                <w:rFonts w:ascii="Times New Roman" w:cs="Times New Roman" w:eastAsia="Times New Roman" w:hAnsi="Times New Roman"/>
                <w:sz w:val="20"/>
                <w:szCs w:val="20"/>
                <w:color w:val="auto"/>
              </w:rPr>
              <w:t>Total</w:t>
            </w:r>
          </w:p>
        </w:tc>
        <w:tc>
          <w:tcPr>
            <w:tcW w:w="100" w:type="dxa"/>
            <w:vAlign w:val="bottom"/>
            <w:tcBorders>
              <w:bottom w:val="single" w:sz="8" w:color="DBDBDB"/>
            </w:tcBorders>
            <w:shd w:val="clear" w:color="auto" w:fill="DBDBDB"/>
          </w:tcPr>
          <w:p>
            <w:pPr>
              <w:spacing w:after="0"/>
              <w:rPr>
                <w:sz w:val="19"/>
                <w:szCs w:val="19"/>
                <w:color w:val="auto"/>
              </w:rPr>
            </w:pPr>
          </w:p>
        </w:tc>
        <w:tc>
          <w:tcPr>
            <w:tcW w:w="20" w:type="dxa"/>
            <w:vAlign w:val="bottom"/>
            <w:tcBorders>
              <w:bottom w:val="single" w:sz="8" w:color="DBDBDB"/>
            </w:tcBorders>
            <w:shd w:val="clear" w:color="auto" w:fill="DBDBDB"/>
          </w:tcPr>
          <w:p>
            <w:pPr>
              <w:spacing w:after="0"/>
              <w:rPr>
                <w:sz w:val="19"/>
                <w:szCs w:val="19"/>
                <w:color w:val="auto"/>
              </w:rPr>
            </w:pPr>
          </w:p>
        </w:tc>
        <w:tc>
          <w:tcPr>
            <w:tcW w:w="10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26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rPr>
              <w:t>(8,478)</w:t>
            </w:r>
          </w:p>
        </w:tc>
        <w:tc>
          <w:tcPr>
            <w:tcW w:w="20" w:type="dxa"/>
            <w:vAlign w:val="bottom"/>
            <w:tcBorders>
              <w:bottom w:val="single" w:sz="8" w:color="DBDBDB"/>
            </w:tcBorders>
            <w:shd w:val="clear" w:color="auto" w:fill="DBDBDB"/>
          </w:tcPr>
          <w:p>
            <w:pPr>
              <w:spacing w:after="0"/>
              <w:rPr>
                <w:sz w:val="19"/>
                <w:szCs w:val="19"/>
                <w:color w:val="auto"/>
              </w:rPr>
            </w:pPr>
          </w:p>
        </w:tc>
        <w:tc>
          <w:tcPr>
            <w:tcW w:w="80" w:type="dxa"/>
            <w:vAlign w:val="bottom"/>
            <w:tcBorders>
              <w:bottom w:val="single" w:sz="8" w:color="DBDBDB"/>
            </w:tcBorders>
            <w:shd w:val="clear" w:color="auto" w:fill="DBDBDB"/>
          </w:tcPr>
          <w:p>
            <w:pPr>
              <w:spacing w:after="0"/>
              <w:rPr>
                <w:sz w:val="19"/>
                <w:szCs w:val="19"/>
                <w:color w:val="auto"/>
              </w:rPr>
            </w:pPr>
          </w:p>
        </w:tc>
        <w:tc>
          <w:tcPr>
            <w:tcW w:w="100" w:type="dxa"/>
            <w:vAlign w:val="bottom"/>
            <w:tcBorders>
              <w:bottom w:val="single" w:sz="8" w:color="DBDBDB"/>
            </w:tcBorders>
            <w:shd w:val="clear" w:color="auto" w:fill="DBDBDB"/>
          </w:tcPr>
          <w:p>
            <w:pPr>
              <w:spacing w:after="0"/>
              <w:rPr>
                <w:sz w:val="19"/>
                <w:szCs w:val="19"/>
                <w:color w:val="auto"/>
              </w:rPr>
            </w:pPr>
          </w:p>
        </w:tc>
        <w:tc>
          <w:tcPr>
            <w:tcW w:w="20" w:type="dxa"/>
            <w:vAlign w:val="bottom"/>
            <w:tcBorders>
              <w:bottom w:val="single" w:sz="8" w:color="DBDBDB"/>
            </w:tcBorders>
            <w:shd w:val="clear" w:color="auto" w:fill="DBDBDB"/>
          </w:tcPr>
          <w:p>
            <w:pPr>
              <w:spacing w:after="0"/>
              <w:rPr>
                <w:sz w:val="19"/>
                <w:szCs w:val="19"/>
                <w:color w:val="auto"/>
              </w:rPr>
            </w:pPr>
          </w:p>
        </w:tc>
        <w:tc>
          <w:tcPr>
            <w:tcW w:w="10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28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DBDBDB"/>
            </w:tcBorders>
            <w:shd w:val="clear" w:color="auto" w:fill="DBDBDB"/>
          </w:tcPr>
          <w:p>
            <w:pPr>
              <w:spacing w:after="0"/>
              <w:rPr>
                <w:sz w:val="19"/>
                <w:szCs w:val="19"/>
                <w:color w:val="auto"/>
              </w:rPr>
            </w:pPr>
          </w:p>
        </w:tc>
        <w:tc>
          <w:tcPr>
            <w:tcW w:w="80" w:type="dxa"/>
            <w:vAlign w:val="bottom"/>
            <w:tcBorders>
              <w:bottom w:val="single" w:sz="8" w:color="DBDBDB"/>
            </w:tcBorders>
            <w:shd w:val="clear" w:color="auto" w:fill="DBDBDB"/>
          </w:tcPr>
          <w:p>
            <w:pPr>
              <w:spacing w:after="0"/>
              <w:rPr>
                <w:sz w:val="19"/>
                <w:szCs w:val="19"/>
                <w:color w:val="auto"/>
              </w:rPr>
            </w:pPr>
          </w:p>
        </w:tc>
        <w:tc>
          <w:tcPr>
            <w:tcW w:w="20" w:type="dxa"/>
            <w:vAlign w:val="bottom"/>
            <w:tcBorders>
              <w:bottom w:val="single" w:sz="8" w:color="DBDBDB"/>
            </w:tcBorders>
            <w:shd w:val="clear" w:color="auto" w:fill="DBDBDB"/>
          </w:tcPr>
          <w:p>
            <w:pPr>
              <w:spacing w:after="0"/>
              <w:rPr>
                <w:sz w:val="19"/>
                <w:szCs w:val="19"/>
                <w:color w:val="auto"/>
              </w:rPr>
            </w:pPr>
          </w:p>
        </w:tc>
        <w:tc>
          <w:tcPr>
            <w:tcW w:w="10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28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DBDBDB"/>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8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Income tax (benefit) expense</w:t>
            </w:r>
          </w:p>
        </w:tc>
        <w:tc>
          <w:tcPr>
            <w:tcW w:w="100" w:type="dxa"/>
            <w:vAlign w:val="bottom"/>
          </w:tcPr>
          <w:p>
            <w:pPr>
              <w:spacing w:after="0"/>
              <w:rPr>
                <w:sz w:val="20"/>
                <w:szCs w:val="20"/>
                <w:color w:val="auto"/>
              </w:rPr>
            </w:pPr>
          </w:p>
        </w:tc>
        <w:tc>
          <w:tcPr>
            <w:tcW w:w="120" w:type="dxa"/>
            <w:vAlign w:val="bottom"/>
            <w:gridSpan w:val="2"/>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gridSpan w:val="2"/>
          </w:tcPr>
          <w:p>
            <w:pPr>
              <w:spacing w:after="0"/>
              <w:rPr>
                <w:sz w:val="20"/>
                <w:szCs w:val="20"/>
                <w:color w:val="auto"/>
              </w:rPr>
            </w:pPr>
          </w:p>
        </w:tc>
        <w:tc>
          <w:tcPr>
            <w:tcW w:w="120" w:type="dxa"/>
            <w:vAlign w:val="bottom"/>
            <w:gridSpan w:val="2"/>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gridSpan w:val="2"/>
          </w:tcPr>
          <w:p>
            <w:pPr>
              <w:spacing w:after="0"/>
              <w:rPr>
                <w:sz w:val="20"/>
                <w:szCs w:val="20"/>
                <w:color w:val="auto"/>
              </w:rPr>
            </w:pPr>
          </w:p>
        </w:tc>
        <w:tc>
          <w:tcPr>
            <w:tcW w:w="120" w:type="dxa"/>
            <w:vAlign w:val="bottom"/>
            <w:gridSpan w:val="2"/>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8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(8,476)</w:t>
            </w:r>
          </w:p>
        </w:tc>
        <w:tc>
          <w:tcPr>
            <w:tcW w:w="20" w:type="dxa"/>
            <w:vAlign w:val="bottom"/>
            <w:tcBorders>
              <w:top w:val="single" w:sz="8" w:color="auto"/>
            </w:tcBorders>
          </w:tcPr>
          <w:p>
            <w:pPr>
              <w:spacing w:after="0"/>
              <w:rPr>
                <w:sz w:val="21"/>
                <w:szCs w:val="21"/>
                <w:color w:val="auto"/>
              </w:rPr>
            </w:pPr>
          </w:p>
        </w:tc>
        <w:tc>
          <w:tcPr>
            <w:tcW w:w="180" w:type="dxa"/>
            <w:vAlign w:val="bottom"/>
            <w:gridSpan w:val="2"/>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180" w:type="dxa"/>
            <w:vAlign w:val="bottom"/>
            <w:gridSpan w:val="2"/>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ind w:firstLine="706"/>
        <w:spacing w:after="0" w:line="251" w:lineRule="auto"/>
        <w:rPr>
          <w:sz w:val="20"/>
          <w:szCs w:val="20"/>
          <w:color w:val="auto"/>
        </w:rPr>
      </w:pPr>
      <w:r>
        <w:rPr>
          <w:rFonts w:ascii="Times New Roman" w:cs="Times New Roman" w:eastAsia="Times New Roman" w:hAnsi="Times New Roman"/>
          <w:sz w:val="20"/>
          <w:szCs w:val="20"/>
          <w:color w:val="auto"/>
        </w:rPr>
        <w:t>Deferred income tax assets and liabilities result principally from net operating losses, different methods of recognizing depreciation, reserves for doubtful accounts and inventory, research and development credits and foreign tax credits. At December 31, the net deferred tax assets and liabilities are comprised of the following approximate amounts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620" w:type="dxa"/>
            <w:vAlign w:val="bottom"/>
          </w:tcPr>
          <w:p>
            <w:pPr>
              <w:spacing w:after="0"/>
              <w:rPr>
                <w:sz w:val="22"/>
                <w:szCs w:val="22"/>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20" w:type="dxa"/>
            <w:vAlign w:val="bottom"/>
          </w:tcPr>
          <w:p>
            <w:pPr>
              <w:jc w:val="right"/>
              <w:ind w:right="622"/>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225"/>
        </w:trPr>
        <w:tc>
          <w:tcPr>
            <w:tcW w:w="6620" w:type="dxa"/>
            <w:vAlign w:val="bottom"/>
            <w:tcBorders>
              <w:top w:val="single" w:sz="8" w:color="DBDBDB"/>
            </w:tcBorders>
            <w:shd w:val="clear" w:color="auto" w:fill="DBDBDB"/>
          </w:tcPr>
          <w:p>
            <w:pPr>
              <w:ind w:left="20"/>
              <w:spacing w:after="0" w:line="220" w:lineRule="exact"/>
              <w:rPr>
                <w:sz w:val="20"/>
                <w:szCs w:val="20"/>
                <w:color w:val="auto"/>
              </w:rPr>
            </w:pPr>
            <w:r>
              <w:rPr>
                <w:rFonts w:ascii="Times New Roman" w:cs="Times New Roman" w:eastAsia="Times New Roman" w:hAnsi="Times New Roman"/>
                <w:sz w:val="20"/>
                <w:szCs w:val="20"/>
                <w:color w:val="auto"/>
              </w:rPr>
              <w:t>NOL carryforward</w:t>
            </w:r>
          </w:p>
        </w:tc>
        <w:tc>
          <w:tcPr>
            <w:tcW w:w="100" w:type="dxa"/>
            <w:vAlign w:val="bottom"/>
            <w:tcBorders>
              <w:top w:val="single" w:sz="8" w:color="DBDBDB"/>
              <w:bottom w:val="single" w:sz="8" w:color="DBDBDB"/>
              <w:right w:val="single" w:sz="8" w:color="DBDBDB"/>
            </w:tcBorders>
            <w:shd w:val="clear" w:color="auto" w:fill="DBDBDB"/>
          </w:tcPr>
          <w:p>
            <w:pPr>
              <w:spacing w:after="0"/>
              <w:rPr>
                <w:sz w:val="19"/>
                <w:szCs w:val="19"/>
                <w:color w:val="auto"/>
              </w:rPr>
            </w:pPr>
          </w:p>
        </w:tc>
        <w:tc>
          <w:tcPr>
            <w:tcW w:w="1140" w:type="dxa"/>
            <w:vAlign w:val="bottom"/>
            <w:tcBorders>
              <w:top w:val="single" w:sz="8" w:color="auto"/>
              <w:bottom w:val="single" w:sz="8" w:color="DBDBDB"/>
            </w:tcBorders>
            <w:shd w:val="clear" w:color="auto" w:fill="DBDBDB"/>
          </w:tcPr>
          <w:p>
            <w:pPr>
              <w:jc w:val="right"/>
              <w:ind w:right="942"/>
              <w:spacing w:after="0" w:line="225"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700" w:type="dxa"/>
            <w:vAlign w:val="bottom"/>
            <w:tcBorders>
              <w:top w:val="single" w:sz="8" w:color="auto"/>
              <w:bottom w:val="single" w:sz="8" w:color="DBDBDB"/>
            </w:tcBorders>
            <w:shd w:val="clear" w:color="auto" w:fill="DBDBDB"/>
          </w:tcPr>
          <w:p>
            <w:pPr>
              <w:jc w:val="right"/>
              <w:spacing w:after="0" w:line="225" w:lineRule="exact"/>
              <w:rPr>
                <w:sz w:val="20"/>
                <w:szCs w:val="20"/>
                <w:color w:val="auto"/>
              </w:rPr>
            </w:pPr>
            <w:r>
              <w:rPr>
                <w:rFonts w:ascii="Times New Roman" w:cs="Times New Roman" w:eastAsia="Times New Roman" w:hAnsi="Times New Roman"/>
                <w:sz w:val="20"/>
                <w:szCs w:val="20"/>
                <w:color w:val="auto"/>
              </w:rPr>
              <w:t>79,264</w:t>
            </w:r>
          </w:p>
        </w:tc>
        <w:tc>
          <w:tcPr>
            <w:tcW w:w="200" w:type="dxa"/>
            <w:vAlign w:val="bottom"/>
            <w:tcBorders>
              <w:top w:val="single" w:sz="8" w:color="DBDBDB"/>
              <w:bottom w:val="single" w:sz="8" w:color="DBDBDB"/>
              <w:right w:val="single" w:sz="8" w:color="DBDBDB"/>
            </w:tcBorders>
            <w:shd w:val="clear" w:color="auto" w:fill="DBDBDB"/>
          </w:tcPr>
          <w:p>
            <w:pPr>
              <w:spacing w:after="0"/>
              <w:rPr>
                <w:sz w:val="19"/>
                <w:szCs w:val="19"/>
                <w:color w:val="auto"/>
              </w:rPr>
            </w:pPr>
          </w:p>
        </w:tc>
        <w:tc>
          <w:tcPr>
            <w:tcW w:w="120" w:type="dxa"/>
            <w:vAlign w:val="bottom"/>
            <w:tcBorders>
              <w:top w:val="single" w:sz="8" w:color="auto"/>
              <w:bottom w:val="single" w:sz="8" w:color="DBDBDB"/>
            </w:tcBorders>
            <w:shd w:val="clear" w:color="auto" w:fill="DBDBDB"/>
          </w:tcPr>
          <w:p>
            <w:pPr>
              <w:jc w:val="right"/>
              <w:spacing w:after="0" w:line="225"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720" w:type="dxa"/>
            <w:vAlign w:val="bottom"/>
            <w:tcBorders>
              <w:top w:val="single" w:sz="8" w:color="auto"/>
              <w:bottom w:val="single" w:sz="8" w:color="DBDBDB"/>
            </w:tcBorders>
            <w:shd w:val="clear" w:color="auto" w:fill="DBDBDB"/>
          </w:tcPr>
          <w:p>
            <w:pPr>
              <w:jc w:val="right"/>
              <w:spacing w:after="0" w:line="225" w:lineRule="exact"/>
              <w:rPr>
                <w:sz w:val="20"/>
                <w:szCs w:val="20"/>
                <w:color w:val="auto"/>
              </w:rPr>
            </w:pPr>
            <w:r>
              <w:rPr>
                <w:rFonts w:ascii="Times New Roman" w:cs="Times New Roman" w:eastAsia="Times New Roman" w:hAnsi="Times New Roman"/>
                <w:sz w:val="20"/>
                <w:szCs w:val="20"/>
                <w:color w:val="auto"/>
              </w:rPr>
              <w:t>59,788</w:t>
            </w:r>
          </w:p>
        </w:tc>
      </w:tr>
      <w:tr>
        <w:trPr>
          <w:trHeight w:val="215"/>
        </w:trPr>
        <w:tc>
          <w:tcPr>
            <w:tcW w:w="6620" w:type="dxa"/>
            <w:vAlign w:val="bottom"/>
          </w:tcPr>
          <w:p>
            <w:pPr>
              <w:ind w:left="20"/>
              <w:spacing w:after="0" w:line="215" w:lineRule="exact"/>
              <w:rPr>
                <w:sz w:val="20"/>
                <w:szCs w:val="20"/>
                <w:color w:val="auto"/>
              </w:rPr>
            </w:pPr>
            <w:r>
              <w:rPr>
                <w:rFonts w:ascii="Times New Roman" w:cs="Times New Roman" w:eastAsia="Times New Roman" w:hAnsi="Times New Roman"/>
                <w:sz w:val="20"/>
                <w:szCs w:val="20"/>
                <w:color w:val="auto"/>
              </w:rPr>
              <w:t>Inventory reserves</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3,261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3,700</w:t>
            </w:r>
          </w:p>
        </w:tc>
      </w:tr>
      <w:tr>
        <w:trPr>
          <w:trHeight w:val="235"/>
        </w:trPr>
        <w:tc>
          <w:tcPr>
            <w:tcW w:w="6620" w:type="dxa"/>
            <w:vAlign w:val="bottom"/>
            <w:shd w:val="clear" w:color="auto" w:fill="DBDBDB"/>
          </w:tcPr>
          <w:p>
            <w:pPr>
              <w:ind w:left="20"/>
              <w:spacing w:after="0"/>
              <w:rPr>
                <w:sz w:val="20"/>
                <w:szCs w:val="20"/>
                <w:color w:val="auto"/>
              </w:rPr>
            </w:pPr>
            <w:r>
              <w:rPr>
                <w:rFonts w:ascii="Times New Roman" w:cs="Times New Roman" w:eastAsia="Times New Roman" w:hAnsi="Times New Roman"/>
                <w:sz w:val="20"/>
                <w:szCs w:val="20"/>
                <w:color w:val="auto"/>
              </w:rPr>
              <w:t>Unrealized gains and losses</w:t>
            </w:r>
          </w:p>
        </w:tc>
        <w:tc>
          <w:tcPr>
            <w:tcW w:w="100" w:type="dxa"/>
            <w:vAlign w:val="bottom"/>
            <w:tcBorders>
              <w:bottom w:val="single" w:sz="8" w:color="DBDBDB"/>
              <w:right w:val="single" w:sz="8" w:color="DBDBDB"/>
            </w:tcBorders>
            <w:shd w:val="clear" w:color="auto" w:fill="DBDBDB"/>
          </w:tcPr>
          <w:p>
            <w:pPr>
              <w:spacing w:after="0"/>
              <w:rPr>
                <w:sz w:val="20"/>
                <w:szCs w:val="20"/>
                <w:color w:val="auto"/>
              </w:rPr>
            </w:pPr>
          </w:p>
        </w:tc>
        <w:tc>
          <w:tcPr>
            <w:tcW w:w="1140" w:type="dxa"/>
            <w:vAlign w:val="bottom"/>
            <w:tcBorders>
              <w:bottom w:val="single" w:sz="8" w:color="DBDBDB"/>
            </w:tcBorders>
            <w:shd w:val="clear" w:color="auto" w:fill="DBDBDB"/>
          </w:tcPr>
          <w:p>
            <w:pPr>
              <w:spacing w:after="0"/>
              <w:rPr>
                <w:sz w:val="20"/>
                <w:szCs w:val="20"/>
                <w:color w:val="auto"/>
              </w:rPr>
            </w:pPr>
          </w:p>
        </w:tc>
        <w:tc>
          <w:tcPr>
            <w:tcW w:w="7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237</w:t>
            </w:r>
          </w:p>
        </w:tc>
        <w:tc>
          <w:tcPr>
            <w:tcW w:w="200" w:type="dxa"/>
            <w:vAlign w:val="bottom"/>
            <w:tcBorders>
              <w:bottom w:val="single" w:sz="8" w:color="DBDBDB"/>
              <w:right w:val="single" w:sz="8" w:color="DBDBDB"/>
            </w:tcBorders>
            <w:shd w:val="clear" w:color="auto" w:fill="DBDBDB"/>
          </w:tcPr>
          <w:p>
            <w:pPr>
              <w:spacing w:after="0"/>
              <w:rPr>
                <w:sz w:val="20"/>
                <w:szCs w:val="20"/>
                <w:color w:val="auto"/>
              </w:rPr>
            </w:pPr>
          </w:p>
        </w:tc>
        <w:tc>
          <w:tcPr>
            <w:tcW w:w="120" w:type="dxa"/>
            <w:vAlign w:val="bottom"/>
            <w:tcBorders>
              <w:bottom w:val="single" w:sz="8" w:color="DBDBDB"/>
            </w:tcBorders>
            <w:shd w:val="clear" w:color="auto" w:fill="DBDBDB"/>
          </w:tcPr>
          <w:p>
            <w:pPr>
              <w:spacing w:after="0"/>
              <w:rPr>
                <w:sz w:val="20"/>
                <w:szCs w:val="20"/>
                <w:color w:val="auto"/>
              </w:rPr>
            </w:pPr>
          </w:p>
        </w:tc>
        <w:tc>
          <w:tcPr>
            <w:tcW w:w="17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221</w:t>
            </w:r>
          </w:p>
        </w:tc>
      </w:tr>
      <w:tr>
        <w:trPr>
          <w:trHeight w:val="215"/>
        </w:trPr>
        <w:tc>
          <w:tcPr>
            <w:tcW w:w="6620" w:type="dxa"/>
            <w:vAlign w:val="bottom"/>
          </w:tcPr>
          <w:p>
            <w:pPr>
              <w:ind w:left="20"/>
              <w:spacing w:after="0" w:line="215" w:lineRule="exact"/>
              <w:rPr>
                <w:sz w:val="20"/>
                <w:szCs w:val="20"/>
                <w:color w:val="auto"/>
              </w:rPr>
            </w:pPr>
            <w:r>
              <w:rPr>
                <w:rFonts w:ascii="Times New Roman" w:cs="Times New Roman" w:eastAsia="Times New Roman" w:hAnsi="Times New Roman"/>
                <w:sz w:val="20"/>
                <w:szCs w:val="20"/>
                <w:color w:val="auto"/>
              </w:rPr>
              <w:t>Share-based compensation</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1,724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1,332</w:t>
            </w:r>
          </w:p>
        </w:tc>
      </w:tr>
      <w:tr>
        <w:trPr>
          <w:trHeight w:val="235"/>
        </w:trPr>
        <w:tc>
          <w:tcPr>
            <w:tcW w:w="6620" w:type="dxa"/>
            <w:vAlign w:val="bottom"/>
            <w:shd w:val="clear" w:color="auto" w:fill="DBDBDB"/>
          </w:tcPr>
          <w:p>
            <w:pPr>
              <w:ind w:left="20"/>
              <w:spacing w:after="0"/>
              <w:rPr>
                <w:sz w:val="20"/>
                <w:szCs w:val="20"/>
                <w:color w:val="auto"/>
              </w:rPr>
            </w:pPr>
            <w:r>
              <w:rPr>
                <w:rFonts w:ascii="Times New Roman" w:cs="Times New Roman" w:eastAsia="Times New Roman" w:hAnsi="Times New Roman"/>
                <w:sz w:val="20"/>
                <w:szCs w:val="20"/>
                <w:color w:val="auto"/>
              </w:rPr>
              <w:t>Foreign tax credit</w:t>
            </w:r>
          </w:p>
        </w:tc>
        <w:tc>
          <w:tcPr>
            <w:tcW w:w="100" w:type="dxa"/>
            <w:vAlign w:val="bottom"/>
            <w:tcBorders>
              <w:bottom w:val="single" w:sz="8" w:color="DBDBDB"/>
              <w:right w:val="single" w:sz="8" w:color="DBDBDB"/>
            </w:tcBorders>
            <w:shd w:val="clear" w:color="auto" w:fill="DBDBDB"/>
          </w:tcPr>
          <w:p>
            <w:pPr>
              <w:spacing w:after="0"/>
              <w:rPr>
                <w:sz w:val="20"/>
                <w:szCs w:val="20"/>
                <w:color w:val="auto"/>
              </w:rPr>
            </w:pPr>
          </w:p>
        </w:tc>
        <w:tc>
          <w:tcPr>
            <w:tcW w:w="1140" w:type="dxa"/>
            <w:vAlign w:val="bottom"/>
            <w:tcBorders>
              <w:bottom w:val="single" w:sz="8" w:color="DBDBDB"/>
            </w:tcBorders>
            <w:shd w:val="clear" w:color="auto" w:fill="DBDBDB"/>
          </w:tcPr>
          <w:p>
            <w:pPr>
              <w:spacing w:after="0"/>
              <w:rPr>
                <w:sz w:val="20"/>
                <w:szCs w:val="20"/>
                <w:color w:val="auto"/>
              </w:rPr>
            </w:pPr>
          </w:p>
        </w:tc>
        <w:tc>
          <w:tcPr>
            <w:tcW w:w="7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4,599</w:t>
            </w:r>
          </w:p>
        </w:tc>
        <w:tc>
          <w:tcPr>
            <w:tcW w:w="200" w:type="dxa"/>
            <w:vAlign w:val="bottom"/>
            <w:tcBorders>
              <w:bottom w:val="single" w:sz="8" w:color="DBDBDB"/>
              <w:right w:val="single" w:sz="8" w:color="DBDBDB"/>
            </w:tcBorders>
            <w:shd w:val="clear" w:color="auto" w:fill="DBDBDB"/>
          </w:tcPr>
          <w:p>
            <w:pPr>
              <w:spacing w:after="0"/>
              <w:rPr>
                <w:sz w:val="20"/>
                <w:szCs w:val="20"/>
                <w:color w:val="auto"/>
              </w:rPr>
            </w:pPr>
          </w:p>
        </w:tc>
        <w:tc>
          <w:tcPr>
            <w:tcW w:w="120" w:type="dxa"/>
            <w:vAlign w:val="bottom"/>
            <w:tcBorders>
              <w:bottom w:val="single" w:sz="8" w:color="DBDBDB"/>
            </w:tcBorders>
            <w:shd w:val="clear" w:color="auto" w:fill="DBDBDB"/>
          </w:tcPr>
          <w:p>
            <w:pPr>
              <w:spacing w:after="0"/>
              <w:rPr>
                <w:sz w:val="20"/>
                <w:szCs w:val="20"/>
                <w:color w:val="auto"/>
              </w:rPr>
            </w:pPr>
          </w:p>
        </w:tc>
        <w:tc>
          <w:tcPr>
            <w:tcW w:w="17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4,599</w:t>
            </w:r>
          </w:p>
        </w:tc>
      </w:tr>
      <w:tr>
        <w:trPr>
          <w:trHeight w:val="215"/>
        </w:trPr>
        <w:tc>
          <w:tcPr>
            <w:tcW w:w="6620" w:type="dxa"/>
            <w:vAlign w:val="bottom"/>
          </w:tcPr>
          <w:p>
            <w:pPr>
              <w:ind w:left="20"/>
              <w:spacing w:after="0" w:line="215" w:lineRule="exact"/>
              <w:rPr>
                <w:sz w:val="20"/>
                <w:szCs w:val="20"/>
                <w:color w:val="auto"/>
              </w:rPr>
            </w:pPr>
            <w:r>
              <w:rPr>
                <w:rFonts w:ascii="Times New Roman" w:cs="Times New Roman" w:eastAsia="Times New Roman" w:hAnsi="Times New Roman"/>
                <w:sz w:val="20"/>
                <w:szCs w:val="20"/>
                <w:color w:val="auto"/>
              </w:rPr>
              <w:t>Research and development credits</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14,874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12,508</w:t>
            </w:r>
          </w:p>
        </w:tc>
      </w:tr>
      <w:tr>
        <w:trPr>
          <w:trHeight w:val="235"/>
        </w:trPr>
        <w:tc>
          <w:tcPr>
            <w:tcW w:w="6620" w:type="dxa"/>
            <w:vAlign w:val="bottom"/>
            <w:shd w:val="clear" w:color="auto" w:fill="DBDBDB"/>
          </w:tcPr>
          <w:p>
            <w:pPr>
              <w:ind w:left="20"/>
              <w:spacing w:after="0"/>
              <w:rPr>
                <w:sz w:val="20"/>
                <w:szCs w:val="20"/>
                <w:color w:val="auto"/>
              </w:rPr>
            </w:pPr>
            <w:r>
              <w:rPr>
                <w:rFonts w:ascii="Times New Roman" w:cs="Times New Roman" w:eastAsia="Times New Roman" w:hAnsi="Times New Roman"/>
                <w:sz w:val="20"/>
                <w:szCs w:val="20"/>
                <w:color w:val="auto"/>
              </w:rPr>
              <w:t>Capitalized research and development</w:t>
            </w:r>
          </w:p>
        </w:tc>
        <w:tc>
          <w:tcPr>
            <w:tcW w:w="100" w:type="dxa"/>
            <w:vAlign w:val="bottom"/>
            <w:tcBorders>
              <w:bottom w:val="single" w:sz="8" w:color="DBDBDB"/>
              <w:right w:val="single" w:sz="8" w:color="DBDBDB"/>
            </w:tcBorders>
            <w:shd w:val="clear" w:color="auto" w:fill="DBDBDB"/>
          </w:tcPr>
          <w:p>
            <w:pPr>
              <w:spacing w:after="0"/>
              <w:rPr>
                <w:sz w:val="20"/>
                <w:szCs w:val="20"/>
                <w:color w:val="auto"/>
              </w:rPr>
            </w:pPr>
          </w:p>
        </w:tc>
        <w:tc>
          <w:tcPr>
            <w:tcW w:w="1140" w:type="dxa"/>
            <w:vAlign w:val="bottom"/>
            <w:tcBorders>
              <w:bottom w:val="single" w:sz="8" w:color="DBDBDB"/>
            </w:tcBorders>
            <w:shd w:val="clear" w:color="auto" w:fill="DBDBDB"/>
          </w:tcPr>
          <w:p>
            <w:pPr>
              <w:spacing w:after="0"/>
              <w:rPr>
                <w:sz w:val="20"/>
                <w:szCs w:val="20"/>
                <w:color w:val="auto"/>
              </w:rPr>
            </w:pPr>
          </w:p>
        </w:tc>
        <w:tc>
          <w:tcPr>
            <w:tcW w:w="7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bottom w:val="single" w:sz="8" w:color="DBDBDB"/>
              <w:right w:val="single" w:sz="8" w:color="DBDBDB"/>
            </w:tcBorders>
            <w:shd w:val="clear" w:color="auto" w:fill="DBDBDB"/>
          </w:tcPr>
          <w:p>
            <w:pPr>
              <w:spacing w:after="0"/>
              <w:rPr>
                <w:sz w:val="20"/>
                <w:szCs w:val="20"/>
                <w:color w:val="auto"/>
              </w:rPr>
            </w:pPr>
          </w:p>
        </w:tc>
        <w:tc>
          <w:tcPr>
            <w:tcW w:w="120" w:type="dxa"/>
            <w:vAlign w:val="bottom"/>
            <w:tcBorders>
              <w:bottom w:val="single" w:sz="8" w:color="DBDBDB"/>
            </w:tcBorders>
            <w:shd w:val="clear" w:color="auto" w:fill="DBDBDB"/>
          </w:tcPr>
          <w:p>
            <w:pPr>
              <w:spacing w:after="0"/>
              <w:rPr>
                <w:sz w:val="20"/>
                <w:szCs w:val="20"/>
                <w:color w:val="auto"/>
              </w:rPr>
            </w:pPr>
          </w:p>
        </w:tc>
        <w:tc>
          <w:tcPr>
            <w:tcW w:w="17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14,449</w:t>
            </w:r>
          </w:p>
        </w:tc>
      </w:tr>
      <w:tr>
        <w:trPr>
          <w:trHeight w:val="215"/>
        </w:trPr>
        <w:tc>
          <w:tcPr>
            <w:tcW w:w="6620" w:type="dxa"/>
            <w:vAlign w:val="bottom"/>
          </w:tcPr>
          <w:p>
            <w:pPr>
              <w:ind w:left="20"/>
              <w:spacing w:after="0" w:line="215" w:lineRule="exact"/>
              <w:rPr>
                <w:sz w:val="20"/>
                <w:szCs w:val="20"/>
                <w:color w:val="auto"/>
              </w:rPr>
            </w:pPr>
            <w:r>
              <w:rPr>
                <w:rFonts w:ascii="Times New Roman" w:cs="Times New Roman" w:eastAsia="Times New Roman" w:hAnsi="Times New Roman"/>
                <w:sz w:val="20"/>
                <w:szCs w:val="20"/>
                <w:color w:val="auto"/>
              </w:rPr>
              <w:t>Interest</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5,587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4,465</w:t>
            </w:r>
          </w:p>
        </w:tc>
      </w:tr>
      <w:tr>
        <w:trPr>
          <w:trHeight w:val="235"/>
        </w:trPr>
        <w:tc>
          <w:tcPr>
            <w:tcW w:w="6620" w:type="dxa"/>
            <w:vAlign w:val="bottom"/>
            <w:shd w:val="clear" w:color="auto" w:fill="DBDBDB"/>
          </w:tcPr>
          <w:p>
            <w:pPr>
              <w:ind w:left="20"/>
              <w:spacing w:after="0"/>
              <w:rPr>
                <w:sz w:val="20"/>
                <w:szCs w:val="20"/>
                <w:color w:val="auto"/>
              </w:rPr>
            </w:pPr>
            <w:r>
              <w:rPr>
                <w:rFonts w:ascii="Times New Roman" w:cs="Times New Roman" w:eastAsia="Times New Roman" w:hAnsi="Times New Roman"/>
                <w:sz w:val="20"/>
                <w:szCs w:val="20"/>
                <w:color w:val="auto"/>
              </w:rPr>
              <w:t>ASC 842 Assets</w:t>
            </w:r>
          </w:p>
        </w:tc>
        <w:tc>
          <w:tcPr>
            <w:tcW w:w="100" w:type="dxa"/>
            <w:vAlign w:val="bottom"/>
            <w:tcBorders>
              <w:bottom w:val="single" w:sz="8" w:color="DBDBDB"/>
              <w:right w:val="single" w:sz="8" w:color="DBDBDB"/>
            </w:tcBorders>
            <w:shd w:val="clear" w:color="auto" w:fill="DBDBDB"/>
          </w:tcPr>
          <w:p>
            <w:pPr>
              <w:spacing w:after="0"/>
              <w:rPr>
                <w:sz w:val="20"/>
                <w:szCs w:val="20"/>
                <w:color w:val="auto"/>
              </w:rPr>
            </w:pPr>
          </w:p>
        </w:tc>
        <w:tc>
          <w:tcPr>
            <w:tcW w:w="1140" w:type="dxa"/>
            <w:vAlign w:val="bottom"/>
            <w:tcBorders>
              <w:bottom w:val="single" w:sz="8" w:color="DBDBDB"/>
            </w:tcBorders>
            <w:shd w:val="clear" w:color="auto" w:fill="DBDBDB"/>
          </w:tcPr>
          <w:p>
            <w:pPr>
              <w:spacing w:after="0"/>
              <w:rPr>
                <w:sz w:val="20"/>
                <w:szCs w:val="20"/>
                <w:color w:val="auto"/>
              </w:rPr>
            </w:pPr>
          </w:p>
        </w:tc>
        <w:tc>
          <w:tcPr>
            <w:tcW w:w="7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931</w:t>
            </w:r>
          </w:p>
        </w:tc>
        <w:tc>
          <w:tcPr>
            <w:tcW w:w="200" w:type="dxa"/>
            <w:vAlign w:val="bottom"/>
            <w:tcBorders>
              <w:bottom w:val="single" w:sz="8" w:color="DBDBDB"/>
              <w:right w:val="single" w:sz="8" w:color="DBDBDB"/>
            </w:tcBorders>
            <w:shd w:val="clear" w:color="auto" w:fill="DBDBDB"/>
          </w:tcPr>
          <w:p>
            <w:pPr>
              <w:spacing w:after="0"/>
              <w:rPr>
                <w:sz w:val="20"/>
                <w:szCs w:val="20"/>
                <w:color w:val="auto"/>
              </w:rPr>
            </w:pPr>
          </w:p>
        </w:tc>
        <w:tc>
          <w:tcPr>
            <w:tcW w:w="120" w:type="dxa"/>
            <w:vAlign w:val="bottom"/>
            <w:tcBorders>
              <w:bottom w:val="single" w:sz="8" w:color="DBDBDB"/>
            </w:tcBorders>
            <w:shd w:val="clear" w:color="auto" w:fill="DBDBDB"/>
          </w:tcPr>
          <w:p>
            <w:pPr>
              <w:spacing w:after="0"/>
              <w:rPr>
                <w:sz w:val="20"/>
                <w:szCs w:val="20"/>
                <w:color w:val="auto"/>
              </w:rPr>
            </w:pPr>
          </w:p>
        </w:tc>
        <w:tc>
          <w:tcPr>
            <w:tcW w:w="17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1,515</w:t>
            </w:r>
          </w:p>
        </w:tc>
      </w:tr>
      <w:tr>
        <w:trPr>
          <w:trHeight w:val="218"/>
        </w:trPr>
        <w:tc>
          <w:tcPr>
            <w:tcW w:w="6620" w:type="dxa"/>
            <w:vAlign w:val="bottom"/>
            <w:tcBorders>
              <w:bottom w:val="single" w:sz="8" w:color="DBDBDB"/>
            </w:tcBorders>
          </w:tcPr>
          <w:p>
            <w:pPr>
              <w:ind w:left="20"/>
              <w:spacing w:after="0" w:line="218" w:lineRule="exact"/>
              <w:rPr>
                <w:sz w:val="20"/>
                <w:szCs w:val="20"/>
                <w:color w:val="auto"/>
              </w:rPr>
            </w:pPr>
            <w:r>
              <w:rPr>
                <w:rFonts w:ascii="Times New Roman" w:cs="Times New Roman" w:eastAsia="Times New Roman" w:hAnsi="Times New Roman"/>
                <w:sz w:val="20"/>
                <w:szCs w:val="20"/>
                <w:color w:val="auto"/>
              </w:rPr>
              <w:t>Other</w:t>
            </w:r>
          </w:p>
        </w:tc>
        <w:tc>
          <w:tcPr>
            <w:tcW w:w="100" w:type="dxa"/>
            <w:vAlign w:val="bottom"/>
            <w:tcBorders>
              <w:bottom w:val="single" w:sz="8" w:color="DBDBDB"/>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line="218" w:lineRule="exact"/>
              <w:rPr>
                <w:sz w:val="20"/>
                <w:szCs w:val="20"/>
                <w:color w:val="auto"/>
              </w:rPr>
            </w:pPr>
            <w:r>
              <w:rPr>
                <w:rFonts w:ascii="Times New Roman" w:cs="Times New Roman" w:eastAsia="Times New Roman" w:hAnsi="Times New Roman"/>
                <w:sz w:val="20"/>
                <w:szCs w:val="20"/>
                <w:color w:val="auto"/>
              </w:rPr>
              <w:t>1,391</w:t>
            </w:r>
          </w:p>
        </w:tc>
        <w:tc>
          <w:tcPr>
            <w:tcW w:w="200" w:type="dxa"/>
            <w:vAlign w:val="bottom"/>
            <w:tcBorders>
              <w:bottom w:val="single" w:sz="8" w:color="DBDBDB"/>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line="218" w:lineRule="exact"/>
              <w:rPr>
                <w:sz w:val="20"/>
                <w:szCs w:val="20"/>
                <w:color w:val="auto"/>
              </w:rPr>
            </w:pPr>
            <w:r>
              <w:rPr>
                <w:rFonts w:ascii="Times New Roman" w:cs="Times New Roman" w:eastAsia="Times New Roman" w:hAnsi="Times New Roman"/>
                <w:sz w:val="20"/>
                <w:szCs w:val="20"/>
                <w:color w:val="auto"/>
              </w:rPr>
              <w:t>995</w:t>
            </w:r>
          </w:p>
        </w:tc>
      </w:tr>
      <w:tr>
        <w:trPr>
          <w:trHeight w:val="225"/>
        </w:trPr>
        <w:tc>
          <w:tcPr>
            <w:tcW w:w="6620" w:type="dxa"/>
            <w:vAlign w:val="bottom"/>
            <w:shd w:val="clear" w:color="auto" w:fill="DBDBDB"/>
          </w:tcPr>
          <w:p>
            <w:pPr>
              <w:ind w:left="20"/>
              <w:spacing w:after="0" w:line="220" w:lineRule="exact"/>
              <w:rPr>
                <w:sz w:val="20"/>
                <w:szCs w:val="20"/>
                <w:color w:val="auto"/>
              </w:rPr>
            </w:pPr>
            <w:r>
              <w:rPr>
                <w:rFonts w:ascii="Times New Roman" w:cs="Times New Roman" w:eastAsia="Times New Roman" w:hAnsi="Times New Roman"/>
                <w:sz w:val="20"/>
                <w:szCs w:val="20"/>
                <w:color w:val="auto"/>
              </w:rPr>
              <w:t>Deferred tax assets</w:t>
            </w:r>
          </w:p>
        </w:tc>
        <w:tc>
          <w:tcPr>
            <w:tcW w:w="100" w:type="dxa"/>
            <w:vAlign w:val="bottom"/>
            <w:tcBorders>
              <w:right w:val="single" w:sz="8" w:color="DBDBDB"/>
            </w:tcBorders>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700" w:type="dxa"/>
            <w:vAlign w:val="bottom"/>
            <w:shd w:val="clear" w:color="auto" w:fill="DBDBDB"/>
          </w:tcPr>
          <w:p>
            <w:pPr>
              <w:jc w:val="right"/>
              <w:spacing w:after="0" w:line="225" w:lineRule="exact"/>
              <w:rPr>
                <w:sz w:val="20"/>
                <w:szCs w:val="20"/>
                <w:color w:val="auto"/>
              </w:rPr>
            </w:pPr>
            <w:r>
              <w:rPr>
                <w:rFonts w:ascii="Times New Roman" w:cs="Times New Roman" w:eastAsia="Times New Roman" w:hAnsi="Times New Roman"/>
                <w:sz w:val="20"/>
                <w:szCs w:val="20"/>
                <w:color w:val="auto"/>
              </w:rPr>
              <w:t>111,868</w:t>
            </w:r>
          </w:p>
        </w:tc>
        <w:tc>
          <w:tcPr>
            <w:tcW w:w="200" w:type="dxa"/>
            <w:vAlign w:val="bottom"/>
            <w:tcBorders>
              <w:right w:val="single" w:sz="8" w:color="DBDBDB"/>
            </w:tcBorders>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720" w:type="dxa"/>
            <w:vAlign w:val="bottom"/>
            <w:shd w:val="clear" w:color="auto" w:fill="DBDBDB"/>
          </w:tcPr>
          <w:p>
            <w:pPr>
              <w:jc w:val="right"/>
              <w:spacing w:after="0" w:line="225" w:lineRule="exact"/>
              <w:rPr>
                <w:sz w:val="20"/>
                <w:szCs w:val="20"/>
                <w:color w:val="auto"/>
              </w:rPr>
            </w:pPr>
            <w:r>
              <w:rPr>
                <w:rFonts w:ascii="Times New Roman" w:cs="Times New Roman" w:eastAsia="Times New Roman" w:hAnsi="Times New Roman"/>
                <w:sz w:val="20"/>
                <w:szCs w:val="20"/>
                <w:color w:val="auto"/>
              </w:rPr>
              <w:t>103,572</w:t>
            </w:r>
          </w:p>
        </w:tc>
      </w:tr>
      <w:tr>
        <w:trPr>
          <w:trHeight w:val="238"/>
        </w:trPr>
        <w:tc>
          <w:tcPr>
            <w:tcW w:w="6620" w:type="dxa"/>
            <w:vAlign w:val="bottom"/>
            <w:tcBorders>
              <w:bottom w:val="single" w:sz="8" w:color="DBDBDB"/>
            </w:tcBorders>
          </w:tcPr>
          <w:p>
            <w:pPr>
              <w:ind w:left="20"/>
              <w:spacing w:after="0"/>
              <w:rPr>
                <w:sz w:val="20"/>
                <w:szCs w:val="20"/>
                <w:color w:val="auto"/>
              </w:rPr>
            </w:pPr>
            <w:r>
              <w:rPr>
                <w:rFonts w:ascii="Times New Roman" w:cs="Times New Roman" w:eastAsia="Times New Roman" w:hAnsi="Times New Roman"/>
                <w:sz w:val="20"/>
                <w:szCs w:val="20"/>
                <w:color w:val="auto"/>
              </w:rPr>
              <w:t>Less valuation allowance</w:t>
            </w:r>
          </w:p>
        </w:tc>
        <w:tc>
          <w:tcPr>
            <w:tcW w:w="100" w:type="dxa"/>
            <w:vAlign w:val="bottom"/>
            <w:tcBorders>
              <w:bottom w:val="single" w:sz="8" w:color="DBDBDB"/>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(95,753)</w:t>
            </w:r>
          </w:p>
        </w:tc>
        <w:tc>
          <w:tcPr>
            <w:tcW w:w="200" w:type="dxa"/>
            <w:vAlign w:val="bottom"/>
            <w:tcBorders>
              <w:bottom w:val="single" w:sz="8" w:color="DBDBDB"/>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(94,996)</w:t>
            </w:r>
          </w:p>
        </w:tc>
      </w:tr>
      <w:tr>
        <w:trPr>
          <w:trHeight w:val="225"/>
        </w:trPr>
        <w:tc>
          <w:tcPr>
            <w:tcW w:w="6620" w:type="dxa"/>
            <w:vAlign w:val="bottom"/>
            <w:shd w:val="clear" w:color="auto" w:fill="DBDBDB"/>
          </w:tcPr>
          <w:p>
            <w:pPr>
              <w:ind w:left="20"/>
              <w:spacing w:after="0" w:line="225" w:lineRule="exact"/>
              <w:rPr>
                <w:sz w:val="20"/>
                <w:szCs w:val="20"/>
                <w:color w:val="auto"/>
              </w:rPr>
            </w:pPr>
            <w:r>
              <w:rPr>
                <w:rFonts w:ascii="Times New Roman" w:cs="Times New Roman" w:eastAsia="Times New Roman" w:hAnsi="Times New Roman"/>
                <w:sz w:val="20"/>
                <w:szCs w:val="20"/>
                <w:color w:val="auto"/>
              </w:rPr>
              <w:t>Deferred tax assets, net</w:t>
            </w:r>
          </w:p>
        </w:tc>
        <w:tc>
          <w:tcPr>
            <w:tcW w:w="100" w:type="dxa"/>
            <w:vAlign w:val="bottom"/>
            <w:tcBorders>
              <w:bottom w:val="single" w:sz="8" w:color="DBDBDB"/>
              <w:right w:val="single" w:sz="8" w:color="DBDBDB"/>
            </w:tcBorders>
            <w:shd w:val="clear" w:color="auto" w:fill="DBDBDB"/>
          </w:tcPr>
          <w:p>
            <w:pPr>
              <w:spacing w:after="0"/>
              <w:rPr>
                <w:sz w:val="19"/>
                <w:szCs w:val="19"/>
                <w:color w:val="auto"/>
              </w:rPr>
            </w:pPr>
          </w:p>
        </w:tc>
        <w:tc>
          <w:tcPr>
            <w:tcW w:w="1140" w:type="dxa"/>
            <w:vAlign w:val="bottom"/>
            <w:tcBorders>
              <w:bottom w:val="single" w:sz="8" w:color="DBDBDB"/>
            </w:tcBorders>
            <w:shd w:val="clear" w:color="auto" w:fill="DBDBDB"/>
          </w:tcPr>
          <w:p>
            <w:pPr>
              <w:spacing w:after="0"/>
              <w:rPr>
                <w:sz w:val="19"/>
                <w:szCs w:val="19"/>
                <w:color w:val="auto"/>
              </w:rPr>
            </w:pPr>
          </w:p>
        </w:tc>
        <w:tc>
          <w:tcPr>
            <w:tcW w:w="700" w:type="dxa"/>
            <w:vAlign w:val="bottom"/>
            <w:tcBorders>
              <w:bottom w:val="single" w:sz="8" w:color="DBDBDB"/>
            </w:tcBorders>
            <w:shd w:val="clear" w:color="auto" w:fill="DBDBDB"/>
          </w:tcPr>
          <w:p>
            <w:pPr>
              <w:jc w:val="right"/>
              <w:spacing w:after="0" w:line="225" w:lineRule="exact"/>
              <w:rPr>
                <w:sz w:val="20"/>
                <w:szCs w:val="20"/>
                <w:color w:val="auto"/>
              </w:rPr>
            </w:pPr>
            <w:r>
              <w:rPr>
                <w:rFonts w:ascii="Times New Roman" w:cs="Times New Roman" w:eastAsia="Times New Roman" w:hAnsi="Times New Roman"/>
                <w:sz w:val="20"/>
                <w:szCs w:val="20"/>
                <w:color w:val="auto"/>
              </w:rPr>
              <w:t>16,115</w:t>
            </w:r>
          </w:p>
        </w:tc>
        <w:tc>
          <w:tcPr>
            <w:tcW w:w="200" w:type="dxa"/>
            <w:vAlign w:val="bottom"/>
            <w:tcBorders>
              <w:bottom w:val="single" w:sz="8" w:color="DBDBDB"/>
              <w:right w:val="single" w:sz="8" w:color="DBDBDB"/>
            </w:tcBorders>
            <w:shd w:val="clear" w:color="auto" w:fill="DBDBDB"/>
          </w:tcPr>
          <w:p>
            <w:pPr>
              <w:spacing w:after="0"/>
              <w:rPr>
                <w:sz w:val="19"/>
                <w:szCs w:val="19"/>
                <w:color w:val="auto"/>
              </w:rPr>
            </w:pPr>
          </w:p>
        </w:tc>
        <w:tc>
          <w:tcPr>
            <w:tcW w:w="120" w:type="dxa"/>
            <w:vAlign w:val="bottom"/>
            <w:tcBorders>
              <w:bottom w:val="single" w:sz="8" w:color="DBDBDB"/>
            </w:tcBorders>
            <w:shd w:val="clear" w:color="auto" w:fill="DBDBDB"/>
          </w:tcPr>
          <w:p>
            <w:pPr>
              <w:spacing w:after="0"/>
              <w:rPr>
                <w:sz w:val="19"/>
                <w:szCs w:val="19"/>
                <w:color w:val="auto"/>
              </w:rPr>
            </w:pPr>
          </w:p>
        </w:tc>
        <w:tc>
          <w:tcPr>
            <w:tcW w:w="1720" w:type="dxa"/>
            <w:vAlign w:val="bottom"/>
            <w:tcBorders>
              <w:bottom w:val="single" w:sz="8" w:color="DBDBDB"/>
            </w:tcBorders>
            <w:shd w:val="clear" w:color="auto" w:fill="DBDBDB"/>
          </w:tcPr>
          <w:p>
            <w:pPr>
              <w:jc w:val="right"/>
              <w:spacing w:after="0" w:line="225" w:lineRule="exact"/>
              <w:rPr>
                <w:sz w:val="20"/>
                <w:szCs w:val="20"/>
                <w:color w:val="auto"/>
              </w:rPr>
            </w:pPr>
            <w:r>
              <w:rPr>
                <w:rFonts w:ascii="Times New Roman" w:cs="Times New Roman" w:eastAsia="Times New Roman" w:hAnsi="Times New Roman"/>
                <w:sz w:val="20"/>
                <w:szCs w:val="20"/>
                <w:color w:val="auto"/>
              </w:rPr>
              <w:t>8,576</w:t>
            </w:r>
          </w:p>
        </w:tc>
      </w:tr>
      <w:tr>
        <w:trPr>
          <w:trHeight w:val="215"/>
        </w:trPr>
        <w:tc>
          <w:tcPr>
            <w:tcW w:w="6620" w:type="dxa"/>
            <w:vAlign w:val="bottom"/>
          </w:tcPr>
          <w:p>
            <w:pPr>
              <w:ind w:left="20"/>
              <w:spacing w:after="0" w:line="215" w:lineRule="exact"/>
              <w:rPr>
                <w:sz w:val="20"/>
                <w:szCs w:val="20"/>
                <w:color w:val="auto"/>
              </w:rPr>
            </w:pPr>
            <w:r>
              <w:rPr>
                <w:rFonts w:ascii="Times New Roman" w:cs="Times New Roman" w:eastAsia="Times New Roman" w:hAnsi="Times New Roman"/>
                <w:sz w:val="20"/>
                <w:szCs w:val="20"/>
                <w:color w:val="auto"/>
              </w:rPr>
              <w:t>Depreciation and amortization</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(7,812)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(7,216)</w:t>
            </w:r>
          </w:p>
        </w:tc>
      </w:tr>
      <w:tr>
        <w:trPr>
          <w:trHeight w:val="256"/>
        </w:trPr>
        <w:tc>
          <w:tcPr>
            <w:tcW w:w="662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20"/>
                <w:szCs w:val="20"/>
                <w:color w:val="auto"/>
              </w:rPr>
              <w:t>ASC 842 Liabilities</w:t>
            </w:r>
          </w:p>
        </w:tc>
        <w:tc>
          <w:tcPr>
            <w:tcW w:w="100" w:type="dxa"/>
            <w:vAlign w:val="bottom"/>
            <w:tcBorders>
              <w:bottom w:val="single" w:sz="8" w:color="DBDBDB"/>
              <w:right w:val="single" w:sz="8" w:color="DBDBDB"/>
            </w:tcBorders>
            <w:shd w:val="clear" w:color="auto" w:fill="DBDBDB"/>
          </w:tcPr>
          <w:p>
            <w:pPr>
              <w:spacing w:after="0"/>
              <w:rPr>
                <w:sz w:val="22"/>
                <w:szCs w:val="22"/>
                <w:color w:val="auto"/>
              </w:rPr>
            </w:pPr>
          </w:p>
        </w:tc>
        <w:tc>
          <w:tcPr>
            <w:tcW w:w="1140" w:type="dxa"/>
            <w:vAlign w:val="bottom"/>
            <w:tcBorders>
              <w:bottom w:val="single" w:sz="8" w:color="auto"/>
            </w:tcBorders>
            <w:shd w:val="clear" w:color="auto" w:fill="DBDBDB"/>
          </w:tcPr>
          <w:p>
            <w:pPr>
              <w:spacing w:after="0"/>
              <w:rPr>
                <w:sz w:val="22"/>
                <w:szCs w:val="22"/>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(687)</w:t>
            </w:r>
          </w:p>
        </w:tc>
        <w:tc>
          <w:tcPr>
            <w:tcW w:w="200" w:type="dxa"/>
            <w:vAlign w:val="bottom"/>
            <w:tcBorders>
              <w:bottom w:val="single" w:sz="8" w:color="DBDBDB"/>
              <w:right w:val="single" w:sz="8" w:color="DBDBDB"/>
            </w:tcBorders>
            <w:shd w:val="clear" w:color="auto" w:fill="DBDBDB"/>
          </w:tcPr>
          <w:p>
            <w:pPr>
              <w:spacing w:after="0"/>
              <w:rPr>
                <w:sz w:val="22"/>
                <w:szCs w:val="22"/>
                <w:color w:val="auto"/>
              </w:rPr>
            </w:pPr>
          </w:p>
        </w:tc>
        <w:tc>
          <w:tcPr>
            <w:tcW w:w="120" w:type="dxa"/>
            <w:vAlign w:val="bottom"/>
            <w:tcBorders>
              <w:bottom w:val="single" w:sz="8" w:color="auto"/>
            </w:tcBorders>
            <w:shd w:val="clear" w:color="auto" w:fill="DBDBDB"/>
          </w:tcPr>
          <w:p>
            <w:pPr>
              <w:spacing w:after="0"/>
              <w:rPr>
                <w:sz w:val="22"/>
                <w:szCs w:val="22"/>
                <w:color w:val="auto"/>
              </w:rPr>
            </w:pPr>
          </w:p>
        </w:tc>
        <w:tc>
          <w:tcPr>
            <w:tcW w:w="17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(1,360)</w:t>
            </w:r>
          </w:p>
        </w:tc>
      </w:tr>
      <w:tr>
        <w:trPr>
          <w:trHeight w:val="211"/>
        </w:trPr>
        <w:tc>
          <w:tcPr>
            <w:tcW w:w="6620" w:type="dxa"/>
            <w:vAlign w:val="bottom"/>
            <w:tcBorders>
              <w:bottom w:val="single" w:sz="8" w:color="DBDBDB"/>
            </w:tcBorders>
          </w:tcPr>
          <w:p>
            <w:pPr>
              <w:ind w:left="20"/>
              <w:spacing w:after="0" w:line="210" w:lineRule="exact"/>
              <w:rPr>
                <w:sz w:val="20"/>
                <w:szCs w:val="20"/>
                <w:color w:val="auto"/>
              </w:rPr>
            </w:pPr>
            <w:r>
              <w:rPr>
                <w:rFonts w:ascii="Times New Roman" w:cs="Times New Roman" w:eastAsia="Times New Roman" w:hAnsi="Times New Roman"/>
                <w:sz w:val="20"/>
                <w:szCs w:val="20"/>
                <w:color w:val="auto"/>
              </w:rPr>
              <w:t>Deferred tax liabilities</w:t>
            </w:r>
          </w:p>
        </w:tc>
        <w:tc>
          <w:tcPr>
            <w:tcW w:w="100" w:type="dxa"/>
            <w:vAlign w:val="bottom"/>
            <w:tcBorders>
              <w:bottom w:val="single" w:sz="8" w:color="DBDBDB"/>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20"/>
                <w:szCs w:val="20"/>
                <w:color w:val="auto"/>
              </w:rPr>
              <w:t>(8,499)</w:t>
            </w:r>
          </w:p>
        </w:tc>
        <w:tc>
          <w:tcPr>
            <w:tcW w:w="200" w:type="dxa"/>
            <w:vAlign w:val="bottom"/>
            <w:tcBorders>
              <w:bottom w:val="single" w:sz="8" w:color="DBDBDB"/>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20"/>
                <w:szCs w:val="20"/>
                <w:color w:val="auto"/>
              </w:rPr>
              <w:t>(8,576)</w:t>
            </w:r>
          </w:p>
        </w:tc>
      </w:tr>
      <w:tr>
        <w:trPr>
          <w:trHeight w:val="263"/>
        </w:trPr>
        <w:tc>
          <w:tcPr>
            <w:tcW w:w="6620" w:type="dxa"/>
            <w:vAlign w:val="bottom"/>
            <w:tcBorders>
              <w:bottom w:val="single" w:sz="8" w:color="DBDBDB"/>
            </w:tcBorders>
            <w:shd w:val="clear" w:color="auto" w:fill="DBDBDB"/>
          </w:tcPr>
          <w:p>
            <w:pPr>
              <w:ind w:left="20"/>
              <w:spacing w:after="0" w:line="226" w:lineRule="exact"/>
              <w:rPr>
                <w:sz w:val="20"/>
                <w:szCs w:val="20"/>
                <w:color w:val="auto"/>
              </w:rPr>
            </w:pPr>
            <w:r>
              <w:rPr>
                <w:rFonts w:ascii="Times New Roman" w:cs="Times New Roman" w:eastAsia="Times New Roman" w:hAnsi="Times New Roman"/>
                <w:sz w:val="20"/>
                <w:szCs w:val="20"/>
                <w:color w:val="auto"/>
              </w:rPr>
              <w:t>Deferred tax assets, net</w:t>
            </w:r>
          </w:p>
        </w:tc>
        <w:tc>
          <w:tcPr>
            <w:tcW w:w="100" w:type="dxa"/>
            <w:vAlign w:val="bottom"/>
            <w:tcBorders>
              <w:bottom w:val="single" w:sz="8" w:color="DBDBDB"/>
              <w:right w:val="single" w:sz="8" w:color="DBDBDB"/>
            </w:tcBorders>
            <w:shd w:val="clear" w:color="auto" w:fill="DBDBDB"/>
          </w:tcPr>
          <w:p>
            <w:pPr>
              <w:spacing w:after="0"/>
              <w:rPr>
                <w:sz w:val="22"/>
                <w:szCs w:val="22"/>
                <w:color w:val="auto"/>
              </w:rPr>
            </w:pPr>
          </w:p>
        </w:tc>
        <w:tc>
          <w:tcPr>
            <w:tcW w:w="1140" w:type="dxa"/>
            <w:vAlign w:val="bottom"/>
            <w:tcBorders>
              <w:bottom w:val="single" w:sz="8" w:color="DBDBDB"/>
            </w:tcBorders>
            <w:shd w:val="clear" w:color="auto" w:fill="DBDBDB"/>
          </w:tcPr>
          <w:p>
            <w:pPr>
              <w:jc w:val="right"/>
              <w:ind w:right="942"/>
              <w:spacing w:after="0" w:line="226"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700" w:type="dxa"/>
            <w:vAlign w:val="bottom"/>
            <w:tcBorders>
              <w:bottom w:val="single" w:sz="8" w:color="DBDBDB"/>
            </w:tcBorders>
            <w:shd w:val="clear" w:color="auto" w:fill="DBDBDB"/>
          </w:tcPr>
          <w:p>
            <w:pPr>
              <w:jc w:val="right"/>
              <w:spacing w:after="0" w:line="226" w:lineRule="exact"/>
              <w:rPr>
                <w:sz w:val="20"/>
                <w:szCs w:val="20"/>
                <w:color w:val="auto"/>
              </w:rPr>
            </w:pPr>
            <w:r>
              <w:rPr>
                <w:rFonts w:ascii="Times New Roman" w:cs="Times New Roman" w:eastAsia="Times New Roman" w:hAnsi="Times New Roman"/>
                <w:sz w:val="20"/>
                <w:szCs w:val="20"/>
                <w:color w:val="auto"/>
              </w:rPr>
              <w:t>7,616</w:t>
            </w:r>
          </w:p>
        </w:tc>
        <w:tc>
          <w:tcPr>
            <w:tcW w:w="200" w:type="dxa"/>
            <w:vAlign w:val="bottom"/>
            <w:tcBorders>
              <w:bottom w:val="single" w:sz="8" w:color="DBDBDB"/>
              <w:right w:val="single" w:sz="8" w:color="DBDBDB"/>
            </w:tcBorders>
            <w:shd w:val="clear" w:color="auto" w:fill="DBDBDB"/>
          </w:tcPr>
          <w:p>
            <w:pPr>
              <w:spacing w:after="0"/>
              <w:rPr>
                <w:sz w:val="22"/>
                <w:szCs w:val="22"/>
                <w:color w:val="auto"/>
              </w:rPr>
            </w:pPr>
          </w:p>
        </w:tc>
        <w:tc>
          <w:tcPr>
            <w:tcW w:w="120" w:type="dxa"/>
            <w:vAlign w:val="bottom"/>
            <w:tcBorders>
              <w:bottom w:val="single" w:sz="8" w:color="auto"/>
            </w:tcBorders>
            <w:shd w:val="clear" w:color="auto" w:fill="DBDBDB"/>
          </w:tcPr>
          <w:p>
            <w:pPr>
              <w:jc w:val="right"/>
              <w:spacing w:after="0" w:line="226"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720" w:type="dxa"/>
            <w:vAlign w:val="bottom"/>
            <w:tcBorders>
              <w:bottom w:val="single" w:sz="8" w:color="auto"/>
            </w:tcBorders>
            <w:shd w:val="clear" w:color="auto" w:fill="DBDBDB"/>
          </w:tcPr>
          <w:p>
            <w:pPr>
              <w:jc w:val="right"/>
              <w:spacing w:after="0" w:line="226" w:lineRule="exact"/>
              <w:rPr>
                <w:sz w:val="20"/>
                <w:szCs w:val="20"/>
                <w:color w:val="auto"/>
              </w:rPr>
            </w:pPr>
            <w:r>
              <w:rPr>
                <w:rFonts w:ascii="Times New Roman" w:cs="Times New Roman" w:eastAsia="Times New Roman" w:hAnsi="Times New Roman"/>
                <w:sz w:val="20"/>
                <w:szCs w:val="20"/>
                <w:color w:val="auto"/>
              </w:rPr>
              <w:t>—</w:t>
            </w:r>
          </w:p>
        </w:tc>
      </w:tr>
      <w:tr>
        <w:trPr>
          <w:trHeight w:val="20"/>
        </w:trPr>
        <w:tc>
          <w:tcPr>
            <w:tcW w:w="662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right w:val="single" w:sz="8" w:color="auto"/>
            </w:tcBorders>
          </w:tcPr>
          <w:p>
            <w:pPr>
              <w:spacing w:after="0" w:line="20" w:lineRule="exact"/>
              <w:rPr>
                <w:sz w:val="1"/>
                <w:szCs w:val="1"/>
                <w:color w:val="auto"/>
              </w:rPr>
            </w:pPr>
          </w:p>
        </w:tc>
        <w:tc>
          <w:tcPr>
            <w:tcW w:w="1140" w:type="dxa"/>
            <w:vAlign w:val="bottom"/>
            <w:tcBorders>
              <w:top w:val="single" w:sz="8" w:color="DBDBDB"/>
            </w:tcBorders>
            <w:shd w:val="clear" w:color="auto" w:fill="000000"/>
          </w:tcPr>
          <w:p>
            <w:pPr>
              <w:spacing w:after="0" w:line="20" w:lineRule="exact"/>
              <w:rPr>
                <w:sz w:val="1"/>
                <w:szCs w:val="1"/>
                <w:color w:val="auto"/>
              </w:rPr>
            </w:pPr>
          </w:p>
        </w:tc>
        <w:tc>
          <w:tcPr>
            <w:tcW w:w="700" w:type="dxa"/>
            <w:vAlign w:val="bottom"/>
            <w:tcBorders>
              <w:top w:val="single" w:sz="8" w:color="DBDBDB"/>
            </w:tcBorders>
            <w:shd w:val="clear" w:color="auto" w:fill="000000"/>
          </w:tcPr>
          <w:p>
            <w:pPr>
              <w:spacing w:after="0" w:line="20" w:lineRule="exact"/>
              <w:rPr>
                <w:sz w:val="1"/>
                <w:szCs w:val="1"/>
                <w:color w:val="auto"/>
              </w:rPr>
            </w:pPr>
          </w:p>
        </w:tc>
        <w:tc>
          <w:tcPr>
            <w:tcW w:w="200" w:type="dxa"/>
            <w:vAlign w:val="bottom"/>
            <w:tcBorders>
              <w:top w:val="single" w:sz="8" w:color="DBDBDB"/>
              <w:right w:val="single" w:sz="8" w:color="auto"/>
            </w:tcBorders>
          </w:tcPr>
          <w:p>
            <w:pPr>
              <w:spacing w:after="0" w:line="20" w:lineRule="exact"/>
              <w:rPr>
                <w:sz w:val="1"/>
                <w:szCs w:val="1"/>
                <w:color w:val="auto"/>
              </w:rPr>
            </w:pPr>
          </w:p>
        </w:tc>
        <w:tc>
          <w:tcPr>
            <w:tcW w:w="120" w:type="dxa"/>
            <w:vAlign w:val="bottom"/>
            <w:tcBorders>
              <w:top w:val="single" w:sz="8" w:color="DBDBDB"/>
            </w:tcBorders>
            <w:shd w:val="clear" w:color="auto" w:fill="000000"/>
          </w:tcPr>
          <w:p>
            <w:pPr>
              <w:spacing w:after="0" w:line="20" w:lineRule="exact"/>
              <w:rPr>
                <w:sz w:val="1"/>
                <w:szCs w:val="1"/>
                <w:color w:val="auto"/>
              </w:rPr>
            </w:pPr>
          </w:p>
        </w:tc>
        <w:tc>
          <w:tcPr>
            <w:tcW w:w="1720" w:type="dxa"/>
            <w:vAlign w:val="bottom"/>
            <w:tcBorders>
              <w:top w:val="single" w:sz="8" w:color="DBDBDB"/>
            </w:tcBorders>
            <w:shd w:val="clear" w:color="auto" w:fill="000000"/>
          </w:tcPr>
          <w:p>
            <w:pPr>
              <w:spacing w:after="0" w:line="20" w:lineRule="exact"/>
              <w:rPr>
                <w:sz w:val="1"/>
                <w:szCs w:val="1"/>
                <w:color w:val="auto"/>
              </w:rPr>
            </w:pPr>
          </w:p>
        </w:tc>
      </w:tr>
    </w:tbl>
    <w:p>
      <w:pPr>
        <w:spacing w:after="0" w:line="206" w:lineRule="exact"/>
        <w:rPr>
          <w:sz w:val="20"/>
          <w:szCs w:val="20"/>
          <w:color w:val="auto"/>
        </w:rPr>
      </w:pPr>
    </w:p>
    <w:p>
      <w:pPr>
        <w:jc w:val="both"/>
        <w:ind w:firstLine="706"/>
        <w:spacing w:after="0" w:line="239" w:lineRule="auto"/>
        <w:rPr>
          <w:sz w:val="20"/>
          <w:szCs w:val="20"/>
          <w:color w:val="auto"/>
        </w:rPr>
      </w:pPr>
      <w:r>
        <w:rPr>
          <w:rFonts w:ascii="Times New Roman" w:cs="Times New Roman" w:eastAsia="Times New Roman" w:hAnsi="Times New Roman"/>
          <w:sz w:val="20"/>
          <w:szCs w:val="20"/>
          <w:color w:val="auto"/>
        </w:rPr>
        <w:t>The Company has a U.S. net operating loss carry forward of approximately $250.6 million, $33.6 million of which, if unused, expires between 2026 and 2032 and $217.0 million of which, can be carried forward indefinitely. The Company has U.S. and state research and development tax credits of $14.9 million, which, if unused, expire between 2028 and 2044. In addition, the Company has foreign tax credits of $ 4.6 million, which, if unused, will expire in 2028. Utilization of U.S. net operating losses and tax credit carry forwards are subject to an annual limitation due to the ownership change limitations set forth in Internal Revenue Code Section 382. As of December 31, 2025, the Company had Taiwan net operating loss carry forwards of approximately $86.2 million and China net operating loss carry forwards of approximately $40.4 million. The carryforward period for the Taiwan net operating loss carry forwards is ten years, and the expiration period begins 2028. The carryforward period for China net operating loss carry forwards is ten years, and the expiration period begins 2029.</w:t>
      </w:r>
    </w:p>
    <w:p>
      <w:pPr>
        <w:sectPr>
          <w:pgSz w:w="11880" w:h="15480" w:orient="portrait"/>
          <w:cols w:equalWidth="0" w:num="1">
            <w:col w:w="10600"/>
          </w:cols>
          <w:pgMar w:left="640" w:top="407"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ectPr>
          <w:pgSz w:w="11880" w:h="15480" w:orient="portrait"/>
          <w:cols w:equalWidth="0" w:num="1">
            <w:col w:w="10600"/>
          </w:cols>
          <w:pgMar w:left="640" w:top="407" w:right="640" w:bottom="0" w:gutter="0" w:footer="0" w:header="0"/>
          <w:type w:val="continuous"/>
        </w:sectPr>
      </w:pPr>
    </w:p>
    <w:bookmarkStart w:id="84" w:name="page85"/>
    <w:bookmarkEnd w:id="84"/>
    <w:p>
      <w:pPr>
        <w:jc w:val="both"/>
        <w:ind w:firstLine="706"/>
        <w:spacing w:after="0" w:line="245" w:lineRule="auto"/>
        <w:rPr>
          <w:sz w:val="20"/>
          <w:szCs w:val="20"/>
          <w:color w:val="auto"/>
        </w:rPr>
      </w:pPr>
      <w:r>
        <w:rPr>
          <w:rFonts w:ascii="Times New Roman" w:cs="Times New Roman" w:eastAsia="Times New Roman" w:hAnsi="Times New Roman"/>
          <w:sz w:val="20"/>
          <w:szCs w:val="20"/>
          <w:color w:val="auto"/>
        </w:rPr>
        <w:t>Management assesses the available positive and negative evidence to estimate whether sufficient future taxable income will be generated to permit use of the existing deferred tax assets. A significant piece of objective negative evidence evaluated was the cumulative loss incurred over the three-year period ended December 31, 2025. Such objective evidence limits the ability to consider other subjective evidence, such as our projections for future growth.</w:t>
      </w:r>
    </w:p>
    <w:p>
      <w:pPr>
        <w:spacing w:after="0" w:line="188" w:lineRule="exact"/>
        <w:rPr>
          <w:sz w:val="20"/>
          <w:szCs w:val="20"/>
          <w:color w:val="auto"/>
        </w:rPr>
      </w:pPr>
    </w:p>
    <w:p>
      <w:pPr>
        <w:jc w:val="both"/>
        <w:ind w:firstLine="706"/>
        <w:spacing w:after="0" w:line="243" w:lineRule="auto"/>
        <w:rPr>
          <w:sz w:val="20"/>
          <w:szCs w:val="20"/>
          <w:color w:val="auto"/>
        </w:rPr>
      </w:pPr>
      <w:r>
        <w:rPr>
          <w:rFonts w:ascii="Times New Roman" w:cs="Times New Roman" w:eastAsia="Times New Roman" w:hAnsi="Times New Roman"/>
          <w:sz w:val="20"/>
          <w:szCs w:val="20"/>
          <w:color w:val="auto"/>
        </w:rPr>
        <w:t>On the basis of this evaluation, as of December 31, 2025 and December 31, 2024, a valuation allowance of $95.8 million and $95.0 million, respectively, has been recorded to recognize only the portion of the deferred tax asset that is more likely than not to be realized. The amount of the deferred tax asset considered realizable, however, could be adjusted if estimates of future taxable income during the carryforward period are reduced or increased or if objective negative evidence in the form of cumulative losses is no longer present and additional weight is given to subjective evidence such as our projections for growth.</w:t>
      </w:r>
    </w:p>
    <w:p>
      <w:pPr>
        <w:spacing w:after="0" w:line="1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 shows the change in the deferred tax valuation allowance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240" w:type="dxa"/>
            <w:vAlign w:val="bottom"/>
            <w:tcBorders>
              <w:bottom w:val="single" w:sz="8" w:color="DBDBDB"/>
            </w:tcBorders>
          </w:tcPr>
          <w:p>
            <w:pPr>
              <w:spacing w:after="0"/>
              <w:rPr>
                <w:sz w:val="22"/>
                <w:szCs w:val="22"/>
                <w:color w:val="auto"/>
              </w:rPr>
            </w:pPr>
          </w:p>
        </w:tc>
        <w:tc>
          <w:tcPr>
            <w:tcW w:w="100" w:type="dxa"/>
            <w:vAlign w:val="bottom"/>
            <w:tcBorders>
              <w:bottom w:val="single" w:sz="8" w:color="DBDBDB"/>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580" w:type="dxa"/>
            <w:vAlign w:val="bottom"/>
            <w:tcBorders>
              <w:bottom w:val="single" w:sz="8" w:color="auto"/>
            </w:tcBorders>
          </w:tcPr>
          <w:p>
            <w:pPr>
              <w:spacing w:after="0"/>
              <w:rPr>
                <w:sz w:val="22"/>
                <w:szCs w:val="22"/>
                <w:color w:val="auto"/>
              </w:rPr>
            </w:pPr>
          </w:p>
        </w:tc>
        <w:tc>
          <w:tcPr>
            <w:tcW w:w="200" w:type="dxa"/>
            <w:vAlign w:val="bottom"/>
            <w:tcBorders>
              <w:bottom w:val="single" w:sz="8" w:color="DBDBDB"/>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20"/>
                <w:szCs w:val="20"/>
                <w:b w:val="1"/>
                <w:bCs w:val="1"/>
                <w:color w:val="auto"/>
              </w:rPr>
              <w:t>2024</w:t>
            </w:r>
          </w:p>
        </w:tc>
        <w:tc>
          <w:tcPr>
            <w:tcW w:w="200" w:type="dxa"/>
            <w:vAlign w:val="bottom"/>
            <w:tcBorders>
              <w:bottom w:val="single" w:sz="8" w:color="DBDBDB"/>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20"/>
        </w:trPr>
        <w:tc>
          <w:tcPr>
            <w:tcW w:w="5240" w:type="dxa"/>
            <w:vAlign w:val="bottom"/>
            <w:tcBorders>
              <w:bottom w:val="single" w:sz="8" w:color="DBDBDB"/>
            </w:tcBorders>
            <w:shd w:val="clear" w:color="auto" w:fill="DBDBDB"/>
          </w:tcPr>
          <w:p>
            <w:pPr>
              <w:ind w:left="20"/>
              <w:spacing w:after="0" w:line="220" w:lineRule="exact"/>
              <w:rPr>
                <w:sz w:val="20"/>
                <w:szCs w:val="20"/>
                <w:color w:val="auto"/>
              </w:rPr>
            </w:pPr>
            <w:r>
              <w:rPr>
                <w:rFonts w:ascii="Times New Roman" w:cs="Times New Roman" w:eastAsia="Times New Roman" w:hAnsi="Times New Roman"/>
                <w:sz w:val="20"/>
                <w:szCs w:val="20"/>
                <w:color w:val="auto"/>
              </w:rPr>
              <w:t>Beginning Balance, January 1</w:t>
            </w:r>
          </w:p>
        </w:tc>
        <w:tc>
          <w:tcPr>
            <w:tcW w:w="100" w:type="dxa"/>
            <w:vAlign w:val="bottom"/>
            <w:tcBorders>
              <w:bottom w:val="single" w:sz="8" w:color="DBDBDB"/>
              <w:right w:val="single" w:sz="8" w:color="DBDBDB"/>
            </w:tcBorders>
            <w:shd w:val="clear" w:color="auto" w:fill="DBDBDB"/>
          </w:tcPr>
          <w:p>
            <w:pPr>
              <w:spacing w:after="0"/>
              <w:rPr>
                <w:sz w:val="19"/>
                <w:szCs w:val="19"/>
                <w:color w:val="auto"/>
              </w:rPr>
            </w:pPr>
          </w:p>
        </w:tc>
        <w:tc>
          <w:tcPr>
            <w:tcW w:w="1040" w:type="dxa"/>
            <w:vAlign w:val="bottom"/>
            <w:tcBorders>
              <w:bottom w:val="single" w:sz="8" w:color="DBDBDB"/>
            </w:tcBorders>
            <w:shd w:val="clear" w:color="auto" w:fill="DBDBDB"/>
          </w:tcPr>
          <w:p>
            <w:pPr>
              <w:jc w:val="right"/>
              <w:ind w:right="842"/>
              <w:spacing w:after="0" w:line="220"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58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w w:val="98"/>
              </w:rPr>
              <w:t>94,996</w:t>
            </w:r>
          </w:p>
        </w:tc>
        <w:tc>
          <w:tcPr>
            <w:tcW w:w="200" w:type="dxa"/>
            <w:vAlign w:val="bottom"/>
            <w:tcBorders>
              <w:bottom w:val="single" w:sz="8" w:color="DBDBDB"/>
              <w:right w:val="single" w:sz="8" w:color="DBDBDB"/>
            </w:tcBorders>
            <w:shd w:val="clear" w:color="auto" w:fill="DBDBDB"/>
          </w:tcPr>
          <w:p>
            <w:pPr>
              <w:spacing w:after="0"/>
              <w:rPr>
                <w:sz w:val="19"/>
                <w:szCs w:val="19"/>
                <w:color w:val="auto"/>
              </w:rPr>
            </w:pPr>
          </w:p>
        </w:tc>
        <w:tc>
          <w:tcPr>
            <w:tcW w:w="12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50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rPr>
              <w:t>78,124</w:t>
            </w:r>
          </w:p>
        </w:tc>
        <w:tc>
          <w:tcPr>
            <w:tcW w:w="200" w:type="dxa"/>
            <w:vAlign w:val="bottom"/>
            <w:tcBorders>
              <w:bottom w:val="single" w:sz="8" w:color="DBDBDB"/>
              <w:right w:val="single" w:sz="8" w:color="DBDBDB"/>
            </w:tcBorders>
            <w:shd w:val="clear" w:color="auto" w:fill="DBDBDB"/>
          </w:tcPr>
          <w:p>
            <w:pPr>
              <w:spacing w:after="0"/>
              <w:rPr>
                <w:sz w:val="19"/>
                <w:szCs w:val="19"/>
                <w:color w:val="auto"/>
              </w:rPr>
            </w:pPr>
          </w:p>
        </w:tc>
        <w:tc>
          <w:tcPr>
            <w:tcW w:w="12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50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rPr>
              <w:t>69,680</w:t>
            </w:r>
          </w:p>
        </w:tc>
      </w:tr>
      <w:tr>
        <w:trPr>
          <w:trHeight w:val="220"/>
        </w:trPr>
        <w:tc>
          <w:tcPr>
            <w:tcW w:w="5340" w:type="dxa"/>
            <w:vAlign w:val="bottom"/>
            <w:tcBorders>
              <w:bottom w:val="single" w:sz="8" w:color="DBDBDB"/>
            </w:tcBorders>
            <w:gridSpan w:val="2"/>
          </w:tcPr>
          <w:p>
            <w:pPr>
              <w:ind w:left="20"/>
              <w:spacing w:after="0" w:line="220" w:lineRule="exact"/>
              <w:rPr>
                <w:sz w:val="20"/>
                <w:szCs w:val="20"/>
                <w:color w:val="auto"/>
              </w:rPr>
            </w:pPr>
            <w:r>
              <w:rPr>
                <w:rFonts w:ascii="Times New Roman" w:cs="Times New Roman" w:eastAsia="Times New Roman" w:hAnsi="Times New Roman"/>
                <w:sz w:val="20"/>
                <w:szCs w:val="20"/>
                <w:color w:val="auto"/>
              </w:rPr>
              <w:t>Change charged to expense/(income)</w:t>
            </w:r>
          </w:p>
        </w:tc>
        <w:tc>
          <w:tcPr>
            <w:tcW w:w="1040" w:type="dxa"/>
            <w:vAlign w:val="bottom"/>
            <w:tcBorders>
              <w:bottom w:val="single" w:sz="8" w:color="DBDBDB"/>
            </w:tcBorders>
          </w:tcPr>
          <w:p>
            <w:pPr>
              <w:spacing w:after="0"/>
              <w:rPr>
                <w:sz w:val="19"/>
                <w:szCs w:val="19"/>
                <w:color w:val="auto"/>
              </w:rPr>
            </w:pPr>
          </w:p>
        </w:tc>
        <w:tc>
          <w:tcPr>
            <w:tcW w:w="580" w:type="dxa"/>
            <w:vAlign w:val="bottom"/>
            <w:tcBorders>
              <w:bottom w:val="single" w:sz="8" w:color="DBDBDB"/>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763</w:t>
            </w:r>
          </w:p>
        </w:tc>
        <w:tc>
          <w:tcPr>
            <w:tcW w:w="200" w:type="dxa"/>
            <w:vAlign w:val="bottom"/>
            <w:tcBorders>
              <w:bottom w:val="single" w:sz="8" w:color="DBDBDB"/>
            </w:tcBorders>
          </w:tcPr>
          <w:p>
            <w:pPr>
              <w:spacing w:after="0"/>
              <w:rPr>
                <w:sz w:val="19"/>
                <w:szCs w:val="19"/>
                <w:color w:val="auto"/>
              </w:rPr>
            </w:pPr>
          </w:p>
        </w:tc>
        <w:tc>
          <w:tcPr>
            <w:tcW w:w="120" w:type="dxa"/>
            <w:vAlign w:val="bottom"/>
            <w:tcBorders>
              <w:bottom w:val="single" w:sz="8" w:color="DBDBDB"/>
            </w:tcBorders>
          </w:tcPr>
          <w:p>
            <w:pPr>
              <w:spacing w:after="0"/>
              <w:rPr>
                <w:sz w:val="19"/>
                <w:szCs w:val="19"/>
                <w:color w:val="auto"/>
              </w:rPr>
            </w:pPr>
          </w:p>
        </w:tc>
        <w:tc>
          <w:tcPr>
            <w:tcW w:w="1500" w:type="dxa"/>
            <w:vAlign w:val="bottom"/>
            <w:tcBorders>
              <w:bottom w:val="single" w:sz="8" w:color="DBDBDB"/>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15,727</w:t>
            </w:r>
          </w:p>
        </w:tc>
        <w:tc>
          <w:tcPr>
            <w:tcW w:w="200" w:type="dxa"/>
            <w:vAlign w:val="bottom"/>
            <w:tcBorders>
              <w:bottom w:val="single" w:sz="8" w:color="DBDBDB"/>
            </w:tcBorders>
          </w:tcPr>
          <w:p>
            <w:pPr>
              <w:spacing w:after="0"/>
              <w:rPr>
                <w:sz w:val="19"/>
                <w:szCs w:val="19"/>
                <w:color w:val="auto"/>
              </w:rPr>
            </w:pPr>
          </w:p>
        </w:tc>
        <w:tc>
          <w:tcPr>
            <w:tcW w:w="120" w:type="dxa"/>
            <w:vAlign w:val="bottom"/>
            <w:tcBorders>
              <w:bottom w:val="single" w:sz="8" w:color="DBDBDB"/>
            </w:tcBorders>
          </w:tcPr>
          <w:p>
            <w:pPr>
              <w:spacing w:after="0"/>
              <w:rPr>
                <w:sz w:val="19"/>
                <w:szCs w:val="19"/>
                <w:color w:val="auto"/>
              </w:rPr>
            </w:pPr>
          </w:p>
        </w:tc>
        <w:tc>
          <w:tcPr>
            <w:tcW w:w="1500" w:type="dxa"/>
            <w:vAlign w:val="bottom"/>
            <w:tcBorders>
              <w:bottom w:val="single" w:sz="8" w:color="DBDBDB"/>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8,755</w:t>
            </w:r>
          </w:p>
        </w:tc>
      </w:tr>
      <w:tr>
        <w:trPr>
          <w:trHeight w:val="231"/>
        </w:trPr>
        <w:tc>
          <w:tcPr>
            <w:tcW w:w="5240" w:type="dxa"/>
            <w:vAlign w:val="bottom"/>
            <w:tcBorders>
              <w:bottom w:val="single" w:sz="8" w:color="DBDBDB"/>
            </w:tcBorders>
            <w:shd w:val="clear" w:color="auto" w:fill="DBDBDB"/>
          </w:tcPr>
          <w:p>
            <w:pPr>
              <w:ind w:left="20"/>
              <w:spacing w:after="0" w:line="210" w:lineRule="exact"/>
              <w:rPr>
                <w:sz w:val="20"/>
                <w:szCs w:val="20"/>
                <w:color w:val="auto"/>
              </w:rPr>
            </w:pPr>
            <w:r>
              <w:rPr>
                <w:rFonts w:ascii="Times New Roman" w:cs="Times New Roman" w:eastAsia="Times New Roman" w:hAnsi="Times New Roman"/>
                <w:sz w:val="20"/>
                <w:szCs w:val="20"/>
                <w:color w:val="auto"/>
              </w:rPr>
              <w:t>Change charged to currency translation adjustment</w:t>
            </w:r>
          </w:p>
        </w:tc>
        <w:tc>
          <w:tcPr>
            <w:tcW w:w="100" w:type="dxa"/>
            <w:vAlign w:val="bottom"/>
            <w:tcBorders>
              <w:bottom w:val="single" w:sz="8" w:color="DBDBDB"/>
              <w:right w:val="single" w:sz="8" w:color="DBDBDB"/>
            </w:tcBorders>
            <w:shd w:val="clear" w:color="auto" w:fill="DBDBDB"/>
          </w:tcPr>
          <w:p>
            <w:pPr>
              <w:spacing w:after="0"/>
              <w:rPr>
                <w:sz w:val="20"/>
                <w:szCs w:val="20"/>
                <w:color w:val="auto"/>
              </w:rPr>
            </w:pPr>
          </w:p>
        </w:tc>
        <w:tc>
          <w:tcPr>
            <w:tcW w:w="1040" w:type="dxa"/>
            <w:vAlign w:val="bottom"/>
            <w:tcBorders>
              <w:bottom w:val="single" w:sz="8" w:color="DBDBDB"/>
            </w:tcBorders>
            <w:shd w:val="clear" w:color="auto" w:fill="DBDBDB"/>
          </w:tcPr>
          <w:p>
            <w:pPr>
              <w:spacing w:after="0"/>
              <w:rPr>
                <w:sz w:val="20"/>
                <w:szCs w:val="20"/>
                <w:color w:val="auto"/>
              </w:rPr>
            </w:pPr>
          </w:p>
        </w:tc>
        <w:tc>
          <w:tcPr>
            <w:tcW w:w="580" w:type="dxa"/>
            <w:vAlign w:val="bottom"/>
            <w:tcBorders>
              <w:bottom w:val="single" w:sz="8" w:color="DBDBDB"/>
            </w:tcBorders>
            <w:shd w:val="clear" w:color="auto" w:fill="DBDBDB"/>
          </w:tcPr>
          <w:p>
            <w:pPr>
              <w:jc w:val="right"/>
              <w:spacing w:after="0" w:line="210" w:lineRule="exact"/>
              <w:rPr>
                <w:sz w:val="20"/>
                <w:szCs w:val="20"/>
                <w:color w:val="auto"/>
              </w:rPr>
            </w:pPr>
            <w:r>
              <w:rPr>
                <w:rFonts w:ascii="Times New Roman" w:cs="Times New Roman" w:eastAsia="Times New Roman" w:hAnsi="Times New Roman"/>
                <w:sz w:val="20"/>
                <w:szCs w:val="20"/>
                <w:color w:val="auto"/>
              </w:rPr>
              <w:t>(162)</w:t>
            </w:r>
          </w:p>
        </w:tc>
        <w:tc>
          <w:tcPr>
            <w:tcW w:w="200" w:type="dxa"/>
            <w:vAlign w:val="bottom"/>
            <w:tcBorders>
              <w:bottom w:val="single" w:sz="8" w:color="DBDBDB"/>
              <w:right w:val="single" w:sz="8" w:color="DBDBDB"/>
            </w:tcBorders>
            <w:shd w:val="clear" w:color="auto" w:fill="DBDBDB"/>
          </w:tcPr>
          <w:p>
            <w:pPr>
              <w:spacing w:after="0"/>
              <w:rPr>
                <w:sz w:val="20"/>
                <w:szCs w:val="20"/>
                <w:color w:val="auto"/>
              </w:rPr>
            </w:pPr>
          </w:p>
        </w:tc>
        <w:tc>
          <w:tcPr>
            <w:tcW w:w="120" w:type="dxa"/>
            <w:vAlign w:val="bottom"/>
            <w:tcBorders>
              <w:bottom w:val="single" w:sz="8" w:color="DBDBDB"/>
            </w:tcBorders>
            <w:shd w:val="clear" w:color="auto" w:fill="DBDBDB"/>
          </w:tcPr>
          <w:p>
            <w:pPr>
              <w:spacing w:after="0"/>
              <w:rPr>
                <w:sz w:val="20"/>
                <w:szCs w:val="20"/>
                <w:color w:val="auto"/>
              </w:rPr>
            </w:pPr>
          </w:p>
        </w:tc>
        <w:tc>
          <w:tcPr>
            <w:tcW w:w="1500" w:type="dxa"/>
            <w:vAlign w:val="bottom"/>
            <w:tcBorders>
              <w:bottom w:val="single" w:sz="8" w:color="DBDBDB"/>
            </w:tcBorders>
            <w:shd w:val="clear" w:color="auto" w:fill="DBDBDB"/>
          </w:tcPr>
          <w:p>
            <w:pPr>
              <w:jc w:val="right"/>
              <w:spacing w:after="0" w:line="210" w:lineRule="exact"/>
              <w:rPr>
                <w:sz w:val="20"/>
                <w:szCs w:val="20"/>
                <w:color w:val="auto"/>
              </w:rPr>
            </w:pPr>
            <w:r>
              <w:rPr>
                <w:rFonts w:ascii="Times New Roman" w:cs="Times New Roman" w:eastAsia="Times New Roman" w:hAnsi="Times New Roman"/>
                <w:sz w:val="20"/>
                <w:szCs w:val="20"/>
                <w:color w:val="auto"/>
              </w:rPr>
              <w:t>1,145</w:t>
            </w:r>
          </w:p>
        </w:tc>
        <w:tc>
          <w:tcPr>
            <w:tcW w:w="200" w:type="dxa"/>
            <w:vAlign w:val="bottom"/>
            <w:tcBorders>
              <w:bottom w:val="single" w:sz="8" w:color="DBDBDB"/>
              <w:right w:val="single" w:sz="8" w:color="DBDBDB"/>
            </w:tcBorders>
            <w:shd w:val="clear" w:color="auto" w:fill="DBDBDB"/>
          </w:tcPr>
          <w:p>
            <w:pPr>
              <w:spacing w:after="0"/>
              <w:rPr>
                <w:sz w:val="20"/>
                <w:szCs w:val="20"/>
                <w:color w:val="auto"/>
              </w:rPr>
            </w:pPr>
          </w:p>
        </w:tc>
        <w:tc>
          <w:tcPr>
            <w:tcW w:w="120" w:type="dxa"/>
            <w:vAlign w:val="bottom"/>
            <w:tcBorders>
              <w:bottom w:val="single" w:sz="8" w:color="DBDBDB"/>
            </w:tcBorders>
            <w:shd w:val="clear" w:color="auto" w:fill="DBDBDB"/>
          </w:tcPr>
          <w:p>
            <w:pPr>
              <w:spacing w:after="0"/>
              <w:rPr>
                <w:sz w:val="20"/>
                <w:szCs w:val="20"/>
                <w:color w:val="auto"/>
              </w:rPr>
            </w:pPr>
          </w:p>
        </w:tc>
        <w:tc>
          <w:tcPr>
            <w:tcW w:w="1500" w:type="dxa"/>
            <w:vAlign w:val="bottom"/>
            <w:tcBorders>
              <w:bottom w:val="single" w:sz="8" w:color="DBDBDB"/>
            </w:tcBorders>
            <w:shd w:val="clear" w:color="auto" w:fill="DBDBDB"/>
          </w:tcPr>
          <w:p>
            <w:pPr>
              <w:jc w:val="right"/>
              <w:spacing w:after="0" w:line="210" w:lineRule="exact"/>
              <w:rPr>
                <w:sz w:val="20"/>
                <w:szCs w:val="20"/>
                <w:color w:val="auto"/>
              </w:rPr>
            </w:pPr>
            <w:r>
              <w:rPr>
                <w:rFonts w:ascii="Times New Roman" w:cs="Times New Roman" w:eastAsia="Times New Roman" w:hAnsi="Times New Roman"/>
                <w:sz w:val="20"/>
                <w:szCs w:val="20"/>
                <w:color w:val="auto"/>
              </w:rPr>
              <w:t>(311)</w:t>
            </w:r>
          </w:p>
        </w:tc>
      </w:tr>
      <w:tr>
        <w:trPr>
          <w:trHeight w:val="219"/>
        </w:trPr>
        <w:tc>
          <w:tcPr>
            <w:tcW w:w="5340" w:type="dxa"/>
            <w:vAlign w:val="bottom"/>
            <w:tcBorders>
              <w:bottom w:val="single" w:sz="8" w:color="DBDBDB"/>
            </w:tcBorders>
            <w:gridSpan w:val="2"/>
          </w:tcPr>
          <w:p>
            <w:pPr>
              <w:ind w:left="20"/>
              <w:spacing w:after="0" w:line="219" w:lineRule="exact"/>
              <w:rPr>
                <w:sz w:val="20"/>
                <w:szCs w:val="20"/>
                <w:color w:val="auto"/>
              </w:rPr>
            </w:pPr>
            <w:r>
              <w:rPr>
                <w:rFonts w:ascii="Times New Roman" w:cs="Times New Roman" w:eastAsia="Times New Roman" w:hAnsi="Times New Roman"/>
                <w:sz w:val="20"/>
                <w:szCs w:val="20"/>
                <w:color w:val="auto"/>
              </w:rPr>
              <w:t>Other adjustment</w:t>
            </w:r>
          </w:p>
        </w:tc>
        <w:tc>
          <w:tcPr>
            <w:tcW w:w="10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156</w:t>
            </w:r>
          </w:p>
        </w:tc>
        <w:tc>
          <w:tcPr>
            <w:tcW w:w="200" w:type="dxa"/>
            <w:vAlign w:val="bottom"/>
            <w:tcBorders>
              <w:bottom w:val="single" w:sz="8" w:color="DBDBD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bottom w:val="single" w:sz="8" w:color="DBDBD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w:t>
            </w:r>
          </w:p>
        </w:tc>
      </w:tr>
      <w:tr>
        <w:trPr>
          <w:trHeight w:val="267"/>
        </w:trPr>
        <w:tc>
          <w:tcPr>
            <w:tcW w:w="5240" w:type="dxa"/>
            <w:vAlign w:val="bottom"/>
            <w:tcBorders>
              <w:bottom w:val="single" w:sz="8" w:color="DBDBDB"/>
            </w:tcBorders>
            <w:shd w:val="clear" w:color="auto" w:fill="DBDBDB"/>
          </w:tcPr>
          <w:p>
            <w:pPr>
              <w:ind w:left="20"/>
              <w:spacing w:after="0" w:line="220" w:lineRule="exact"/>
              <w:rPr>
                <w:sz w:val="20"/>
                <w:szCs w:val="20"/>
                <w:color w:val="auto"/>
              </w:rPr>
            </w:pPr>
            <w:r>
              <w:rPr>
                <w:rFonts w:ascii="Times New Roman" w:cs="Times New Roman" w:eastAsia="Times New Roman" w:hAnsi="Times New Roman"/>
                <w:sz w:val="20"/>
                <w:szCs w:val="20"/>
                <w:color w:val="auto"/>
              </w:rPr>
              <w:t>Ending Balance, December 31</w:t>
            </w:r>
          </w:p>
        </w:tc>
        <w:tc>
          <w:tcPr>
            <w:tcW w:w="100" w:type="dxa"/>
            <w:vAlign w:val="bottom"/>
            <w:tcBorders>
              <w:bottom w:val="single" w:sz="8" w:color="DBDBDB"/>
              <w:right w:val="single" w:sz="8" w:color="DBDBDB"/>
            </w:tcBorders>
            <w:shd w:val="clear" w:color="auto" w:fill="DBDBDB"/>
          </w:tcPr>
          <w:p>
            <w:pPr>
              <w:spacing w:after="0"/>
              <w:rPr>
                <w:sz w:val="22"/>
                <w:szCs w:val="22"/>
                <w:color w:val="auto"/>
              </w:rPr>
            </w:pPr>
          </w:p>
        </w:tc>
        <w:tc>
          <w:tcPr>
            <w:tcW w:w="1040" w:type="dxa"/>
            <w:vAlign w:val="bottom"/>
            <w:tcBorders>
              <w:bottom w:val="single" w:sz="8" w:color="DBDBDB"/>
            </w:tcBorders>
            <w:shd w:val="clear" w:color="auto" w:fill="DBDBDB"/>
          </w:tcPr>
          <w:p>
            <w:pPr>
              <w:jc w:val="right"/>
              <w:ind w:right="842"/>
              <w:spacing w:after="0" w:line="220"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58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w w:val="98"/>
              </w:rPr>
              <w:t>95,753</w:t>
            </w:r>
          </w:p>
        </w:tc>
        <w:tc>
          <w:tcPr>
            <w:tcW w:w="200" w:type="dxa"/>
            <w:vAlign w:val="bottom"/>
            <w:tcBorders>
              <w:bottom w:val="single" w:sz="8" w:color="DBDBDB"/>
              <w:right w:val="single" w:sz="8" w:color="DBDBDB"/>
            </w:tcBorders>
            <w:shd w:val="clear" w:color="auto" w:fill="DBDBDB"/>
          </w:tcPr>
          <w:p>
            <w:pPr>
              <w:spacing w:after="0"/>
              <w:rPr>
                <w:sz w:val="22"/>
                <w:szCs w:val="22"/>
                <w:color w:val="auto"/>
              </w:rPr>
            </w:pPr>
          </w:p>
        </w:tc>
        <w:tc>
          <w:tcPr>
            <w:tcW w:w="12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50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rPr>
              <w:t>94,996</w:t>
            </w:r>
          </w:p>
        </w:tc>
        <w:tc>
          <w:tcPr>
            <w:tcW w:w="200" w:type="dxa"/>
            <w:vAlign w:val="bottom"/>
            <w:tcBorders>
              <w:bottom w:val="single" w:sz="8" w:color="DBDBDB"/>
              <w:right w:val="single" w:sz="8" w:color="DBDBDB"/>
            </w:tcBorders>
            <w:shd w:val="clear" w:color="auto" w:fill="DBDBDB"/>
          </w:tcPr>
          <w:p>
            <w:pPr>
              <w:spacing w:after="0"/>
              <w:rPr>
                <w:sz w:val="22"/>
                <w:szCs w:val="22"/>
                <w:color w:val="auto"/>
              </w:rPr>
            </w:pPr>
          </w:p>
        </w:tc>
        <w:tc>
          <w:tcPr>
            <w:tcW w:w="12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50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rPr>
              <w:t>78,124</w:t>
            </w:r>
          </w:p>
        </w:tc>
      </w:tr>
      <w:tr>
        <w:trPr>
          <w:trHeight w:val="20"/>
        </w:trPr>
        <w:tc>
          <w:tcPr>
            <w:tcW w:w="524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right w:val="single" w:sz="8" w:color="auto"/>
            </w:tcBorders>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DBDBDB"/>
              <w:right w:val="single" w:sz="8" w:color="auto"/>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DBDBDB"/>
              <w:right w:val="single" w:sz="8" w:color="auto"/>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r>
    </w:tbl>
    <w:p>
      <w:pPr>
        <w:spacing w:after="0" w:line="204" w:lineRule="exact"/>
        <w:rPr>
          <w:sz w:val="20"/>
          <w:szCs w:val="20"/>
          <w:color w:val="auto"/>
        </w:rPr>
      </w:pPr>
    </w:p>
    <w:p>
      <w:pPr>
        <w:ind w:left="160" w:firstLine="706"/>
        <w:spacing w:after="0" w:line="268" w:lineRule="auto"/>
        <w:rPr>
          <w:sz w:val="20"/>
          <w:szCs w:val="20"/>
          <w:color w:val="auto"/>
        </w:rPr>
      </w:pPr>
      <w:r>
        <w:rPr>
          <w:rFonts w:ascii="Times New Roman" w:cs="Times New Roman" w:eastAsia="Times New Roman" w:hAnsi="Times New Roman"/>
          <w:sz w:val="20"/>
          <w:szCs w:val="20"/>
          <w:color w:val="auto"/>
        </w:rPr>
        <w:t>The expense (benefit) for income taxes differs from the amount that would result by applying the applicable federal income tax rate to income before income taxes, as follows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7100" w:type="dxa"/>
            <w:vAlign w:val="bottom"/>
            <w:tcBorders>
              <w:bottom w:val="single" w:sz="8" w:color="DBDBDB"/>
            </w:tcBorders>
          </w:tcPr>
          <w:p>
            <w:pPr>
              <w:spacing w:after="0"/>
              <w:rPr>
                <w:sz w:val="21"/>
                <w:szCs w:val="21"/>
                <w:color w:val="auto"/>
              </w:rPr>
            </w:pPr>
          </w:p>
        </w:tc>
        <w:tc>
          <w:tcPr>
            <w:tcW w:w="100" w:type="dxa"/>
            <w:vAlign w:val="bottom"/>
            <w:tcBorders>
              <w:bottom w:val="single" w:sz="8" w:color="DBDBDB"/>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20"/>
                <w:szCs w:val="20"/>
                <w:color w:val="auto"/>
              </w:rPr>
              <w:t>Amount</w:t>
            </w:r>
          </w:p>
        </w:tc>
        <w:tc>
          <w:tcPr>
            <w:tcW w:w="180" w:type="dxa"/>
            <w:vAlign w:val="bottom"/>
            <w:tcBorders>
              <w:bottom w:val="single" w:sz="8" w:color="DBDBDB"/>
            </w:tcBorders>
          </w:tcPr>
          <w:p>
            <w:pPr>
              <w:spacing w:after="0"/>
              <w:rPr>
                <w:sz w:val="21"/>
                <w:szCs w:val="21"/>
                <w:color w:val="auto"/>
              </w:rPr>
            </w:pPr>
          </w:p>
        </w:tc>
        <w:tc>
          <w:tcPr>
            <w:tcW w:w="160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20"/>
                <w:szCs w:val="20"/>
                <w:color w:val="auto"/>
              </w:rPr>
              <w:t>Percentage</w:t>
            </w:r>
          </w:p>
        </w:tc>
      </w:tr>
      <w:tr>
        <w:trPr>
          <w:trHeight w:val="225"/>
        </w:trPr>
        <w:tc>
          <w:tcPr>
            <w:tcW w:w="7100" w:type="dxa"/>
            <w:vAlign w:val="bottom"/>
            <w:shd w:val="clear" w:color="auto" w:fill="DBDBDB"/>
          </w:tcPr>
          <w:p>
            <w:pPr>
              <w:ind w:left="20"/>
              <w:spacing w:after="0" w:line="220" w:lineRule="exact"/>
              <w:rPr>
                <w:sz w:val="20"/>
                <w:szCs w:val="20"/>
                <w:color w:val="auto"/>
              </w:rPr>
            </w:pPr>
            <w:r>
              <w:rPr>
                <w:rFonts w:ascii="Times New Roman" w:cs="Times New Roman" w:eastAsia="Times New Roman" w:hAnsi="Times New Roman"/>
                <w:sz w:val="20"/>
                <w:szCs w:val="20"/>
                <w:color w:val="auto"/>
              </w:rPr>
              <w:t>U.S. federal statutory tax rate</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jc w:val="right"/>
              <w:spacing w:after="0" w:line="225"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500" w:type="dxa"/>
            <w:vAlign w:val="bottom"/>
            <w:shd w:val="clear" w:color="auto" w:fill="DBDBDB"/>
          </w:tcPr>
          <w:p>
            <w:pPr>
              <w:jc w:val="right"/>
              <w:spacing w:after="0" w:line="225" w:lineRule="exact"/>
              <w:rPr>
                <w:sz w:val="20"/>
                <w:szCs w:val="20"/>
                <w:color w:val="auto"/>
              </w:rPr>
            </w:pPr>
            <w:r>
              <w:rPr>
                <w:rFonts w:ascii="Times New Roman" w:cs="Times New Roman" w:eastAsia="Times New Roman" w:hAnsi="Times New Roman"/>
                <w:sz w:val="20"/>
                <w:szCs w:val="20"/>
                <w:color w:val="auto"/>
              </w:rPr>
              <w:t>(9,808)</w:t>
            </w:r>
          </w:p>
        </w:tc>
        <w:tc>
          <w:tcPr>
            <w:tcW w:w="180" w:type="dxa"/>
            <w:vAlign w:val="bottom"/>
            <w:shd w:val="clear" w:color="auto" w:fill="DBDBDB"/>
          </w:tcPr>
          <w:p>
            <w:pPr>
              <w:spacing w:after="0"/>
              <w:rPr>
                <w:sz w:val="19"/>
                <w:szCs w:val="19"/>
                <w:color w:val="auto"/>
              </w:rPr>
            </w:pPr>
          </w:p>
        </w:tc>
        <w:tc>
          <w:tcPr>
            <w:tcW w:w="1600" w:type="dxa"/>
            <w:vAlign w:val="bottom"/>
            <w:shd w:val="clear" w:color="auto" w:fill="DBDBDB"/>
          </w:tcPr>
          <w:p>
            <w:pPr>
              <w:jc w:val="right"/>
              <w:spacing w:after="0" w:line="225" w:lineRule="exact"/>
              <w:rPr>
                <w:sz w:val="20"/>
                <w:szCs w:val="20"/>
                <w:color w:val="auto"/>
              </w:rPr>
            </w:pPr>
            <w:r>
              <w:rPr>
                <w:rFonts w:ascii="Times New Roman" w:cs="Times New Roman" w:eastAsia="Times New Roman" w:hAnsi="Times New Roman"/>
                <w:sz w:val="20"/>
                <w:szCs w:val="20"/>
                <w:color w:val="auto"/>
              </w:rPr>
              <w:t>21.0%</w:t>
            </w:r>
          </w:p>
        </w:tc>
      </w:tr>
      <w:tr>
        <w:trPr>
          <w:trHeight w:val="235"/>
        </w:trPr>
        <w:tc>
          <w:tcPr>
            <w:tcW w:w="71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State and local income tax, net of federal income tax effect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0.0%</w:t>
            </w:r>
          </w:p>
        </w:tc>
      </w:tr>
      <w:tr>
        <w:trPr>
          <w:trHeight w:val="235"/>
        </w:trPr>
        <w:tc>
          <w:tcPr>
            <w:tcW w:w="71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20"/>
                <w:szCs w:val="20"/>
                <w:color w:val="auto"/>
              </w:rPr>
              <w:t>Foreign tax effects</w:t>
            </w:r>
          </w:p>
        </w:tc>
        <w:tc>
          <w:tcPr>
            <w:tcW w:w="10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50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1600" w:type="dxa"/>
            <w:vAlign w:val="bottom"/>
            <w:shd w:val="clear" w:color="auto" w:fill="DBDBDB"/>
          </w:tcPr>
          <w:p>
            <w:pPr>
              <w:spacing w:after="0"/>
              <w:rPr>
                <w:sz w:val="20"/>
                <w:szCs w:val="20"/>
                <w:color w:val="auto"/>
              </w:rPr>
            </w:pPr>
          </w:p>
        </w:tc>
      </w:tr>
      <w:tr>
        <w:trPr>
          <w:trHeight w:val="235"/>
        </w:trPr>
        <w:tc>
          <w:tcPr>
            <w:tcW w:w="71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China</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35"/>
        </w:trPr>
        <w:tc>
          <w:tcPr>
            <w:tcW w:w="710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20"/>
                <w:szCs w:val="20"/>
                <w:color w:val="auto"/>
              </w:rPr>
              <w:t>Statutory tax rate difference</w:t>
            </w:r>
          </w:p>
        </w:tc>
        <w:tc>
          <w:tcPr>
            <w:tcW w:w="10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5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(2,440)</w:t>
            </w:r>
          </w:p>
        </w:tc>
        <w:tc>
          <w:tcPr>
            <w:tcW w:w="180" w:type="dxa"/>
            <w:vAlign w:val="bottom"/>
            <w:shd w:val="clear" w:color="auto" w:fill="DBDBDB"/>
          </w:tcPr>
          <w:p>
            <w:pPr>
              <w:spacing w:after="0"/>
              <w:rPr>
                <w:sz w:val="20"/>
                <w:szCs w:val="20"/>
                <w:color w:val="auto"/>
              </w:rPr>
            </w:pPr>
          </w:p>
        </w:tc>
        <w:tc>
          <w:tcPr>
            <w:tcW w:w="16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5.2%</w:t>
            </w:r>
          </w:p>
        </w:tc>
      </w:tr>
      <w:tr>
        <w:trPr>
          <w:trHeight w:val="235"/>
        </w:trPr>
        <w:tc>
          <w:tcPr>
            <w:tcW w:w="71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Changes in valuation allowances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(11,990)</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25.7%</w:t>
            </w:r>
          </w:p>
        </w:tc>
      </w:tr>
      <w:tr>
        <w:trPr>
          <w:trHeight w:val="235"/>
        </w:trPr>
        <w:tc>
          <w:tcPr>
            <w:tcW w:w="710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20"/>
                <w:szCs w:val="20"/>
                <w:color w:val="auto"/>
              </w:rPr>
              <w:t>R&amp;D super deduction</w:t>
            </w:r>
          </w:p>
        </w:tc>
        <w:tc>
          <w:tcPr>
            <w:tcW w:w="10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5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(2,537)</w:t>
            </w:r>
          </w:p>
        </w:tc>
        <w:tc>
          <w:tcPr>
            <w:tcW w:w="180" w:type="dxa"/>
            <w:vAlign w:val="bottom"/>
            <w:shd w:val="clear" w:color="auto" w:fill="DBDBDB"/>
          </w:tcPr>
          <w:p>
            <w:pPr>
              <w:spacing w:after="0"/>
              <w:rPr>
                <w:sz w:val="20"/>
                <w:szCs w:val="20"/>
                <w:color w:val="auto"/>
              </w:rPr>
            </w:pPr>
          </w:p>
        </w:tc>
        <w:tc>
          <w:tcPr>
            <w:tcW w:w="16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5.5%</w:t>
            </w:r>
          </w:p>
        </w:tc>
      </w:tr>
      <w:tr>
        <w:trPr>
          <w:trHeight w:val="235"/>
        </w:trPr>
        <w:tc>
          <w:tcPr>
            <w:tcW w:w="71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Other</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0.1%</w:t>
            </w:r>
          </w:p>
        </w:tc>
      </w:tr>
      <w:tr>
        <w:trPr>
          <w:trHeight w:val="235"/>
        </w:trPr>
        <w:tc>
          <w:tcPr>
            <w:tcW w:w="7100" w:type="dxa"/>
            <w:vAlign w:val="bottom"/>
            <w:shd w:val="clear" w:color="auto" w:fill="DBDBDB"/>
          </w:tcPr>
          <w:p>
            <w:pPr>
              <w:ind w:left="180"/>
              <w:spacing w:after="0"/>
              <w:rPr>
                <w:sz w:val="20"/>
                <w:szCs w:val="20"/>
                <w:color w:val="auto"/>
              </w:rPr>
            </w:pPr>
            <w:r>
              <w:rPr>
                <w:rFonts w:ascii="Times New Roman" w:cs="Times New Roman" w:eastAsia="Times New Roman" w:hAnsi="Times New Roman"/>
                <w:sz w:val="20"/>
                <w:szCs w:val="20"/>
                <w:color w:val="auto"/>
              </w:rPr>
              <w:t>Taiwan</w:t>
            </w:r>
          </w:p>
        </w:tc>
        <w:tc>
          <w:tcPr>
            <w:tcW w:w="10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50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1600" w:type="dxa"/>
            <w:vAlign w:val="bottom"/>
            <w:shd w:val="clear" w:color="auto" w:fill="DBDBDB"/>
          </w:tcPr>
          <w:p>
            <w:pPr>
              <w:spacing w:after="0"/>
              <w:rPr>
                <w:sz w:val="20"/>
                <w:szCs w:val="20"/>
                <w:color w:val="auto"/>
              </w:rPr>
            </w:pPr>
          </w:p>
        </w:tc>
      </w:tr>
      <w:tr>
        <w:trPr>
          <w:trHeight w:val="235"/>
        </w:trPr>
        <w:tc>
          <w:tcPr>
            <w:tcW w:w="71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Changes in valuation allowances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1,559</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(3.3%)</w:t>
            </w:r>
          </w:p>
        </w:tc>
      </w:tr>
      <w:tr>
        <w:trPr>
          <w:trHeight w:val="235"/>
        </w:trPr>
        <w:tc>
          <w:tcPr>
            <w:tcW w:w="710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20"/>
                <w:szCs w:val="20"/>
                <w:color w:val="auto"/>
              </w:rPr>
              <w:t>Prior Period Adjustments</w:t>
            </w:r>
          </w:p>
        </w:tc>
        <w:tc>
          <w:tcPr>
            <w:tcW w:w="10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5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(596)</w:t>
            </w:r>
          </w:p>
        </w:tc>
        <w:tc>
          <w:tcPr>
            <w:tcW w:w="180" w:type="dxa"/>
            <w:vAlign w:val="bottom"/>
            <w:shd w:val="clear" w:color="auto" w:fill="DBDBDB"/>
          </w:tcPr>
          <w:p>
            <w:pPr>
              <w:spacing w:after="0"/>
              <w:rPr>
                <w:sz w:val="20"/>
                <w:szCs w:val="20"/>
                <w:color w:val="auto"/>
              </w:rPr>
            </w:pPr>
          </w:p>
        </w:tc>
        <w:tc>
          <w:tcPr>
            <w:tcW w:w="16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235"/>
        </w:trPr>
        <w:tc>
          <w:tcPr>
            <w:tcW w:w="71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Other</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236</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(0.5%)</w:t>
            </w:r>
          </w:p>
        </w:tc>
      </w:tr>
      <w:tr>
        <w:trPr>
          <w:trHeight w:val="235"/>
        </w:trPr>
        <w:tc>
          <w:tcPr>
            <w:tcW w:w="71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20"/>
                <w:szCs w:val="20"/>
                <w:color w:val="auto"/>
              </w:rPr>
              <w:t>Effect of cross-border tax laws</w:t>
            </w:r>
          </w:p>
        </w:tc>
        <w:tc>
          <w:tcPr>
            <w:tcW w:w="10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50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1600" w:type="dxa"/>
            <w:vAlign w:val="bottom"/>
            <w:shd w:val="clear" w:color="auto" w:fill="DBDBDB"/>
          </w:tcPr>
          <w:p>
            <w:pPr>
              <w:spacing w:after="0"/>
              <w:rPr>
                <w:sz w:val="20"/>
                <w:szCs w:val="20"/>
                <w:color w:val="auto"/>
              </w:rPr>
            </w:pPr>
          </w:p>
        </w:tc>
      </w:tr>
      <w:tr>
        <w:trPr>
          <w:trHeight w:val="235"/>
        </w:trPr>
        <w:tc>
          <w:tcPr>
            <w:tcW w:w="71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GILTI</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9,139</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(19.6%)</w:t>
            </w:r>
          </w:p>
        </w:tc>
      </w:tr>
      <w:tr>
        <w:trPr>
          <w:trHeight w:val="235"/>
        </w:trPr>
        <w:tc>
          <w:tcPr>
            <w:tcW w:w="71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20"/>
                <w:szCs w:val="20"/>
                <w:color w:val="auto"/>
              </w:rPr>
              <w:t>Tax credits</w:t>
            </w:r>
          </w:p>
        </w:tc>
        <w:tc>
          <w:tcPr>
            <w:tcW w:w="10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50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1600" w:type="dxa"/>
            <w:vAlign w:val="bottom"/>
            <w:shd w:val="clear" w:color="auto" w:fill="DBDBDB"/>
          </w:tcPr>
          <w:p>
            <w:pPr>
              <w:spacing w:after="0"/>
              <w:rPr>
                <w:sz w:val="20"/>
                <w:szCs w:val="20"/>
                <w:color w:val="auto"/>
              </w:rPr>
            </w:pPr>
          </w:p>
        </w:tc>
      </w:tr>
      <w:tr>
        <w:trPr>
          <w:trHeight w:val="235"/>
        </w:trPr>
        <w:tc>
          <w:tcPr>
            <w:tcW w:w="71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Research and development credit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(2,366)</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5.1%</w:t>
            </w:r>
          </w:p>
        </w:tc>
      </w:tr>
      <w:tr>
        <w:trPr>
          <w:trHeight w:val="235"/>
        </w:trPr>
        <w:tc>
          <w:tcPr>
            <w:tcW w:w="71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20"/>
                <w:szCs w:val="20"/>
                <w:color w:val="auto"/>
              </w:rPr>
              <w:t>Changes in valuation allowances</w:t>
            </w:r>
          </w:p>
        </w:tc>
        <w:tc>
          <w:tcPr>
            <w:tcW w:w="10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5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11,194</w:t>
            </w:r>
          </w:p>
        </w:tc>
        <w:tc>
          <w:tcPr>
            <w:tcW w:w="180" w:type="dxa"/>
            <w:vAlign w:val="bottom"/>
            <w:shd w:val="clear" w:color="auto" w:fill="DBDBDB"/>
          </w:tcPr>
          <w:p>
            <w:pPr>
              <w:spacing w:after="0"/>
              <w:rPr>
                <w:sz w:val="20"/>
                <w:szCs w:val="20"/>
                <w:color w:val="auto"/>
              </w:rPr>
            </w:pPr>
          </w:p>
        </w:tc>
        <w:tc>
          <w:tcPr>
            <w:tcW w:w="16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(25.2%)</w:t>
            </w:r>
          </w:p>
        </w:tc>
      </w:tr>
      <w:tr>
        <w:trPr>
          <w:trHeight w:val="235"/>
        </w:trPr>
        <w:tc>
          <w:tcPr>
            <w:tcW w:w="71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Nontaxable or nondeductible items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35"/>
        </w:trPr>
        <w:tc>
          <w:tcPr>
            <w:tcW w:w="7100" w:type="dxa"/>
            <w:vAlign w:val="bottom"/>
            <w:shd w:val="clear" w:color="auto" w:fill="DBDBDB"/>
          </w:tcPr>
          <w:p>
            <w:pPr>
              <w:ind w:left="180"/>
              <w:spacing w:after="0"/>
              <w:rPr>
                <w:sz w:val="20"/>
                <w:szCs w:val="20"/>
                <w:color w:val="auto"/>
              </w:rPr>
            </w:pPr>
            <w:r>
              <w:rPr>
                <w:rFonts w:ascii="Times New Roman" w:cs="Times New Roman" w:eastAsia="Times New Roman" w:hAnsi="Times New Roman"/>
                <w:sz w:val="20"/>
                <w:szCs w:val="20"/>
                <w:color w:val="auto"/>
              </w:rPr>
              <w:t>Share-based compensation</w:t>
            </w:r>
          </w:p>
        </w:tc>
        <w:tc>
          <w:tcPr>
            <w:tcW w:w="10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5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(1,225)</w:t>
            </w:r>
          </w:p>
        </w:tc>
        <w:tc>
          <w:tcPr>
            <w:tcW w:w="180" w:type="dxa"/>
            <w:vAlign w:val="bottom"/>
            <w:shd w:val="clear" w:color="auto" w:fill="DBDBDB"/>
          </w:tcPr>
          <w:p>
            <w:pPr>
              <w:spacing w:after="0"/>
              <w:rPr>
                <w:sz w:val="20"/>
                <w:szCs w:val="20"/>
                <w:color w:val="auto"/>
              </w:rPr>
            </w:pPr>
          </w:p>
        </w:tc>
        <w:tc>
          <w:tcPr>
            <w:tcW w:w="16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3.8%</w:t>
            </w:r>
          </w:p>
        </w:tc>
      </w:tr>
      <w:tr>
        <w:trPr>
          <w:trHeight w:val="235"/>
        </w:trPr>
        <w:tc>
          <w:tcPr>
            <w:tcW w:w="71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Other</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(0.3%)</w:t>
            </w:r>
          </w:p>
        </w:tc>
      </w:tr>
      <w:tr>
        <w:trPr>
          <w:trHeight w:val="232"/>
        </w:trPr>
        <w:tc>
          <w:tcPr>
            <w:tcW w:w="7100" w:type="dxa"/>
            <w:vAlign w:val="bottom"/>
            <w:tcBorders>
              <w:bottom w:val="single" w:sz="8" w:color="auto"/>
            </w:tcBorders>
            <w:shd w:val="clear" w:color="auto" w:fill="DBDBDB"/>
          </w:tcPr>
          <w:p>
            <w:pPr>
              <w:ind w:left="20"/>
              <w:spacing w:after="0" w:line="229" w:lineRule="exact"/>
              <w:rPr>
                <w:sz w:val="20"/>
                <w:szCs w:val="20"/>
                <w:color w:val="auto"/>
              </w:rPr>
            </w:pPr>
            <w:r>
              <w:rPr>
                <w:rFonts w:ascii="Times New Roman" w:cs="Times New Roman" w:eastAsia="Times New Roman" w:hAnsi="Times New Roman"/>
                <w:sz w:val="20"/>
                <w:szCs w:val="20"/>
                <w:color w:val="auto"/>
              </w:rPr>
              <w:t>Other adjustments</w:t>
            </w:r>
          </w:p>
        </w:tc>
        <w:tc>
          <w:tcPr>
            <w:tcW w:w="100" w:type="dxa"/>
            <w:vAlign w:val="bottom"/>
            <w:tcBorders>
              <w:bottom w:val="single" w:sz="8" w:color="DBDBDB"/>
            </w:tcBorders>
            <w:shd w:val="clear" w:color="auto" w:fill="DBDBDB"/>
          </w:tcPr>
          <w:p>
            <w:pPr>
              <w:spacing w:after="0"/>
              <w:rPr>
                <w:sz w:val="20"/>
                <w:szCs w:val="20"/>
                <w:color w:val="auto"/>
              </w:rPr>
            </w:pPr>
          </w:p>
        </w:tc>
        <w:tc>
          <w:tcPr>
            <w:tcW w:w="120" w:type="dxa"/>
            <w:vAlign w:val="bottom"/>
            <w:tcBorders>
              <w:bottom w:val="single" w:sz="8" w:color="auto"/>
            </w:tcBorders>
            <w:shd w:val="clear" w:color="auto" w:fill="DBDBDB"/>
          </w:tcPr>
          <w:p>
            <w:pPr>
              <w:spacing w:after="0"/>
              <w:rPr>
                <w:sz w:val="20"/>
                <w:szCs w:val="20"/>
                <w:color w:val="auto"/>
              </w:rPr>
            </w:pPr>
          </w:p>
        </w:tc>
        <w:tc>
          <w:tcPr>
            <w:tcW w:w="1500" w:type="dxa"/>
            <w:vAlign w:val="bottom"/>
            <w:tcBorders>
              <w:bottom w:val="single" w:sz="8" w:color="auto"/>
            </w:tcBorders>
            <w:shd w:val="clear" w:color="auto" w:fill="DBDBDB"/>
          </w:tcPr>
          <w:p>
            <w:pPr>
              <w:jc w:val="right"/>
              <w:spacing w:after="0" w:line="229" w:lineRule="exact"/>
              <w:rPr>
                <w:sz w:val="20"/>
                <w:szCs w:val="20"/>
                <w:color w:val="auto"/>
              </w:rPr>
            </w:pPr>
            <w:r>
              <w:rPr>
                <w:rFonts w:ascii="Times New Roman" w:cs="Times New Roman" w:eastAsia="Times New Roman" w:hAnsi="Times New Roman"/>
                <w:sz w:val="20"/>
                <w:szCs w:val="20"/>
                <w:color w:val="auto"/>
              </w:rPr>
              <w:t>260</w:t>
            </w:r>
          </w:p>
        </w:tc>
        <w:tc>
          <w:tcPr>
            <w:tcW w:w="180" w:type="dxa"/>
            <w:vAlign w:val="bottom"/>
            <w:tcBorders>
              <w:bottom w:val="single" w:sz="8" w:color="DBDBDB"/>
            </w:tcBorders>
            <w:shd w:val="clear" w:color="auto" w:fill="DBDBDB"/>
          </w:tcPr>
          <w:p>
            <w:pPr>
              <w:spacing w:after="0"/>
              <w:rPr>
                <w:sz w:val="20"/>
                <w:szCs w:val="20"/>
                <w:color w:val="auto"/>
              </w:rPr>
            </w:pPr>
          </w:p>
        </w:tc>
        <w:tc>
          <w:tcPr>
            <w:tcW w:w="1600" w:type="dxa"/>
            <w:vAlign w:val="bottom"/>
            <w:tcBorders>
              <w:bottom w:val="single" w:sz="8" w:color="auto"/>
            </w:tcBorders>
            <w:shd w:val="clear" w:color="auto" w:fill="DBDBDB"/>
          </w:tcPr>
          <w:p>
            <w:pPr>
              <w:jc w:val="right"/>
              <w:spacing w:after="0" w:line="229" w:lineRule="exact"/>
              <w:rPr>
                <w:sz w:val="20"/>
                <w:szCs w:val="20"/>
                <w:color w:val="auto"/>
              </w:rPr>
            </w:pPr>
            <w:r>
              <w:rPr>
                <w:rFonts w:ascii="Times New Roman" w:cs="Times New Roman" w:eastAsia="Times New Roman" w:hAnsi="Times New Roman"/>
                <w:sz w:val="20"/>
                <w:szCs w:val="20"/>
                <w:color w:val="auto"/>
              </w:rPr>
              <w:t>(0.6%)</w:t>
            </w:r>
          </w:p>
        </w:tc>
      </w:tr>
      <w:tr>
        <w:trPr>
          <w:trHeight w:val="259"/>
        </w:trPr>
        <w:tc>
          <w:tcPr>
            <w:tcW w:w="71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Effective tax rate</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(8,476)</w:t>
            </w:r>
          </w:p>
        </w:tc>
        <w:tc>
          <w:tcPr>
            <w:tcW w:w="18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w:t>
            </w:r>
          </w:p>
        </w:tc>
      </w:tr>
    </w:tbl>
    <w:p>
      <w:pPr>
        <w:spacing w:after="0" w:line="222" w:lineRule="exact"/>
        <w:rPr>
          <w:sz w:val="20"/>
          <w:szCs w:val="20"/>
          <w:color w:val="auto"/>
        </w:rPr>
      </w:pPr>
    </w:p>
    <w:p>
      <w:pPr>
        <w:ind w:left="160" w:firstLine="529"/>
        <w:spacing w:after="0" w:line="268" w:lineRule="auto"/>
        <w:rPr>
          <w:sz w:val="20"/>
          <w:szCs w:val="20"/>
          <w:color w:val="auto"/>
        </w:rPr>
      </w:pPr>
      <w:r>
        <w:rPr>
          <w:rFonts w:ascii="Times New Roman" w:cs="Times New Roman" w:eastAsia="Times New Roman" w:hAnsi="Times New Roman"/>
          <w:sz w:val="20"/>
          <w:szCs w:val="20"/>
          <w:color w:val="auto"/>
        </w:rPr>
        <w:t>*State and Local taxes includes the effects of changes in valuation allowance. No individual state made up the majority of the tax effect in this category.</w:t>
      </w:r>
    </w:p>
    <w:p>
      <w:pPr>
        <w:sectPr>
          <w:pgSz w:w="11880" w:h="15480" w:orient="portrait"/>
          <w:cols w:equalWidth="0" w:num="1">
            <w:col w:w="10600"/>
          </w:cols>
          <w:pgMar w:left="640" w:top="410"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ectPr>
          <w:pgSz w:w="11880" w:h="15480" w:orient="portrait"/>
          <w:cols w:equalWidth="0" w:num="1">
            <w:col w:w="10600"/>
          </w:cols>
          <w:pgMar w:left="640" w:top="410" w:right="640" w:bottom="0" w:gutter="0" w:footer="0" w:header="0"/>
          <w:type w:val="continuous"/>
        </w:sectPr>
      </w:pPr>
    </w:p>
    <w:bookmarkStart w:id="85" w:name="page86"/>
    <w:bookmarkEnd w:id="85"/>
    <w:p>
      <w:pPr>
        <w:ind w:left="160" w:firstLine="706"/>
        <w:spacing w:after="0" w:line="268" w:lineRule="auto"/>
        <w:rPr>
          <w:sz w:val="20"/>
          <w:szCs w:val="20"/>
          <w:color w:val="auto"/>
        </w:rPr>
      </w:pPr>
      <w:r>
        <w:rPr>
          <w:rFonts w:ascii="Times New Roman" w:cs="Times New Roman" w:eastAsia="Times New Roman" w:hAnsi="Times New Roman"/>
          <w:sz w:val="20"/>
          <w:szCs w:val="20"/>
          <w:color w:val="auto"/>
        </w:rPr>
        <w:t>As previously disclosed for the years ended December 31, 2024 and 2023, prior to adoption of ASU 2023-09, the effective income tax rate differs from the statutory federal income tax rate as follows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620" w:type="dxa"/>
            <w:vAlign w:val="bottom"/>
          </w:tcPr>
          <w:p>
            <w:pPr>
              <w:spacing w:after="0"/>
              <w:rPr>
                <w:sz w:val="22"/>
                <w:szCs w:val="22"/>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2024</w:t>
            </w: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20" w:type="dxa"/>
            <w:vAlign w:val="bottom"/>
          </w:tcPr>
          <w:p>
            <w:pPr>
              <w:jc w:val="right"/>
              <w:ind w:right="622"/>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25"/>
        </w:trPr>
        <w:tc>
          <w:tcPr>
            <w:tcW w:w="6620" w:type="dxa"/>
            <w:vAlign w:val="bottom"/>
            <w:tcBorders>
              <w:top w:val="single" w:sz="8" w:color="DBDBDB"/>
            </w:tcBorders>
            <w:shd w:val="clear" w:color="auto" w:fill="DBDBDB"/>
          </w:tcPr>
          <w:p>
            <w:pPr>
              <w:ind w:left="20"/>
              <w:spacing w:after="0" w:line="220" w:lineRule="exact"/>
              <w:rPr>
                <w:sz w:val="20"/>
                <w:szCs w:val="20"/>
                <w:color w:val="auto"/>
              </w:rPr>
            </w:pPr>
            <w:r>
              <w:rPr>
                <w:rFonts w:ascii="Times New Roman" w:cs="Times New Roman" w:eastAsia="Times New Roman" w:hAnsi="Times New Roman"/>
                <w:sz w:val="20"/>
                <w:szCs w:val="20"/>
                <w:color w:val="auto"/>
              </w:rPr>
              <w:t>Expected taxes at statutory rate</w:t>
            </w:r>
          </w:p>
        </w:tc>
        <w:tc>
          <w:tcPr>
            <w:tcW w:w="100" w:type="dxa"/>
            <w:vAlign w:val="bottom"/>
            <w:tcBorders>
              <w:top w:val="single" w:sz="8" w:color="DBDBDB"/>
              <w:right w:val="single" w:sz="8" w:color="DBDBDB"/>
            </w:tcBorders>
            <w:shd w:val="clear" w:color="auto" w:fill="DBDBDB"/>
          </w:tcPr>
          <w:p>
            <w:pPr>
              <w:spacing w:after="0"/>
              <w:rPr>
                <w:sz w:val="19"/>
                <w:szCs w:val="19"/>
                <w:color w:val="auto"/>
              </w:rPr>
            </w:pPr>
          </w:p>
        </w:tc>
        <w:tc>
          <w:tcPr>
            <w:tcW w:w="1140" w:type="dxa"/>
            <w:vAlign w:val="bottom"/>
            <w:tcBorders>
              <w:top w:val="single" w:sz="8" w:color="auto"/>
            </w:tcBorders>
            <w:shd w:val="clear" w:color="auto" w:fill="DBDBDB"/>
          </w:tcPr>
          <w:p>
            <w:pPr>
              <w:jc w:val="right"/>
              <w:ind w:right="942"/>
              <w:spacing w:after="0" w:line="225"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700" w:type="dxa"/>
            <w:vAlign w:val="bottom"/>
            <w:tcBorders>
              <w:top w:val="single" w:sz="8" w:color="auto"/>
            </w:tcBorders>
            <w:shd w:val="clear" w:color="auto" w:fill="DBDBDB"/>
          </w:tcPr>
          <w:p>
            <w:pPr>
              <w:jc w:val="right"/>
              <w:spacing w:after="0" w:line="225" w:lineRule="exact"/>
              <w:rPr>
                <w:sz w:val="20"/>
                <w:szCs w:val="20"/>
                <w:color w:val="auto"/>
              </w:rPr>
            </w:pPr>
            <w:r>
              <w:rPr>
                <w:rFonts w:ascii="Times New Roman" w:cs="Times New Roman" w:eastAsia="Times New Roman" w:hAnsi="Times New Roman"/>
                <w:sz w:val="20"/>
                <w:szCs w:val="20"/>
                <w:color w:val="auto"/>
                <w:w w:val="99"/>
              </w:rPr>
              <w:t>(39,214)</w:t>
            </w:r>
          </w:p>
        </w:tc>
        <w:tc>
          <w:tcPr>
            <w:tcW w:w="200" w:type="dxa"/>
            <w:vAlign w:val="bottom"/>
            <w:tcBorders>
              <w:top w:val="single" w:sz="8" w:color="DBDBDB"/>
              <w:right w:val="single" w:sz="8" w:color="DBDBDB"/>
            </w:tcBorders>
            <w:shd w:val="clear" w:color="auto" w:fill="DBDBDB"/>
          </w:tcPr>
          <w:p>
            <w:pPr>
              <w:spacing w:after="0"/>
              <w:rPr>
                <w:sz w:val="19"/>
                <w:szCs w:val="19"/>
                <w:color w:val="auto"/>
              </w:rPr>
            </w:pPr>
          </w:p>
        </w:tc>
        <w:tc>
          <w:tcPr>
            <w:tcW w:w="120" w:type="dxa"/>
            <w:vAlign w:val="bottom"/>
            <w:tcBorders>
              <w:top w:val="single" w:sz="8" w:color="auto"/>
            </w:tcBorders>
            <w:shd w:val="clear" w:color="auto" w:fill="DBDBDB"/>
          </w:tcPr>
          <w:p>
            <w:pPr>
              <w:jc w:val="right"/>
              <w:spacing w:after="0" w:line="225"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720" w:type="dxa"/>
            <w:vAlign w:val="bottom"/>
            <w:tcBorders>
              <w:top w:val="single" w:sz="8" w:color="auto"/>
            </w:tcBorders>
            <w:shd w:val="clear" w:color="auto" w:fill="DBDBDB"/>
          </w:tcPr>
          <w:p>
            <w:pPr>
              <w:jc w:val="right"/>
              <w:spacing w:after="0" w:line="225" w:lineRule="exact"/>
              <w:rPr>
                <w:sz w:val="20"/>
                <w:szCs w:val="20"/>
                <w:color w:val="auto"/>
              </w:rPr>
            </w:pPr>
            <w:r>
              <w:rPr>
                <w:rFonts w:ascii="Times New Roman" w:cs="Times New Roman" w:eastAsia="Times New Roman" w:hAnsi="Times New Roman"/>
                <w:sz w:val="20"/>
                <w:szCs w:val="20"/>
                <w:color w:val="auto"/>
              </w:rPr>
              <w:t>(11,768)</w:t>
            </w:r>
          </w:p>
        </w:tc>
      </w:tr>
      <w:tr>
        <w:trPr>
          <w:trHeight w:val="235"/>
        </w:trPr>
        <w:tc>
          <w:tcPr>
            <w:tcW w:w="66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Interest Carryforward</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1,843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5"/>
        </w:trPr>
        <w:tc>
          <w:tcPr>
            <w:tcW w:w="6620" w:type="dxa"/>
            <w:vAlign w:val="bottom"/>
            <w:shd w:val="clear" w:color="auto" w:fill="DBDBDB"/>
          </w:tcPr>
          <w:p>
            <w:pPr>
              <w:ind w:left="20"/>
              <w:spacing w:after="0"/>
              <w:rPr>
                <w:sz w:val="20"/>
                <w:szCs w:val="20"/>
                <w:color w:val="auto"/>
              </w:rPr>
            </w:pPr>
            <w:r>
              <w:rPr>
                <w:rFonts w:ascii="Times New Roman" w:cs="Times New Roman" w:eastAsia="Times New Roman" w:hAnsi="Times New Roman"/>
                <w:sz w:val="20"/>
                <w:szCs w:val="20"/>
                <w:color w:val="auto"/>
              </w:rPr>
              <w:t>Non-deductible/non-taxable items</w:t>
            </w:r>
          </w:p>
        </w:tc>
        <w:tc>
          <w:tcPr>
            <w:tcW w:w="100" w:type="dxa"/>
            <w:vAlign w:val="bottom"/>
            <w:tcBorders>
              <w:right w:val="single" w:sz="8" w:color="DBDBDB"/>
            </w:tcBorders>
            <w:shd w:val="clear" w:color="auto" w:fill="DBDBDB"/>
          </w:tcPr>
          <w:p>
            <w:pPr>
              <w:spacing w:after="0"/>
              <w:rPr>
                <w:sz w:val="20"/>
                <w:szCs w:val="20"/>
                <w:color w:val="auto"/>
              </w:rPr>
            </w:pPr>
          </w:p>
        </w:tc>
        <w:tc>
          <w:tcPr>
            <w:tcW w:w="114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470</w:t>
            </w:r>
          </w:p>
        </w:tc>
        <w:tc>
          <w:tcPr>
            <w:tcW w:w="200" w:type="dxa"/>
            <w:vAlign w:val="bottom"/>
            <w:tcBorders>
              <w:right w:val="single" w:sz="8" w:color="DBDBDB"/>
            </w:tcBorders>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7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57</w:t>
            </w:r>
          </w:p>
        </w:tc>
      </w:tr>
      <w:tr>
        <w:trPr>
          <w:trHeight w:val="235"/>
        </w:trPr>
        <w:tc>
          <w:tcPr>
            <w:tcW w:w="66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Global intangible low-taxed income</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1,809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2,568</w:t>
            </w:r>
          </w:p>
        </w:tc>
      </w:tr>
      <w:tr>
        <w:trPr>
          <w:trHeight w:val="235"/>
        </w:trPr>
        <w:tc>
          <w:tcPr>
            <w:tcW w:w="6620" w:type="dxa"/>
            <w:vAlign w:val="bottom"/>
            <w:shd w:val="clear" w:color="auto" w:fill="DBDBDB"/>
          </w:tcPr>
          <w:p>
            <w:pPr>
              <w:ind w:left="20"/>
              <w:spacing w:after="0"/>
              <w:rPr>
                <w:sz w:val="20"/>
                <w:szCs w:val="20"/>
                <w:color w:val="auto"/>
              </w:rPr>
            </w:pPr>
            <w:r>
              <w:rPr>
                <w:rFonts w:ascii="Times New Roman" w:cs="Times New Roman" w:eastAsia="Times New Roman" w:hAnsi="Times New Roman"/>
                <w:sz w:val="20"/>
                <w:szCs w:val="20"/>
                <w:color w:val="auto"/>
              </w:rPr>
              <w:t>Foreign rate differences</w:t>
            </w:r>
          </w:p>
        </w:tc>
        <w:tc>
          <w:tcPr>
            <w:tcW w:w="100" w:type="dxa"/>
            <w:vAlign w:val="bottom"/>
            <w:tcBorders>
              <w:right w:val="single" w:sz="8" w:color="DBDBDB"/>
            </w:tcBorders>
            <w:shd w:val="clear" w:color="auto" w:fill="DBDBDB"/>
          </w:tcPr>
          <w:p>
            <w:pPr>
              <w:spacing w:after="0"/>
              <w:rPr>
                <w:sz w:val="20"/>
                <w:szCs w:val="20"/>
                <w:color w:val="auto"/>
              </w:rPr>
            </w:pPr>
          </w:p>
        </w:tc>
        <w:tc>
          <w:tcPr>
            <w:tcW w:w="114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(314)</w:t>
            </w:r>
          </w:p>
        </w:tc>
        <w:tc>
          <w:tcPr>
            <w:tcW w:w="200" w:type="dxa"/>
            <w:vAlign w:val="bottom"/>
            <w:tcBorders>
              <w:right w:val="single" w:sz="8" w:color="DBDBDB"/>
            </w:tcBorders>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7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242</w:t>
            </w:r>
          </w:p>
        </w:tc>
      </w:tr>
      <w:tr>
        <w:trPr>
          <w:trHeight w:val="235"/>
        </w:trPr>
        <w:tc>
          <w:tcPr>
            <w:tcW w:w="66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Foreign permanent differences</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(1,212)</w:t>
            </w:r>
          </w:p>
        </w:tc>
      </w:tr>
      <w:tr>
        <w:trPr>
          <w:trHeight w:val="235"/>
        </w:trPr>
        <w:tc>
          <w:tcPr>
            <w:tcW w:w="6620" w:type="dxa"/>
            <w:vAlign w:val="bottom"/>
            <w:shd w:val="clear" w:color="auto" w:fill="DBDBDB"/>
          </w:tcPr>
          <w:p>
            <w:pPr>
              <w:ind w:left="20"/>
              <w:spacing w:after="0"/>
              <w:rPr>
                <w:sz w:val="20"/>
                <w:szCs w:val="20"/>
                <w:color w:val="auto"/>
              </w:rPr>
            </w:pPr>
            <w:r>
              <w:rPr>
                <w:rFonts w:ascii="Times New Roman" w:cs="Times New Roman" w:eastAsia="Times New Roman" w:hAnsi="Times New Roman"/>
                <w:sz w:val="20"/>
                <w:szCs w:val="20"/>
                <w:color w:val="auto"/>
              </w:rPr>
              <w:t>Changes in valuation allowance</w:t>
            </w:r>
          </w:p>
        </w:tc>
        <w:tc>
          <w:tcPr>
            <w:tcW w:w="100" w:type="dxa"/>
            <w:vAlign w:val="bottom"/>
            <w:tcBorders>
              <w:right w:val="single" w:sz="8" w:color="DBDBDB"/>
            </w:tcBorders>
            <w:shd w:val="clear" w:color="auto" w:fill="DBDBDB"/>
          </w:tcPr>
          <w:p>
            <w:pPr>
              <w:spacing w:after="0"/>
              <w:rPr>
                <w:sz w:val="20"/>
                <w:szCs w:val="20"/>
                <w:color w:val="auto"/>
              </w:rPr>
            </w:pPr>
          </w:p>
        </w:tc>
        <w:tc>
          <w:tcPr>
            <w:tcW w:w="114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15,727</w:t>
            </w:r>
          </w:p>
        </w:tc>
        <w:tc>
          <w:tcPr>
            <w:tcW w:w="200" w:type="dxa"/>
            <w:vAlign w:val="bottom"/>
            <w:tcBorders>
              <w:right w:val="single" w:sz="8" w:color="DBDBDB"/>
            </w:tcBorders>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7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8,755</w:t>
            </w:r>
          </w:p>
        </w:tc>
      </w:tr>
      <w:tr>
        <w:trPr>
          <w:trHeight w:val="235"/>
        </w:trPr>
        <w:tc>
          <w:tcPr>
            <w:tcW w:w="66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Share-based compensation</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729</w:t>
            </w:r>
          </w:p>
        </w:tc>
      </w:tr>
      <w:tr>
        <w:trPr>
          <w:trHeight w:val="235"/>
        </w:trPr>
        <w:tc>
          <w:tcPr>
            <w:tcW w:w="6620" w:type="dxa"/>
            <w:vAlign w:val="bottom"/>
            <w:shd w:val="clear" w:color="auto" w:fill="DBDBDB"/>
          </w:tcPr>
          <w:p>
            <w:pPr>
              <w:ind w:left="20"/>
              <w:spacing w:after="0"/>
              <w:rPr>
                <w:sz w:val="20"/>
                <w:szCs w:val="20"/>
                <w:color w:val="auto"/>
              </w:rPr>
            </w:pPr>
            <w:r>
              <w:rPr>
                <w:rFonts w:ascii="Times New Roman" w:cs="Times New Roman" w:eastAsia="Times New Roman" w:hAnsi="Times New Roman"/>
                <w:sz w:val="20"/>
                <w:szCs w:val="20"/>
                <w:color w:val="auto"/>
              </w:rPr>
              <w:t>Research and development credits</w:t>
            </w:r>
          </w:p>
        </w:tc>
        <w:tc>
          <w:tcPr>
            <w:tcW w:w="100" w:type="dxa"/>
            <w:vAlign w:val="bottom"/>
            <w:tcBorders>
              <w:right w:val="single" w:sz="8" w:color="DBDBDB"/>
            </w:tcBorders>
            <w:shd w:val="clear" w:color="auto" w:fill="DBDBDB"/>
          </w:tcPr>
          <w:p>
            <w:pPr>
              <w:spacing w:after="0"/>
              <w:rPr>
                <w:sz w:val="20"/>
                <w:szCs w:val="20"/>
                <w:color w:val="auto"/>
              </w:rPr>
            </w:pPr>
          </w:p>
        </w:tc>
        <w:tc>
          <w:tcPr>
            <w:tcW w:w="114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(1,510)</w:t>
            </w:r>
          </w:p>
        </w:tc>
        <w:tc>
          <w:tcPr>
            <w:tcW w:w="200" w:type="dxa"/>
            <w:vAlign w:val="bottom"/>
            <w:tcBorders>
              <w:right w:val="single" w:sz="8" w:color="DBDBDB"/>
            </w:tcBorders>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7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(492)</w:t>
            </w:r>
          </w:p>
        </w:tc>
      </w:tr>
      <w:tr>
        <w:trPr>
          <w:trHeight w:val="235"/>
        </w:trPr>
        <w:tc>
          <w:tcPr>
            <w:tcW w:w="66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Extinguishment of debt</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22,602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1,580</w:t>
            </w:r>
          </w:p>
        </w:tc>
      </w:tr>
      <w:tr>
        <w:trPr>
          <w:trHeight w:val="235"/>
        </w:trPr>
        <w:tc>
          <w:tcPr>
            <w:tcW w:w="6620" w:type="dxa"/>
            <w:vAlign w:val="bottom"/>
            <w:shd w:val="clear" w:color="auto" w:fill="DBDBDB"/>
          </w:tcPr>
          <w:p>
            <w:pPr>
              <w:ind w:left="20"/>
              <w:spacing w:after="0"/>
              <w:rPr>
                <w:sz w:val="20"/>
                <w:szCs w:val="20"/>
                <w:color w:val="auto"/>
              </w:rPr>
            </w:pPr>
            <w:r>
              <w:rPr>
                <w:rFonts w:ascii="Times New Roman" w:cs="Times New Roman" w:eastAsia="Times New Roman" w:hAnsi="Times New Roman"/>
                <w:sz w:val="20"/>
                <w:szCs w:val="20"/>
                <w:color w:val="auto"/>
              </w:rPr>
              <w:t>Foreign other</w:t>
            </w:r>
          </w:p>
        </w:tc>
        <w:tc>
          <w:tcPr>
            <w:tcW w:w="100" w:type="dxa"/>
            <w:vAlign w:val="bottom"/>
            <w:tcBorders>
              <w:right w:val="single" w:sz="8" w:color="DBDBDB"/>
            </w:tcBorders>
            <w:shd w:val="clear" w:color="auto" w:fill="DBDBDB"/>
          </w:tcPr>
          <w:p>
            <w:pPr>
              <w:spacing w:after="0"/>
              <w:rPr>
                <w:sz w:val="20"/>
                <w:szCs w:val="20"/>
                <w:color w:val="auto"/>
              </w:rPr>
            </w:pPr>
          </w:p>
        </w:tc>
        <w:tc>
          <w:tcPr>
            <w:tcW w:w="114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right w:val="single" w:sz="8" w:color="DBDBDB"/>
            </w:tcBorders>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7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8"/>
        </w:trPr>
        <w:tc>
          <w:tcPr>
            <w:tcW w:w="6620" w:type="dxa"/>
            <w:vAlign w:val="bottom"/>
            <w:tcBorders>
              <w:bottom w:val="single" w:sz="8" w:color="DBDBDB"/>
            </w:tcBorders>
          </w:tcPr>
          <w:p>
            <w:pPr>
              <w:ind w:left="20"/>
              <w:spacing w:after="0"/>
              <w:rPr>
                <w:sz w:val="20"/>
                <w:szCs w:val="20"/>
                <w:color w:val="auto"/>
              </w:rPr>
            </w:pPr>
            <w:r>
              <w:rPr>
                <w:rFonts w:ascii="Times New Roman" w:cs="Times New Roman" w:eastAsia="Times New Roman" w:hAnsi="Times New Roman"/>
                <w:sz w:val="20"/>
                <w:szCs w:val="20"/>
                <w:color w:val="auto"/>
              </w:rPr>
              <w:t>Other, net</w:t>
            </w:r>
          </w:p>
        </w:tc>
        <w:tc>
          <w:tcPr>
            <w:tcW w:w="100" w:type="dxa"/>
            <w:vAlign w:val="bottom"/>
            <w:tcBorders>
              <w:bottom w:val="single" w:sz="8" w:color="DBDBDB"/>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(388)</w:t>
            </w:r>
          </w:p>
        </w:tc>
        <w:tc>
          <w:tcPr>
            <w:tcW w:w="200" w:type="dxa"/>
            <w:vAlign w:val="bottom"/>
            <w:tcBorders>
              <w:bottom w:val="single" w:sz="8" w:color="DBDBDB"/>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(450)</w:t>
            </w:r>
          </w:p>
        </w:tc>
      </w:tr>
      <w:tr>
        <w:trPr>
          <w:trHeight w:val="263"/>
        </w:trPr>
        <w:tc>
          <w:tcPr>
            <w:tcW w:w="6620" w:type="dxa"/>
            <w:vAlign w:val="bottom"/>
            <w:tcBorders>
              <w:bottom w:val="single" w:sz="8" w:color="DBDBDB"/>
            </w:tcBorders>
            <w:shd w:val="clear" w:color="auto" w:fill="DBDBDB"/>
          </w:tcPr>
          <w:p>
            <w:pPr>
              <w:ind w:left="20"/>
              <w:spacing w:after="0" w:line="220" w:lineRule="exact"/>
              <w:rPr>
                <w:sz w:val="20"/>
                <w:szCs w:val="20"/>
                <w:color w:val="auto"/>
              </w:rPr>
            </w:pPr>
            <w:r>
              <w:rPr>
                <w:rFonts w:ascii="Times New Roman" w:cs="Times New Roman" w:eastAsia="Times New Roman" w:hAnsi="Times New Roman"/>
                <w:sz w:val="20"/>
                <w:szCs w:val="20"/>
                <w:color w:val="auto"/>
              </w:rPr>
              <w:t>Tax (benefit) expense</w:t>
            </w:r>
          </w:p>
        </w:tc>
        <w:tc>
          <w:tcPr>
            <w:tcW w:w="100" w:type="dxa"/>
            <w:vAlign w:val="bottom"/>
            <w:tcBorders>
              <w:bottom w:val="single" w:sz="8" w:color="DBDBDB"/>
              <w:right w:val="single" w:sz="8" w:color="DBDBDB"/>
            </w:tcBorders>
            <w:shd w:val="clear" w:color="auto" w:fill="DBDBDB"/>
          </w:tcPr>
          <w:p>
            <w:pPr>
              <w:spacing w:after="0"/>
              <w:rPr>
                <w:sz w:val="22"/>
                <w:szCs w:val="22"/>
                <w:color w:val="auto"/>
              </w:rPr>
            </w:pPr>
          </w:p>
        </w:tc>
        <w:tc>
          <w:tcPr>
            <w:tcW w:w="1140" w:type="dxa"/>
            <w:vAlign w:val="bottom"/>
            <w:tcBorders>
              <w:bottom w:val="single" w:sz="8" w:color="DBDBDB"/>
            </w:tcBorders>
            <w:shd w:val="clear" w:color="auto" w:fill="DBDBDB"/>
          </w:tcPr>
          <w:p>
            <w:pPr>
              <w:jc w:val="right"/>
              <w:ind w:right="942"/>
              <w:spacing w:after="0" w:line="226"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700" w:type="dxa"/>
            <w:vAlign w:val="bottom"/>
            <w:tcBorders>
              <w:bottom w:val="single" w:sz="8" w:color="DBDBDB"/>
            </w:tcBorders>
            <w:shd w:val="clear" w:color="auto" w:fill="DBDBDB"/>
          </w:tcPr>
          <w:p>
            <w:pPr>
              <w:jc w:val="right"/>
              <w:spacing w:after="0" w:line="226" w:lineRule="exact"/>
              <w:rPr>
                <w:sz w:val="20"/>
                <w:szCs w:val="20"/>
                <w:color w:val="auto"/>
              </w:rPr>
            </w:pPr>
            <w:r>
              <w:rPr>
                <w:rFonts w:ascii="Times New Roman" w:cs="Times New Roman" w:eastAsia="Times New Roman" w:hAnsi="Times New Roman"/>
                <w:sz w:val="20"/>
                <w:szCs w:val="20"/>
                <w:color w:val="auto"/>
              </w:rPr>
              <w:t>2</w:t>
            </w:r>
          </w:p>
        </w:tc>
        <w:tc>
          <w:tcPr>
            <w:tcW w:w="200" w:type="dxa"/>
            <w:vAlign w:val="bottom"/>
            <w:tcBorders>
              <w:bottom w:val="single" w:sz="8" w:color="DBDBDB"/>
              <w:right w:val="single" w:sz="8" w:color="DBDBDB"/>
            </w:tcBorders>
            <w:shd w:val="clear" w:color="auto" w:fill="DBDBDB"/>
          </w:tcPr>
          <w:p>
            <w:pPr>
              <w:spacing w:after="0"/>
              <w:rPr>
                <w:sz w:val="22"/>
                <w:szCs w:val="22"/>
                <w:color w:val="auto"/>
              </w:rPr>
            </w:pPr>
          </w:p>
        </w:tc>
        <w:tc>
          <w:tcPr>
            <w:tcW w:w="120" w:type="dxa"/>
            <w:vAlign w:val="bottom"/>
            <w:tcBorders>
              <w:bottom w:val="single" w:sz="8" w:color="auto"/>
            </w:tcBorders>
            <w:shd w:val="clear" w:color="auto" w:fill="DBDBDB"/>
          </w:tcPr>
          <w:p>
            <w:pPr>
              <w:jc w:val="right"/>
              <w:spacing w:after="0" w:line="226"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720" w:type="dxa"/>
            <w:vAlign w:val="bottom"/>
            <w:tcBorders>
              <w:bottom w:val="single" w:sz="8" w:color="auto"/>
            </w:tcBorders>
            <w:shd w:val="clear" w:color="auto" w:fill="DBDBDB"/>
          </w:tcPr>
          <w:p>
            <w:pPr>
              <w:jc w:val="right"/>
              <w:spacing w:after="0" w:line="226" w:lineRule="exact"/>
              <w:rPr>
                <w:sz w:val="20"/>
                <w:szCs w:val="20"/>
                <w:color w:val="auto"/>
              </w:rPr>
            </w:pPr>
            <w:r>
              <w:rPr>
                <w:rFonts w:ascii="Times New Roman" w:cs="Times New Roman" w:eastAsia="Times New Roman" w:hAnsi="Times New Roman"/>
                <w:sz w:val="20"/>
                <w:szCs w:val="20"/>
                <w:color w:val="auto"/>
              </w:rPr>
              <w:t>9</w:t>
            </w:r>
          </w:p>
        </w:tc>
      </w:tr>
      <w:tr>
        <w:trPr>
          <w:trHeight w:val="20"/>
        </w:trPr>
        <w:tc>
          <w:tcPr>
            <w:tcW w:w="662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right w:val="single" w:sz="8" w:color="auto"/>
            </w:tcBorders>
          </w:tcPr>
          <w:p>
            <w:pPr>
              <w:spacing w:after="0" w:line="20" w:lineRule="exact"/>
              <w:rPr>
                <w:sz w:val="1"/>
                <w:szCs w:val="1"/>
                <w:color w:val="auto"/>
              </w:rPr>
            </w:pPr>
          </w:p>
        </w:tc>
        <w:tc>
          <w:tcPr>
            <w:tcW w:w="1140" w:type="dxa"/>
            <w:vAlign w:val="bottom"/>
            <w:tcBorders>
              <w:top w:val="single" w:sz="8" w:color="DBDBDB"/>
            </w:tcBorders>
            <w:shd w:val="clear" w:color="auto" w:fill="000000"/>
          </w:tcPr>
          <w:p>
            <w:pPr>
              <w:spacing w:after="0" w:line="20" w:lineRule="exact"/>
              <w:rPr>
                <w:sz w:val="1"/>
                <w:szCs w:val="1"/>
                <w:color w:val="auto"/>
              </w:rPr>
            </w:pPr>
          </w:p>
        </w:tc>
        <w:tc>
          <w:tcPr>
            <w:tcW w:w="700" w:type="dxa"/>
            <w:vAlign w:val="bottom"/>
            <w:tcBorders>
              <w:top w:val="single" w:sz="8" w:color="DBDBDB"/>
            </w:tcBorders>
            <w:shd w:val="clear" w:color="auto" w:fill="000000"/>
          </w:tcPr>
          <w:p>
            <w:pPr>
              <w:spacing w:after="0" w:line="20" w:lineRule="exact"/>
              <w:rPr>
                <w:sz w:val="1"/>
                <w:szCs w:val="1"/>
                <w:color w:val="auto"/>
              </w:rPr>
            </w:pPr>
          </w:p>
        </w:tc>
        <w:tc>
          <w:tcPr>
            <w:tcW w:w="200" w:type="dxa"/>
            <w:vAlign w:val="bottom"/>
            <w:tcBorders>
              <w:top w:val="single" w:sz="8" w:color="DBDBDB"/>
              <w:right w:val="single" w:sz="8" w:color="auto"/>
            </w:tcBorders>
          </w:tcPr>
          <w:p>
            <w:pPr>
              <w:spacing w:after="0" w:line="20" w:lineRule="exact"/>
              <w:rPr>
                <w:sz w:val="1"/>
                <w:szCs w:val="1"/>
                <w:color w:val="auto"/>
              </w:rPr>
            </w:pPr>
          </w:p>
        </w:tc>
        <w:tc>
          <w:tcPr>
            <w:tcW w:w="120" w:type="dxa"/>
            <w:vAlign w:val="bottom"/>
            <w:tcBorders>
              <w:top w:val="single" w:sz="8" w:color="DBDBDB"/>
            </w:tcBorders>
            <w:shd w:val="clear" w:color="auto" w:fill="000000"/>
          </w:tcPr>
          <w:p>
            <w:pPr>
              <w:spacing w:after="0" w:line="20" w:lineRule="exact"/>
              <w:rPr>
                <w:sz w:val="1"/>
                <w:szCs w:val="1"/>
                <w:color w:val="auto"/>
              </w:rPr>
            </w:pPr>
          </w:p>
        </w:tc>
        <w:tc>
          <w:tcPr>
            <w:tcW w:w="1720" w:type="dxa"/>
            <w:vAlign w:val="bottom"/>
            <w:tcBorders>
              <w:top w:val="single" w:sz="8" w:color="DBDBDB"/>
            </w:tcBorders>
            <w:shd w:val="clear" w:color="auto" w:fill="000000"/>
          </w:tcPr>
          <w:p>
            <w:pPr>
              <w:spacing w:after="0" w:line="20" w:lineRule="exact"/>
              <w:rPr>
                <w:sz w:val="1"/>
                <w:szCs w:val="1"/>
                <w:color w:val="auto"/>
              </w:rPr>
            </w:pPr>
          </w:p>
        </w:tc>
      </w:tr>
    </w:tbl>
    <w:p>
      <w:pPr>
        <w:spacing w:after="0" w:line="206" w:lineRule="exact"/>
        <w:rPr>
          <w:sz w:val="20"/>
          <w:szCs w:val="20"/>
          <w:color w:val="auto"/>
        </w:rPr>
      </w:pPr>
    </w:p>
    <w:p>
      <w:pPr>
        <w:jc w:val="both"/>
        <w:ind w:firstLine="706"/>
        <w:spacing w:after="0" w:line="241" w:lineRule="auto"/>
        <w:rPr>
          <w:sz w:val="20"/>
          <w:szCs w:val="20"/>
          <w:color w:val="auto"/>
        </w:rPr>
      </w:pPr>
      <w:r>
        <w:rPr>
          <w:rFonts w:ascii="Times New Roman" w:cs="Times New Roman" w:eastAsia="Times New Roman" w:hAnsi="Times New Roman"/>
          <w:sz w:val="20"/>
          <w:szCs w:val="20"/>
          <w:color w:val="auto"/>
        </w:rPr>
        <w:t>The Company’s provision for income taxes in 2025 was lower than 2024 primarily due to the release of Valuation Allowance on the deferred tax assets of the Company’s wholly owned subsidiary, Global Technology, Inc. As of each reporting date, management considers new evidence, both positive and negative, that could affect its view of the future realization of deferred tax assets. As of December 31, 2025, in part because in the current year we achieved three years of cumulative pretax income in China, management determined that there is sufficient positive evidence to conclude that it is more likely than not that additional deferred taxes of $7.6 million are realizable. It therefore reduced the valuation allowance accordingly.</w:t>
      </w:r>
    </w:p>
    <w:p>
      <w:pPr>
        <w:spacing w:after="0" w:line="19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Company's provision for income taxes in 2024 was higher than 2023 primarily due to state taxes.</w:t>
      </w:r>
    </w:p>
    <w:p>
      <w:pPr>
        <w:spacing w:after="0" w:line="22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Company’s wholly owned subsidiary, Prime World is a tax-exempt entity under the Income Tax Code of the British Virgin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Islands.</w:t>
      </w:r>
    </w:p>
    <w:p>
      <w:pPr>
        <w:spacing w:after="0" w:line="222" w:lineRule="exact"/>
        <w:rPr>
          <w:sz w:val="20"/>
          <w:szCs w:val="20"/>
          <w:color w:val="auto"/>
        </w:rPr>
      </w:pPr>
    </w:p>
    <w:p>
      <w:pPr>
        <w:jc w:val="both"/>
        <w:ind w:firstLine="706"/>
        <w:spacing w:after="0" w:line="268" w:lineRule="auto"/>
        <w:rPr>
          <w:sz w:val="20"/>
          <w:szCs w:val="20"/>
          <w:color w:val="auto"/>
        </w:rPr>
      </w:pPr>
      <w:r>
        <w:rPr>
          <w:rFonts w:ascii="Times New Roman" w:cs="Times New Roman" w:eastAsia="Times New Roman" w:hAnsi="Times New Roman"/>
          <w:sz w:val="18"/>
          <w:szCs w:val="18"/>
          <w:color w:val="auto"/>
        </w:rPr>
        <w:t>The Company’s wholly owned subsidiary, Global Technology, Inc., has enjoyed preferential tax concessions in China as a national high-tech enterprise. In March 2007, China’s parliament enacted the PRC Enterprise Income Tax Law, or the EIT Law, under which, effective January 1, 2008, China adopted a uniform income tax rate of 25% for all enterprises including foreign invested enterprises. However, Global Technology, Inc. has been recognized as a National high-tech enterprise since 2008 and entitled to a 15% reduced tax rate. In December 2023, Global Technology, Inc. again renewed its National high-tech enterprise certificate and therefore extended its three-year tax preferential status until December 2026. This tax holiday reduced its 2025, 2024 and 2023 income tax provision by approximately $ 0.0 million, $0.0 million, and $0.0 million, respectively. This tax holiday reduced its fiscal 2025, 2024, and 2023 diluted earnings per share by approximately $0.00, $0.00, and $0.00 respectively. Effective January 1, 2016, China expanded the scope of the National high-tech enterprise to include additional deductions for qualifying research and development.</w:t>
      </w:r>
    </w:p>
    <w:p>
      <w:pPr>
        <w:spacing w:after="0" w:line="173" w:lineRule="exact"/>
        <w:rPr>
          <w:sz w:val="20"/>
          <w:szCs w:val="20"/>
          <w:color w:val="auto"/>
        </w:rPr>
      </w:pPr>
    </w:p>
    <w:p>
      <w:pPr>
        <w:jc w:val="both"/>
        <w:ind w:firstLine="706"/>
        <w:spacing w:after="0" w:line="268" w:lineRule="auto"/>
        <w:rPr>
          <w:sz w:val="20"/>
          <w:szCs w:val="20"/>
          <w:color w:val="auto"/>
        </w:rPr>
      </w:pPr>
      <w:r>
        <w:rPr>
          <w:rFonts w:ascii="Times New Roman" w:cs="Times New Roman" w:eastAsia="Times New Roman" w:hAnsi="Times New Roman"/>
          <w:sz w:val="20"/>
          <w:szCs w:val="20"/>
          <w:color w:val="auto"/>
        </w:rPr>
        <w:t>As of December 31, 2025, 2024 and 2023, the total amount of unrecognized tax benefit was $0.2 million, $0.2 million, and $0.2 million, respectively. The following is a tabular reconciliation of the total amounts of unrecognized tax benefits (in thousands):</w:t>
      </w:r>
    </w:p>
    <w:p>
      <w:pPr>
        <w:spacing w:after="0" w:line="164" w:lineRule="exact"/>
        <w:rPr>
          <w:sz w:val="20"/>
          <w:szCs w:val="20"/>
          <w:color w:val="auto"/>
        </w:rPr>
      </w:pPr>
    </w:p>
    <w:tbl>
      <w:tblPr>
        <w:tblLayout w:type="fixed"/>
        <w:tblInd w:w="60" w:type="dxa"/>
        <w:tblCellMar>
          <w:top w:w="0" w:type="dxa"/>
          <w:left w:w="0" w:type="dxa"/>
          <w:bottom w:w="0" w:type="dxa"/>
          <w:right w:w="0" w:type="dxa"/>
        </w:tblCellMar>
      </w:tblPr>
      <w:tr>
        <w:trPr>
          <w:trHeight w:val="257"/>
        </w:trPr>
        <w:tc>
          <w:tcPr>
            <w:tcW w:w="5820" w:type="dxa"/>
            <w:vAlign w:val="bottom"/>
          </w:tcPr>
          <w:p>
            <w:pPr>
              <w:spacing w:after="0"/>
              <w:rPr>
                <w:sz w:val="22"/>
                <w:szCs w:val="22"/>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400" w:type="dxa"/>
            <w:vAlign w:val="bottom"/>
          </w:tcPr>
          <w:p>
            <w:pPr>
              <w:spacing w:after="0"/>
              <w:rPr>
                <w:sz w:val="22"/>
                <w:szCs w:val="22"/>
                <w:color w:val="auto"/>
              </w:rPr>
            </w:pPr>
          </w:p>
        </w:tc>
        <w:tc>
          <w:tcPr>
            <w:tcW w:w="1200" w:type="dxa"/>
            <w:vAlign w:val="bottom"/>
            <w:gridSpan w:val="4"/>
          </w:tcPr>
          <w:p>
            <w:pPr>
              <w:jc w:val="right"/>
              <w:ind w:right="2"/>
              <w:spacing w:after="0"/>
              <w:rPr>
                <w:sz w:val="20"/>
                <w:szCs w:val="20"/>
                <w:color w:val="auto"/>
              </w:rPr>
            </w:pPr>
            <w:r>
              <w:rPr>
                <w:rFonts w:ascii="Times New Roman" w:cs="Times New Roman" w:eastAsia="Times New Roman" w:hAnsi="Times New Roman"/>
                <w:sz w:val="20"/>
                <w:szCs w:val="20"/>
                <w:b w:val="1"/>
                <w:bCs w:val="1"/>
                <w:color w:val="auto"/>
              </w:rPr>
              <w:t>2024</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jc w:val="right"/>
              <w:ind w:right="402"/>
              <w:spacing w:after="0"/>
              <w:rPr>
                <w:sz w:val="20"/>
                <w:szCs w:val="20"/>
                <w:color w:val="auto"/>
              </w:rPr>
            </w:pPr>
            <w:r>
              <w:rPr>
                <w:rFonts w:ascii="Times New Roman" w:cs="Times New Roman" w:eastAsia="Times New Roman" w:hAnsi="Times New Roman"/>
                <w:sz w:val="20"/>
                <w:szCs w:val="20"/>
                <w:b w:val="1"/>
                <w:bCs w:val="1"/>
                <w:color w:val="auto"/>
              </w:rPr>
              <w:t>2023</w:t>
            </w:r>
          </w:p>
        </w:tc>
        <w:tc>
          <w:tcPr>
            <w:tcW w:w="20" w:type="dxa"/>
            <w:vAlign w:val="bottom"/>
          </w:tcPr>
          <w:p>
            <w:pPr>
              <w:spacing w:after="0"/>
              <w:rPr>
                <w:sz w:val="22"/>
                <w:szCs w:val="22"/>
                <w:color w:val="auto"/>
              </w:rPr>
            </w:pPr>
          </w:p>
        </w:tc>
      </w:tr>
      <w:tr>
        <w:trPr>
          <w:trHeight w:val="220"/>
        </w:trPr>
        <w:tc>
          <w:tcPr>
            <w:tcW w:w="5820" w:type="dxa"/>
            <w:vAlign w:val="bottom"/>
            <w:tcBorders>
              <w:top w:val="single" w:sz="8" w:color="DBDBDB"/>
              <w:bottom w:val="single" w:sz="8" w:color="DBDBDB"/>
            </w:tcBorders>
            <w:shd w:val="clear" w:color="auto" w:fill="DBDBDB"/>
          </w:tcPr>
          <w:p>
            <w:pPr>
              <w:spacing w:after="0" w:line="220" w:lineRule="exact"/>
              <w:rPr>
                <w:sz w:val="20"/>
                <w:szCs w:val="20"/>
                <w:color w:val="auto"/>
              </w:rPr>
            </w:pPr>
            <w:r>
              <w:rPr>
                <w:rFonts w:ascii="Times New Roman" w:cs="Times New Roman" w:eastAsia="Times New Roman" w:hAnsi="Times New Roman"/>
                <w:sz w:val="20"/>
                <w:szCs w:val="20"/>
                <w:color w:val="auto"/>
              </w:rPr>
              <w:t>Unrecognized tax benefits — January 1</w:t>
            </w:r>
          </w:p>
        </w:tc>
        <w:tc>
          <w:tcPr>
            <w:tcW w:w="100" w:type="dxa"/>
            <w:vAlign w:val="bottom"/>
            <w:tcBorders>
              <w:top w:val="single" w:sz="8" w:color="DBDBDB"/>
              <w:bottom w:val="single" w:sz="8" w:color="DBDBDB"/>
            </w:tcBorders>
            <w:shd w:val="clear" w:color="auto" w:fill="DBDBDB"/>
          </w:tcPr>
          <w:p>
            <w:pPr>
              <w:spacing w:after="0"/>
              <w:rPr>
                <w:sz w:val="19"/>
                <w:szCs w:val="19"/>
                <w:color w:val="auto"/>
              </w:rPr>
            </w:pPr>
          </w:p>
        </w:tc>
        <w:tc>
          <w:tcPr>
            <w:tcW w:w="20" w:type="dxa"/>
            <w:vAlign w:val="bottom"/>
            <w:tcBorders>
              <w:top w:val="single" w:sz="8" w:color="DBDBDB"/>
              <w:bottom w:val="single" w:sz="8" w:color="DBDBDB"/>
            </w:tcBorders>
            <w:shd w:val="clear" w:color="auto" w:fill="DBDBDB"/>
          </w:tcPr>
          <w:p>
            <w:pPr>
              <w:spacing w:after="0"/>
              <w:rPr>
                <w:sz w:val="19"/>
                <w:szCs w:val="19"/>
                <w:color w:val="auto"/>
              </w:rPr>
            </w:pPr>
          </w:p>
        </w:tc>
        <w:tc>
          <w:tcPr>
            <w:tcW w:w="960" w:type="dxa"/>
            <w:vAlign w:val="bottom"/>
            <w:tcBorders>
              <w:top w:val="single" w:sz="8" w:color="auto"/>
              <w:bottom w:val="single" w:sz="8" w:color="DBDBDB"/>
            </w:tcBorders>
            <w:shd w:val="clear" w:color="auto" w:fill="DBDBDB"/>
          </w:tcPr>
          <w:p>
            <w:pPr>
              <w:jc w:val="right"/>
              <w:ind w:right="762"/>
              <w:spacing w:after="0" w:line="220"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400" w:type="dxa"/>
            <w:vAlign w:val="bottom"/>
            <w:tcBorders>
              <w:top w:val="single" w:sz="8" w:color="auto"/>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rPr>
              <w:t>181</w:t>
            </w:r>
          </w:p>
        </w:tc>
        <w:tc>
          <w:tcPr>
            <w:tcW w:w="100" w:type="dxa"/>
            <w:vAlign w:val="bottom"/>
            <w:tcBorders>
              <w:top w:val="single" w:sz="8" w:color="DBDBDB"/>
              <w:bottom w:val="single" w:sz="8" w:color="DBDBDB"/>
            </w:tcBorders>
            <w:shd w:val="clear" w:color="auto" w:fill="DBDBDB"/>
          </w:tcPr>
          <w:p>
            <w:pPr>
              <w:spacing w:after="0"/>
              <w:rPr>
                <w:sz w:val="19"/>
                <w:szCs w:val="19"/>
                <w:color w:val="auto"/>
              </w:rPr>
            </w:pPr>
          </w:p>
        </w:tc>
        <w:tc>
          <w:tcPr>
            <w:tcW w:w="100" w:type="dxa"/>
            <w:vAlign w:val="bottom"/>
            <w:tcBorders>
              <w:top w:val="single" w:sz="8" w:color="DBDBDB"/>
              <w:bottom w:val="single" w:sz="8" w:color="DBDBDB"/>
            </w:tcBorders>
            <w:shd w:val="clear" w:color="auto" w:fill="DBDBDB"/>
          </w:tcPr>
          <w:p>
            <w:pPr>
              <w:spacing w:after="0"/>
              <w:rPr>
                <w:sz w:val="19"/>
                <w:szCs w:val="19"/>
                <w:color w:val="auto"/>
              </w:rPr>
            </w:pPr>
          </w:p>
        </w:tc>
        <w:tc>
          <w:tcPr>
            <w:tcW w:w="20" w:type="dxa"/>
            <w:vAlign w:val="bottom"/>
            <w:tcBorders>
              <w:top w:val="single" w:sz="8" w:color="DBDBDB"/>
              <w:bottom w:val="single" w:sz="8" w:color="DBDBDB"/>
            </w:tcBorders>
            <w:shd w:val="clear" w:color="auto" w:fill="DBDBDB"/>
          </w:tcPr>
          <w:p>
            <w:pPr>
              <w:spacing w:after="0"/>
              <w:rPr>
                <w:sz w:val="19"/>
                <w:szCs w:val="19"/>
                <w:color w:val="auto"/>
              </w:rPr>
            </w:pPr>
          </w:p>
        </w:tc>
        <w:tc>
          <w:tcPr>
            <w:tcW w:w="980" w:type="dxa"/>
            <w:vAlign w:val="bottom"/>
            <w:tcBorders>
              <w:top w:val="single" w:sz="8" w:color="auto"/>
              <w:bottom w:val="single" w:sz="8" w:color="DBDBDB"/>
            </w:tcBorders>
            <w:shd w:val="clear" w:color="auto" w:fill="DBDBDB"/>
          </w:tcPr>
          <w:p>
            <w:pPr>
              <w:jc w:val="right"/>
              <w:ind w:right="782"/>
              <w:spacing w:after="0" w:line="220"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400" w:type="dxa"/>
            <w:vAlign w:val="bottom"/>
            <w:tcBorders>
              <w:top w:val="single" w:sz="8" w:color="auto"/>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rPr>
              <w:t>181</w:t>
            </w:r>
          </w:p>
        </w:tc>
        <w:tc>
          <w:tcPr>
            <w:tcW w:w="100" w:type="dxa"/>
            <w:vAlign w:val="bottom"/>
            <w:tcBorders>
              <w:top w:val="single" w:sz="8" w:color="DBDBDB"/>
              <w:bottom w:val="single" w:sz="8" w:color="DBDBDB"/>
            </w:tcBorders>
            <w:shd w:val="clear" w:color="auto" w:fill="DBDBDB"/>
          </w:tcPr>
          <w:p>
            <w:pPr>
              <w:spacing w:after="0"/>
              <w:rPr>
                <w:sz w:val="19"/>
                <w:szCs w:val="19"/>
                <w:color w:val="auto"/>
              </w:rPr>
            </w:pPr>
          </w:p>
        </w:tc>
        <w:tc>
          <w:tcPr>
            <w:tcW w:w="80" w:type="dxa"/>
            <w:vAlign w:val="bottom"/>
            <w:tcBorders>
              <w:top w:val="single" w:sz="8" w:color="DBDBDB"/>
              <w:bottom w:val="single" w:sz="8" w:color="DBDBDB"/>
            </w:tcBorders>
            <w:shd w:val="clear" w:color="auto" w:fill="DBDBDB"/>
          </w:tcPr>
          <w:p>
            <w:pPr>
              <w:spacing w:after="0"/>
              <w:rPr>
                <w:sz w:val="19"/>
                <w:szCs w:val="19"/>
                <w:color w:val="auto"/>
              </w:rPr>
            </w:pPr>
          </w:p>
        </w:tc>
        <w:tc>
          <w:tcPr>
            <w:tcW w:w="20" w:type="dxa"/>
            <w:vAlign w:val="bottom"/>
            <w:tcBorders>
              <w:top w:val="single" w:sz="8" w:color="DBDBDB"/>
              <w:bottom w:val="single" w:sz="8" w:color="DBDBDB"/>
            </w:tcBorders>
            <w:shd w:val="clear" w:color="auto" w:fill="DBDBDB"/>
          </w:tcPr>
          <w:p>
            <w:pPr>
              <w:spacing w:after="0"/>
              <w:rPr>
                <w:sz w:val="19"/>
                <w:szCs w:val="19"/>
                <w:color w:val="auto"/>
              </w:rPr>
            </w:pPr>
          </w:p>
        </w:tc>
        <w:tc>
          <w:tcPr>
            <w:tcW w:w="120" w:type="dxa"/>
            <w:vAlign w:val="bottom"/>
            <w:tcBorders>
              <w:top w:val="single" w:sz="8" w:color="auto"/>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260" w:type="dxa"/>
            <w:vAlign w:val="bottom"/>
            <w:tcBorders>
              <w:top w:val="single" w:sz="8" w:color="auto"/>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rPr>
              <w:t>181</w:t>
            </w:r>
          </w:p>
        </w:tc>
        <w:tc>
          <w:tcPr>
            <w:tcW w:w="20" w:type="dxa"/>
            <w:vAlign w:val="bottom"/>
            <w:tcBorders>
              <w:top w:val="single" w:sz="8" w:color="DBDBDB"/>
              <w:bottom w:val="single" w:sz="8" w:color="DBDBDB"/>
            </w:tcBorders>
            <w:shd w:val="clear" w:color="auto" w:fill="DBDBDB"/>
          </w:tcPr>
          <w:p>
            <w:pPr>
              <w:spacing w:after="0"/>
              <w:rPr>
                <w:sz w:val="19"/>
                <w:szCs w:val="19"/>
                <w:color w:val="auto"/>
              </w:rPr>
            </w:pPr>
          </w:p>
        </w:tc>
      </w:tr>
      <w:tr>
        <w:trPr>
          <w:trHeight w:val="220"/>
        </w:trPr>
        <w:tc>
          <w:tcPr>
            <w:tcW w:w="5820" w:type="dxa"/>
            <w:vAlign w:val="bottom"/>
            <w:tcBorders>
              <w:bottom w:val="single" w:sz="8" w:color="DBDBDB"/>
            </w:tcBorders>
          </w:tcPr>
          <w:p>
            <w:pPr>
              <w:spacing w:after="0" w:line="220" w:lineRule="exact"/>
              <w:rPr>
                <w:sz w:val="20"/>
                <w:szCs w:val="20"/>
                <w:color w:val="auto"/>
              </w:rPr>
            </w:pPr>
            <w:r>
              <w:rPr>
                <w:rFonts w:ascii="Times New Roman" w:cs="Times New Roman" w:eastAsia="Times New Roman" w:hAnsi="Times New Roman"/>
                <w:sz w:val="20"/>
                <w:szCs w:val="20"/>
                <w:color w:val="auto"/>
              </w:rPr>
              <w:t>Gross increases — tax positions in prior period</w:t>
            </w:r>
          </w:p>
        </w:tc>
        <w:tc>
          <w:tcPr>
            <w:tcW w:w="100" w:type="dxa"/>
            <w:vAlign w:val="bottom"/>
            <w:tcBorders>
              <w:bottom w:val="single" w:sz="8" w:color="DBDBDB"/>
            </w:tcBorders>
          </w:tcPr>
          <w:p>
            <w:pPr>
              <w:spacing w:after="0"/>
              <w:rPr>
                <w:sz w:val="19"/>
                <w:szCs w:val="19"/>
                <w:color w:val="auto"/>
              </w:rPr>
            </w:pPr>
          </w:p>
        </w:tc>
        <w:tc>
          <w:tcPr>
            <w:tcW w:w="20" w:type="dxa"/>
            <w:vAlign w:val="bottom"/>
            <w:tcBorders>
              <w:bottom w:val="single" w:sz="8" w:color="DBDBDB"/>
            </w:tcBorders>
          </w:tcPr>
          <w:p>
            <w:pPr>
              <w:spacing w:after="0"/>
              <w:rPr>
                <w:sz w:val="19"/>
                <w:szCs w:val="19"/>
                <w:color w:val="auto"/>
              </w:rPr>
            </w:pPr>
          </w:p>
        </w:tc>
        <w:tc>
          <w:tcPr>
            <w:tcW w:w="960" w:type="dxa"/>
            <w:vAlign w:val="bottom"/>
            <w:tcBorders>
              <w:bottom w:val="single" w:sz="8" w:color="DBDBDB"/>
            </w:tcBorders>
          </w:tcPr>
          <w:p>
            <w:pPr>
              <w:spacing w:after="0"/>
              <w:rPr>
                <w:sz w:val="19"/>
                <w:szCs w:val="19"/>
                <w:color w:val="auto"/>
              </w:rPr>
            </w:pPr>
          </w:p>
        </w:tc>
        <w:tc>
          <w:tcPr>
            <w:tcW w:w="400" w:type="dxa"/>
            <w:vAlign w:val="bottom"/>
            <w:tcBorders>
              <w:bottom w:val="single" w:sz="8" w:color="DBDBDB"/>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DBDBDB"/>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20" w:type="dxa"/>
            <w:vAlign w:val="bottom"/>
            <w:tcBorders>
              <w:bottom w:val="single" w:sz="8" w:color="DBDBDB"/>
            </w:tcBorders>
          </w:tcPr>
          <w:p>
            <w:pPr>
              <w:spacing w:after="0"/>
              <w:rPr>
                <w:sz w:val="19"/>
                <w:szCs w:val="19"/>
                <w:color w:val="auto"/>
              </w:rPr>
            </w:pPr>
          </w:p>
        </w:tc>
        <w:tc>
          <w:tcPr>
            <w:tcW w:w="980" w:type="dxa"/>
            <w:vAlign w:val="bottom"/>
            <w:tcBorders>
              <w:bottom w:val="single" w:sz="8" w:color="DBDBDB"/>
            </w:tcBorders>
          </w:tcPr>
          <w:p>
            <w:pPr>
              <w:spacing w:after="0"/>
              <w:rPr>
                <w:sz w:val="19"/>
                <w:szCs w:val="19"/>
                <w:color w:val="auto"/>
              </w:rPr>
            </w:pPr>
          </w:p>
        </w:tc>
        <w:tc>
          <w:tcPr>
            <w:tcW w:w="400" w:type="dxa"/>
            <w:vAlign w:val="bottom"/>
            <w:tcBorders>
              <w:bottom w:val="single" w:sz="8" w:color="DBDBDB"/>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DBDBDB"/>
            </w:tcBorders>
          </w:tcPr>
          <w:p>
            <w:pPr>
              <w:spacing w:after="0"/>
              <w:rPr>
                <w:sz w:val="19"/>
                <w:szCs w:val="19"/>
                <w:color w:val="auto"/>
              </w:rPr>
            </w:pPr>
          </w:p>
        </w:tc>
        <w:tc>
          <w:tcPr>
            <w:tcW w:w="80" w:type="dxa"/>
            <w:vAlign w:val="bottom"/>
            <w:tcBorders>
              <w:bottom w:val="single" w:sz="8" w:color="DBDBDB"/>
            </w:tcBorders>
          </w:tcPr>
          <w:p>
            <w:pPr>
              <w:spacing w:after="0"/>
              <w:rPr>
                <w:sz w:val="19"/>
                <w:szCs w:val="19"/>
                <w:color w:val="auto"/>
              </w:rPr>
            </w:pPr>
          </w:p>
        </w:tc>
        <w:tc>
          <w:tcPr>
            <w:tcW w:w="20" w:type="dxa"/>
            <w:vAlign w:val="bottom"/>
            <w:tcBorders>
              <w:bottom w:val="single" w:sz="8" w:color="DBDBDB"/>
            </w:tcBorders>
          </w:tcPr>
          <w:p>
            <w:pPr>
              <w:spacing w:after="0"/>
              <w:rPr>
                <w:sz w:val="19"/>
                <w:szCs w:val="19"/>
                <w:color w:val="auto"/>
              </w:rPr>
            </w:pPr>
          </w:p>
        </w:tc>
        <w:tc>
          <w:tcPr>
            <w:tcW w:w="120" w:type="dxa"/>
            <w:vAlign w:val="bottom"/>
            <w:tcBorders>
              <w:bottom w:val="single" w:sz="8" w:color="DBDBDB"/>
            </w:tcBorders>
          </w:tcPr>
          <w:p>
            <w:pPr>
              <w:spacing w:after="0"/>
              <w:rPr>
                <w:sz w:val="19"/>
                <w:szCs w:val="19"/>
                <w:color w:val="auto"/>
              </w:rPr>
            </w:pPr>
          </w:p>
        </w:tc>
        <w:tc>
          <w:tcPr>
            <w:tcW w:w="1280" w:type="dxa"/>
            <w:vAlign w:val="bottom"/>
            <w:tcBorders>
              <w:bottom w:val="single" w:sz="8" w:color="DBDBDB"/>
            </w:tcBorders>
            <w:gridSpan w:val="2"/>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rPr>
              <w:t>—</w:t>
            </w:r>
          </w:p>
        </w:tc>
      </w:tr>
      <w:tr>
        <w:trPr>
          <w:trHeight w:val="228"/>
        </w:trPr>
        <w:tc>
          <w:tcPr>
            <w:tcW w:w="5820" w:type="dxa"/>
            <w:vAlign w:val="bottom"/>
            <w:tcBorders>
              <w:bottom w:val="single" w:sz="8" w:color="DBDBDB"/>
            </w:tcBorders>
            <w:shd w:val="clear" w:color="auto" w:fill="DBDBDB"/>
          </w:tcPr>
          <w:p>
            <w:pPr>
              <w:spacing w:after="0" w:line="208" w:lineRule="exact"/>
              <w:rPr>
                <w:sz w:val="20"/>
                <w:szCs w:val="20"/>
                <w:color w:val="auto"/>
              </w:rPr>
            </w:pPr>
            <w:r>
              <w:rPr>
                <w:rFonts w:ascii="Times New Roman" w:cs="Times New Roman" w:eastAsia="Times New Roman" w:hAnsi="Times New Roman"/>
                <w:sz w:val="20"/>
                <w:szCs w:val="20"/>
                <w:color w:val="auto"/>
              </w:rPr>
              <w:t>Gross decreases — tax positions in prior period</w:t>
            </w:r>
          </w:p>
        </w:tc>
        <w:tc>
          <w:tcPr>
            <w:tcW w:w="100" w:type="dxa"/>
            <w:vAlign w:val="bottom"/>
            <w:tcBorders>
              <w:bottom w:val="single" w:sz="8" w:color="DBDBDB"/>
            </w:tcBorders>
            <w:shd w:val="clear" w:color="auto" w:fill="DBDBDB"/>
          </w:tcPr>
          <w:p>
            <w:pPr>
              <w:spacing w:after="0"/>
              <w:rPr>
                <w:sz w:val="19"/>
                <w:szCs w:val="19"/>
                <w:color w:val="auto"/>
              </w:rPr>
            </w:pPr>
          </w:p>
        </w:tc>
        <w:tc>
          <w:tcPr>
            <w:tcW w:w="20" w:type="dxa"/>
            <w:vAlign w:val="bottom"/>
            <w:tcBorders>
              <w:bottom w:val="single" w:sz="8" w:color="DBDBDB"/>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spacing w:after="0"/>
              <w:rPr>
                <w:sz w:val="19"/>
                <w:szCs w:val="19"/>
                <w:color w:val="auto"/>
              </w:rPr>
            </w:pPr>
          </w:p>
        </w:tc>
        <w:tc>
          <w:tcPr>
            <w:tcW w:w="400" w:type="dxa"/>
            <w:vAlign w:val="bottom"/>
            <w:tcBorders>
              <w:bottom w:val="single" w:sz="8" w:color="auto"/>
            </w:tcBorders>
            <w:shd w:val="clear" w:color="auto" w:fill="DBDBDB"/>
          </w:tcPr>
          <w:p>
            <w:pPr>
              <w:jc w:val="right"/>
              <w:spacing w:after="0" w:line="208"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DBDBDB"/>
            </w:tcBorders>
            <w:shd w:val="clear" w:color="auto" w:fill="DBDBDB"/>
          </w:tcPr>
          <w:p>
            <w:pPr>
              <w:spacing w:after="0"/>
              <w:rPr>
                <w:sz w:val="19"/>
                <w:szCs w:val="19"/>
                <w:color w:val="auto"/>
              </w:rPr>
            </w:pPr>
          </w:p>
        </w:tc>
        <w:tc>
          <w:tcPr>
            <w:tcW w:w="100" w:type="dxa"/>
            <w:vAlign w:val="bottom"/>
            <w:tcBorders>
              <w:bottom w:val="single" w:sz="8" w:color="DBDBDB"/>
            </w:tcBorders>
            <w:shd w:val="clear" w:color="auto" w:fill="DBDBDB"/>
          </w:tcPr>
          <w:p>
            <w:pPr>
              <w:spacing w:after="0"/>
              <w:rPr>
                <w:sz w:val="19"/>
                <w:szCs w:val="19"/>
                <w:color w:val="auto"/>
              </w:rPr>
            </w:pPr>
          </w:p>
        </w:tc>
        <w:tc>
          <w:tcPr>
            <w:tcW w:w="20" w:type="dxa"/>
            <w:vAlign w:val="bottom"/>
            <w:tcBorders>
              <w:bottom w:val="single" w:sz="8" w:color="DBDBDB"/>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spacing w:after="0"/>
              <w:rPr>
                <w:sz w:val="19"/>
                <w:szCs w:val="19"/>
                <w:color w:val="auto"/>
              </w:rPr>
            </w:pPr>
          </w:p>
        </w:tc>
        <w:tc>
          <w:tcPr>
            <w:tcW w:w="400" w:type="dxa"/>
            <w:vAlign w:val="bottom"/>
            <w:tcBorders>
              <w:bottom w:val="single" w:sz="8" w:color="auto"/>
            </w:tcBorders>
            <w:shd w:val="clear" w:color="auto" w:fill="DBDBDB"/>
          </w:tcPr>
          <w:p>
            <w:pPr>
              <w:jc w:val="right"/>
              <w:spacing w:after="0" w:line="208"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DBDBDB"/>
            </w:tcBorders>
            <w:shd w:val="clear" w:color="auto" w:fill="DBDBDB"/>
          </w:tcPr>
          <w:p>
            <w:pPr>
              <w:spacing w:after="0"/>
              <w:rPr>
                <w:sz w:val="19"/>
                <w:szCs w:val="19"/>
                <w:color w:val="auto"/>
              </w:rPr>
            </w:pPr>
          </w:p>
        </w:tc>
        <w:tc>
          <w:tcPr>
            <w:tcW w:w="80" w:type="dxa"/>
            <w:vAlign w:val="bottom"/>
            <w:tcBorders>
              <w:bottom w:val="single" w:sz="8" w:color="DBDBDB"/>
            </w:tcBorders>
            <w:shd w:val="clear" w:color="auto" w:fill="DBDBDB"/>
          </w:tcPr>
          <w:p>
            <w:pPr>
              <w:spacing w:after="0"/>
              <w:rPr>
                <w:sz w:val="19"/>
                <w:szCs w:val="19"/>
                <w:color w:val="auto"/>
              </w:rPr>
            </w:pPr>
          </w:p>
        </w:tc>
        <w:tc>
          <w:tcPr>
            <w:tcW w:w="20" w:type="dxa"/>
            <w:vAlign w:val="bottom"/>
            <w:tcBorders>
              <w:bottom w:val="single" w:sz="8" w:color="DBDBDB"/>
            </w:tcBorders>
            <w:shd w:val="clear" w:color="auto" w:fill="DBDBDB"/>
          </w:tcPr>
          <w:p>
            <w:pPr>
              <w:spacing w:after="0"/>
              <w:rPr>
                <w:sz w:val="19"/>
                <w:szCs w:val="19"/>
                <w:color w:val="auto"/>
              </w:rPr>
            </w:pPr>
          </w:p>
        </w:tc>
        <w:tc>
          <w:tcPr>
            <w:tcW w:w="120" w:type="dxa"/>
            <w:vAlign w:val="bottom"/>
            <w:tcBorders>
              <w:bottom w:val="single" w:sz="8" w:color="auto"/>
            </w:tcBorders>
            <w:shd w:val="clear" w:color="auto" w:fill="DBDBDB"/>
          </w:tcPr>
          <w:p>
            <w:pPr>
              <w:spacing w:after="0"/>
              <w:rPr>
                <w:sz w:val="19"/>
                <w:szCs w:val="19"/>
                <w:color w:val="auto"/>
              </w:rPr>
            </w:pPr>
          </w:p>
        </w:tc>
        <w:tc>
          <w:tcPr>
            <w:tcW w:w="1260" w:type="dxa"/>
            <w:vAlign w:val="bottom"/>
            <w:tcBorders>
              <w:bottom w:val="single" w:sz="8" w:color="auto"/>
            </w:tcBorders>
            <w:shd w:val="clear" w:color="auto" w:fill="DBDBDB"/>
          </w:tcPr>
          <w:p>
            <w:pPr>
              <w:jc w:val="right"/>
              <w:spacing w:after="0" w:line="208"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DBDBDB"/>
            </w:tcBorders>
            <w:shd w:val="clear" w:color="auto" w:fill="DBDBDB"/>
          </w:tcPr>
          <w:p>
            <w:pPr>
              <w:spacing w:after="0"/>
              <w:rPr>
                <w:sz w:val="19"/>
                <w:szCs w:val="19"/>
                <w:color w:val="auto"/>
              </w:rPr>
            </w:pPr>
          </w:p>
        </w:tc>
      </w:tr>
      <w:tr>
        <w:trPr>
          <w:trHeight w:val="233"/>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Unrecognized tax benefits — December 31</w:t>
            </w: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762"/>
              <w:spacing w:after="0"/>
              <w:rPr>
                <w:sz w:val="20"/>
                <w:szCs w:val="20"/>
                <w:color w:val="auto"/>
              </w:rPr>
            </w:pPr>
            <w:r>
              <w:rPr>
                <w:rFonts w:ascii="Times New Roman" w:cs="Times New Roman" w:eastAsia="Times New Roman" w:hAnsi="Times New Roman"/>
                <w:sz w:val="20"/>
                <w:szCs w:val="20"/>
                <w:color w:val="auto"/>
                <w:w w:val="79"/>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782"/>
              <w:spacing w:after="0"/>
              <w:rPr>
                <w:sz w:val="20"/>
                <w:szCs w:val="20"/>
                <w:color w:val="auto"/>
              </w:rPr>
            </w:pPr>
            <w:r>
              <w:rPr>
                <w:rFonts w:ascii="Times New Roman" w:cs="Times New Roman" w:eastAsia="Times New Roman" w:hAnsi="Times New Roman"/>
                <w:sz w:val="20"/>
                <w:szCs w:val="20"/>
                <w:color w:val="auto"/>
                <w:w w:val="79"/>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181</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181</w:t>
            </w:r>
          </w:p>
        </w:tc>
        <w:tc>
          <w:tcPr>
            <w:tcW w:w="20" w:type="dxa"/>
            <w:vAlign w:val="bottom"/>
          </w:tcPr>
          <w:p>
            <w:pPr>
              <w:spacing w:after="0"/>
              <w:rPr>
                <w:sz w:val="20"/>
                <w:szCs w:val="20"/>
                <w:color w:val="auto"/>
              </w:rPr>
            </w:pPr>
          </w:p>
        </w:tc>
      </w:tr>
      <w:tr>
        <w:trPr>
          <w:trHeight w:val="20"/>
        </w:trPr>
        <w:tc>
          <w:tcPr>
            <w:tcW w:w="5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ind w:firstLine="706"/>
        <w:spacing w:after="0" w:line="250" w:lineRule="auto"/>
        <w:rPr>
          <w:sz w:val="20"/>
          <w:szCs w:val="20"/>
          <w:color w:val="auto"/>
        </w:rPr>
      </w:pPr>
      <w:r>
        <w:rPr>
          <w:rFonts w:ascii="Times New Roman" w:cs="Times New Roman" w:eastAsia="Times New Roman" w:hAnsi="Times New Roman"/>
          <w:sz w:val="20"/>
          <w:szCs w:val="20"/>
          <w:color w:val="auto"/>
        </w:rPr>
        <w:t>The Company recognizes interest accrued related to unrecognized tax benefits and penalties as income tax expense. Related to the unrecognized tax benefits noted above, it has not accrued penalties or interest during 2025 as a result of net operating losses. During 2024 or 2023, the Company also accrued no penalties or interest.</w:t>
      </w:r>
    </w:p>
    <w:p>
      <w:pPr>
        <w:spacing w:after="0" w:line="182" w:lineRule="exact"/>
        <w:rPr>
          <w:sz w:val="20"/>
          <w:szCs w:val="20"/>
          <w:color w:val="auto"/>
        </w:rPr>
      </w:pPr>
    </w:p>
    <w:p>
      <w:pPr>
        <w:jc w:val="both"/>
        <w:ind w:firstLine="706"/>
        <w:spacing w:after="0" w:line="243" w:lineRule="auto"/>
        <w:rPr>
          <w:sz w:val="20"/>
          <w:szCs w:val="20"/>
          <w:color w:val="auto"/>
        </w:rPr>
      </w:pPr>
      <w:r>
        <w:rPr>
          <w:rFonts w:ascii="Times New Roman" w:cs="Times New Roman" w:eastAsia="Times New Roman" w:hAnsi="Times New Roman"/>
          <w:sz w:val="20"/>
          <w:szCs w:val="20"/>
          <w:color w:val="auto"/>
        </w:rPr>
        <w:t>The Company is subject to taxation in the United States and various states and foreign jurisdictions. The Company’s open tax years subject to examination in the U.S. federal and state jurisdictions are 2022 through 2024. To the extent allowed by law, the taxing authorities may have the right to examine prior periods where net operating losses or tax credits were generated and carried forward, and make adjustments up to the amount of the net operating loss or tax credit carryforward. The Company is subject to examination for tax years 2020 forward for various foreign jurisdictions.</w:t>
      </w:r>
    </w:p>
    <w:p>
      <w:pPr>
        <w:spacing w:after="0" w:line="188" w:lineRule="exact"/>
        <w:rPr>
          <w:sz w:val="20"/>
          <w:szCs w:val="20"/>
          <w:color w:val="auto"/>
        </w:rPr>
      </w:pPr>
    </w:p>
    <w:p>
      <w:pPr>
        <w:jc w:val="both"/>
        <w:ind w:firstLine="706"/>
        <w:spacing w:after="0" w:line="293" w:lineRule="auto"/>
        <w:rPr>
          <w:sz w:val="20"/>
          <w:szCs w:val="20"/>
          <w:color w:val="auto"/>
        </w:rPr>
      </w:pPr>
      <w:r>
        <w:rPr>
          <w:rFonts w:ascii="Times New Roman" w:cs="Times New Roman" w:eastAsia="Times New Roman" w:hAnsi="Times New Roman"/>
          <w:sz w:val="18"/>
          <w:szCs w:val="18"/>
          <w:color w:val="auto"/>
        </w:rPr>
        <w:t>On August 9, 2022, the Creating Helpful Incentives to Produce Semiconductors and Science Act, (the "CHIPS Act") was signed into law. Among other things, the CHIPS Act provides for refundable tax credits and certain other financial incentives to further investments in domestic manufacturing. At least a portion of our current and future capital expenditures and research and development</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F-26</w:t>
      </w:r>
    </w:p>
    <w:p>
      <w:pPr>
        <w:sectPr>
          <w:pgSz w:w="11880" w:h="15480" w:orient="portrait"/>
          <w:cols w:equalWidth="0" w:num="1">
            <w:col w:w="10600"/>
          </w:cols>
          <w:pgMar w:left="640" w:top="410" w:right="640" w:bottom="0" w:gutter="0" w:footer="0" w:header="0"/>
        </w:sectPr>
      </w:pPr>
    </w:p>
    <w:bookmarkStart w:id="86" w:name="page87"/>
    <w:bookmarkEnd w:id="86"/>
    <w:p>
      <w:pPr>
        <w:jc w:val="both"/>
        <w:ind w:right="20"/>
        <w:spacing w:after="0" w:line="250" w:lineRule="auto"/>
        <w:rPr>
          <w:sz w:val="20"/>
          <w:szCs w:val="20"/>
          <w:color w:val="auto"/>
        </w:rPr>
      </w:pPr>
      <w:r>
        <w:rPr>
          <w:rFonts w:ascii="Times New Roman" w:cs="Times New Roman" w:eastAsia="Times New Roman" w:hAnsi="Times New Roman"/>
          <w:sz w:val="20"/>
          <w:szCs w:val="20"/>
          <w:color w:val="auto"/>
        </w:rPr>
        <w:t>costs will qualify for this credit, which benefits us by allowing us to net the credit received against our costs. This credit is accounted for outside of ASC 740 as a reduction to the depreciable basis of the assets used in operations and will not have an impact on our effective tax rate.</w:t>
      </w:r>
    </w:p>
    <w:p>
      <w:pPr>
        <w:spacing w:after="0" w:line="182" w:lineRule="exact"/>
        <w:rPr>
          <w:sz w:val="20"/>
          <w:szCs w:val="20"/>
          <w:color w:val="auto"/>
        </w:rPr>
      </w:pPr>
    </w:p>
    <w:p>
      <w:pPr>
        <w:jc w:val="both"/>
        <w:ind w:firstLine="706"/>
        <w:spacing w:after="0" w:line="241" w:lineRule="auto"/>
        <w:rPr>
          <w:sz w:val="20"/>
          <w:szCs w:val="20"/>
          <w:color w:val="auto"/>
        </w:rPr>
      </w:pPr>
      <w:r>
        <w:rPr>
          <w:rFonts w:ascii="Times New Roman" w:cs="Times New Roman" w:eastAsia="Times New Roman" w:hAnsi="Times New Roman"/>
          <w:sz w:val="20"/>
          <w:szCs w:val="20"/>
          <w:color w:val="auto"/>
        </w:rPr>
        <w:t>On July 4, 2025, legislation commonly referred to as the One Big Beautiful Bill Act (the “OBBBA”) was signed into law. Among other things, the OBBBA suspends the requirement to capitalize and amortize domestic research and development (R&amp;D) expenditures for amounts paid or incurred in taxable years beginning after December 31, 2024 and before January 1, 2030. The OBBBA also permits taxpayers to elect to accelerate deductions for the remaining unamortized domestic R&amp;D expenditures paid or incurred between January 1, 2022 and December 31, 2024 over a one- or two-year period. The Company elected to accelerated deductions with respect to unamortized domestic R&amp;D expenditures capitalized in 2022, 2023, and 2024 as a deduction in 2025.</w:t>
      </w:r>
    </w:p>
    <w:p>
      <w:pPr>
        <w:spacing w:after="0" w:line="193" w:lineRule="exact"/>
        <w:rPr>
          <w:sz w:val="20"/>
          <w:szCs w:val="20"/>
          <w:color w:val="auto"/>
        </w:rPr>
      </w:pPr>
    </w:p>
    <w:p>
      <w:pPr>
        <w:jc w:val="both"/>
        <w:ind w:firstLine="706"/>
        <w:spacing w:after="0" w:line="267" w:lineRule="auto"/>
        <w:rPr>
          <w:sz w:val="20"/>
          <w:szCs w:val="20"/>
          <w:color w:val="auto"/>
        </w:rPr>
      </w:pPr>
      <w:r>
        <w:rPr>
          <w:rFonts w:ascii="Times New Roman" w:cs="Times New Roman" w:eastAsia="Times New Roman" w:hAnsi="Times New Roman"/>
          <w:sz w:val="18"/>
          <w:szCs w:val="18"/>
          <w:color w:val="auto"/>
        </w:rPr>
        <w:t>In addition, the OBBBA preserves a significant portion of the Inflation Reduction Act (IRA) clean energy tax credit framework but introduces certain limitations and additional diligence obligations for developers, investors, lenders, and credit purchasers, including a phaseout of the Clean Electricity Tax Credits and placed-in-service deadlines for certain wind and solar projects (Internal Revenue Code Sections 45Y and 48E). Based on the Company’s business profile and the limited applicability of these provisions to the Company, we do not currently expect these changes to have a material impact on our income tax provision or ETR. The OBBBA permanently extends 100% bonus depreciation for qualifying property placed in service after January 19, 2025. The Company does not intend to elect bonus depreciation and, as a result, does not expect this provision to have a material impact on the Company’s income tax provision or effective tax rate. For tax years beginning after December 31, 2024, the OBBBA permanently restores the EBITDA-based calculation of adjusted taxable income (ATI) for purposes of the Section 163(j) business interest expense limitation (i.e., allowing addbacks for depreciation, amortization, and depletion in computing ATI). This change generally increases the amount of business interest expense that can be deducted and may reduce the amount of interest subject to carryforward.</w:t>
      </w:r>
    </w:p>
    <w:p>
      <w:pPr>
        <w:spacing w:after="0" w:line="200" w:lineRule="exact"/>
        <w:rPr>
          <w:sz w:val="20"/>
          <w:szCs w:val="20"/>
          <w:color w:val="auto"/>
        </w:rPr>
      </w:pPr>
    </w:p>
    <w:p>
      <w:pPr>
        <w:spacing w:after="0" w:line="203" w:lineRule="exact"/>
        <w:rPr>
          <w:sz w:val="20"/>
          <w:szCs w:val="20"/>
          <w:color w:val="auto"/>
        </w:rPr>
      </w:pPr>
    </w:p>
    <w:p>
      <w:pPr>
        <w:jc w:val="both"/>
        <w:ind w:firstLine="706"/>
        <w:spacing w:after="0" w:line="243" w:lineRule="auto"/>
        <w:rPr>
          <w:sz w:val="20"/>
          <w:szCs w:val="20"/>
          <w:color w:val="auto"/>
        </w:rPr>
      </w:pPr>
      <w:r>
        <w:rPr>
          <w:rFonts w:ascii="Times New Roman" w:cs="Times New Roman" w:eastAsia="Times New Roman" w:hAnsi="Times New Roman"/>
          <w:sz w:val="20"/>
          <w:szCs w:val="20"/>
          <w:color w:val="auto"/>
        </w:rPr>
        <w:t>The Company expects any earnings of foreign subsidiaries to be indefinitely invested outside the United States. As of December 31, 2025, however, the Company does not have any accumulated undistributed earnings generated by foreign subsidiaries and has estimated that its tax basis in foreign subsidiaries exceeds its book basis. The Company has concluded that no deferred tax asset (DTA) should be recorded because at the present time it does not expect that the temporary book-tax basis difference that would create this DTA will reverse in the foreseeable future.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P—SHARE-BASED COMPENSATION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Equity Plans</w:t>
      </w:r>
    </w:p>
    <w:p>
      <w:pPr>
        <w:spacing w:after="0" w:line="21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Company’s board of directors and stockholders approved the following equity plans:</w:t>
      </w:r>
    </w:p>
    <w:p>
      <w:pPr>
        <w:spacing w:after="0" w:line="211" w:lineRule="exact"/>
        <w:rPr>
          <w:sz w:val="20"/>
          <w:szCs w:val="20"/>
          <w:color w:val="auto"/>
        </w:rPr>
      </w:pPr>
    </w:p>
    <w:p>
      <w:pPr>
        <w:ind w:left="1420" w:hanging="345"/>
        <w:spacing w:after="0"/>
        <w:tabs>
          <w:tab w:leader="none" w:pos="1420" w:val="left"/>
        </w:tabs>
        <w:numPr>
          <w:ilvl w:val="0"/>
          <w:numId w:val="65"/>
        </w:numPr>
        <w:rPr>
          <w:rFonts w:ascii="Times New Roman" w:cs="Times New Roman" w:eastAsia="Times New Roman" w:hAnsi="Times New Roman"/>
          <w:sz w:val="24"/>
          <w:szCs w:val="24"/>
          <w:color w:val="auto"/>
        </w:rPr>
      </w:pPr>
      <w:r>
        <w:rPr>
          <w:rFonts w:ascii="Times New Roman" w:cs="Times New Roman" w:eastAsia="Times New Roman" w:hAnsi="Times New Roman"/>
          <w:sz w:val="20"/>
          <w:szCs w:val="20"/>
          <w:color w:val="auto"/>
        </w:rPr>
        <w:t>the Amended and Restated 2021 Equity Incentive Plan ("2021 Plan")</w:t>
      </w:r>
    </w:p>
    <w:p>
      <w:pPr>
        <w:spacing w:after="0" w:line="38" w:lineRule="exact"/>
        <w:rPr>
          <w:rFonts w:ascii="Times New Roman" w:cs="Times New Roman" w:eastAsia="Times New Roman" w:hAnsi="Times New Roman"/>
          <w:sz w:val="24"/>
          <w:szCs w:val="24"/>
          <w:color w:val="auto"/>
        </w:rPr>
      </w:pPr>
    </w:p>
    <w:p>
      <w:pPr>
        <w:ind w:left="1420" w:hanging="345"/>
        <w:spacing w:after="0" w:line="210" w:lineRule="auto"/>
        <w:tabs>
          <w:tab w:leader="none" w:pos="1420" w:val="left"/>
        </w:tabs>
        <w:numPr>
          <w:ilvl w:val="0"/>
          <w:numId w:val="65"/>
        </w:numPr>
        <w:rPr>
          <w:rFonts w:ascii="Times New Roman" w:cs="Times New Roman" w:eastAsia="Times New Roman" w:hAnsi="Times New Roman"/>
          <w:sz w:val="24"/>
          <w:szCs w:val="24"/>
          <w:color w:val="auto"/>
        </w:rPr>
      </w:pPr>
      <w:r>
        <w:rPr>
          <w:rFonts w:ascii="Times New Roman" w:cs="Times New Roman" w:eastAsia="Times New Roman" w:hAnsi="Times New Roman"/>
          <w:sz w:val="20"/>
          <w:szCs w:val="20"/>
          <w:color w:val="auto"/>
        </w:rPr>
        <w:t>the 2023 Inducement Plan ("Inducement Plan")</w:t>
      </w:r>
    </w:p>
    <w:p>
      <w:pPr>
        <w:spacing w:after="0" w:line="240" w:lineRule="exact"/>
        <w:rPr>
          <w:sz w:val="20"/>
          <w:szCs w:val="20"/>
          <w:color w:val="auto"/>
        </w:rPr>
      </w:pPr>
    </w:p>
    <w:p>
      <w:pPr>
        <w:jc w:val="both"/>
        <w:ind w:firstLine="706"/>
        <w:spacing w:after="0" w:line="245" w:lineRule="auto"/>
        <w:rPr>
          <w:sz w:val="20"/>
          <w:szCs w:val="20"/>
          <w:color w:val="auto"/>
        </w:rPr>
      </w:pPr>
      <w:r>
        <w:rPr>
          <w:rFonts w:ascii="Times New Roman" w:cs="Times New Roman" w:eastAsia="Times New Roman" w:hAnsi="Times New Roman"/>
          <w:sz w:val="20"/>
          <w:szCs w:val="20"/>
          <w:color w:val="auto"/>
        </w:rPr>
        <w:t>The Company has issued stock options, restricted stock awards ("RSAs") and restricted stock units ("RSUs") to employees, consultants and non-employee directors. Stock option awards generally vest over a four year period and have a maximum term of ten years. Stock options under these plans have been granted with an exercise price equal to the fair market value on the date of the grant. Nonqualified and Incentive Stock Options, RSAs and RSUs may be granted from these plans.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Stock Options</w:t>
      </w:r>
    </w:p>
    <w:p>
      <w:pPr>
        <w:spacing w:after="0" w:line="218" w:lineRule="exact"/>
        <w:rPr>
          <w:sz w:val="20"/>
          <w:szCs w:val="20"/>
          <w:color w:val="auto"/>
        </w:rPr>
      </w:pPr>
    </w:p>
    <w:p>
      <w:pPr>
        <w:jc w:val="both"/>
        <w:ind w:firstLine="706"/>
        <w:spacing w:after="0" w:line="250" w:lineRule="auto"/>
        <w:rPr>
          <w:sz w:val="20"/>
          <w:szCs w:val="20"/>
          <w:color w:val="auto"/>
        </w:rPr>
      </w:pPr>
      <w:r>
        <w:rPr>
          <w:rFonts w:ascii="Times New Roman" w:cs="Times New Roman" w:eastAsia="Times New Roman" w:hAnsi="Times New Roman"/>
          <w:sz w:val="20"/>
          <w:szCs w:val="20"/>
          <w:color w:val="auto"/>
        </w:rPr>
        <w:t>In the years ended December 31, 2025 and 2024, the Company granted no stock options under its equity plans. As of December 31, 2025, there was no unrecognized stock-based compensation expense related to stock options. In the years ended December 31, 2025, 2024, and 2023, the intrinsic value of stock options was $0, $0, and $0.2 million,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Performance Based Incentive Plan</w:t>
      </w:r>
    </w:p>
    <w:p>
      <w:pPr>
        <w:spacing w:after="0" w:line="218" w:lineRule="exact"/>
        <w:rPr>
          <w:sz w:val="20"/>
          <w:szCs w:val="20"/>
          <w:color w:val="auto"/>
        </w:rPr>
      </w:pPr>
    </w:p>
    <w:p>
      <w:pPr>
        <w:jc w:val="both"/>
        <w:ind w:firstLine="706"/>
        <w:spacing w:after="0" w:line="273" w:lineRule="auto"/>
        <w:rPr>
          <w:sz w:val="20"/>
          <w:szCs w:val="20"/>
          <w:color w:val="auto"/>
        </w:rPr>
      </w:pPr>
      <w:r>
        <w:rPr>
          <w:rFonts w:ascii="Times New Roman" w:cs="Times New Roman" w:eastAsia="Times New Roman" w:hAnsi="Times New Roman"/>
          <w:sz w:val="18"/>
          <w:szCs w:val="18"/>
          <w:color w:val="auto"/>
        </w:rPr>
        <w:t>Starting in 2021, certain senior executives were granted performance stock units ("PSUs") under our 2021 Plan, which generally vest over a three- year period subject to achievement of certain pre-established performance metrics. The number of shares of common stock that would ultimately be issued to settle PSUs granted ranged from 0% to 200% of the target number of shares granted. We estimate the fair value of the PSUs on the date of grant using a Monte Carlo simulation model, with stock-based compensation expense recognized ratably over the appliable three-year performance period. The Company recognized stock-based compensation expense for the PSUs for the twelve months ended December 31, 2025, 2024 and 2023 of $4.4 million, $3.0 million and $1.7 million, respectively.</w:t>
      </w:r>
    </w:p>
    <w:p>
      <w:pPr>
        <w:sectPr>
          <w:pgSz w:w="11880" w:h="15480" w:orient="portrait"/>
          <w:cols w:equalWidth="0" w:num="1">
            <w:col w:w="10600"/>
          </w:cols>
          <w:pgMar w:left="640" w:top="410"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ectPr>
          <w:pgSz w:w="11880" w:h="15480" w:orient="portrait"/>
          <w:cols w:equalWidth="0" w:num="1">
            <w:col w:w="10600"/>
          </w:cols>
          <w:pgMar w:left="640" w:top="410" w:right="640" w:bottom="0" w:gutter="0" w:footer="0" w:header="0"/>
          <w:type w:val="continuous"/>
        </w:sectPr>
      </w:pPr>
    </w:p>
    <w:bookmarkStart w:id="87" w:name="page88"/>
    <w:bookmarkEnd w:id="87"/>
    <w:p>
      <w:pPr>
        <w:jc w:val="both"/>
        <w:ind w:firstLine="706"/>
        <w:spacing w:after="0" w:line="245" w:lineRule="auto"/>
        <w:rPr>
          <w:sz w:val="20"/>
          <w:szCs w:val="20"/>
          <w:color w:val="auto"/>
        </w:rPr>
      </w:pPr>
      <w:r>
        <w:rPr>
          <w:rFonts w:ascii="Times New Roman" w:cs="Times New Roman" w:eastAsia="Times New Roman" w:hAnsi="Times New Roman"/>
          <w:sz w:val="20"/>
          <w:szCs w:val="20"/>
          <w:color w:val="auto"/>
        </w:rPr>
        <w:t>On May 9, 2025, the Compensation Committee certified the Company exceeded the maximum performance level for each of the performance targets set for the PSUs granted June, 2022 (the "2022 PSUs"). Therefore, applicable employees were entitled to payment of the 2022 PSUs at 200% of the target shares granted under the 2021 Plan. The following is a summary of PSU activity (in thousands, except per share data):</w:t>
      </w:r>
    </w:p>
    <w:p>
      <w:pPr>
        <w:spacing w:after="0" w:line="190" w:lineRule="exact"/>
        <w:rPr>
          <w:sz w:val="20"/>
          <w:szCs w:val="20"/>
          <w:color w:val="auto"/>
        </w:rPr>
      </w:pPr>
    </w:p>
    <w:tbl>
      <w:tblPr>
        <w:tblLayout w:type="fixed"/>
        <w:tblInd w:w="60" w:type="dxa"/>
        <w:tblCellMar>
          <w:top w:w="0" w:type="dxa"/>
          <w:left w:w="0" w:type="dxa"/>
          <w:bottom w:w="0" w:type="dxa"/>
          <w:right w:w="0" w:type="dxa"/>
        </w:tblCellMar>
      </w:tblPr>
      <w:tr>
        <w:trPr>
          <w:trHeight w:val="235"/>
        </w:trPr>
        <w:tc>
          <w:tcPr>
            <w:tcW w:w="5510" w:type="dxa"/>
            <w:vAlign w:val="bottom"/>
          </w:tcPr>
          <w:p>
            <w:pPr>
              <w:spacing w:after="0"/>
              <w:rPr>
                <w:sz w:val="20"/>
                <w:szCs w:val="20"/>
                <w:color w:val="auto"/>
              </w:rPr>
            </w:pPr>
          </w:p>
        </w:tc>
        <w:tc>
          <w:tcPr>
            <w:tcW w:w="9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Weighted</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51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center"/>
              <w:spacing w:after="0" w:line="225" w:lineRule="exact"/>
              <w:rPr>
                <w:sz w:val="20"/>
                <w:szCs w:val="20"/>
                <w:color w:val="auto"/>
              </w:rPr>
            </w:pPr>
            <w:r>
              <w:rPr>
                <w:rFonts w:ascii="Times New Roman" w:cs="Times New Roman" w:eastAsia="Times New Roman" w:hAnsi="Times New Roman"/>
                <w:sz w:val="20"/>
                <w:szCs w:val="20"/>
                <w:b w:val="1"/>
                <w:bCs w:val="1"/>
                <w:color w:val="auto"/>
                <w:w w:val="98"/>
              </w:rPr>
              <w:t>Average</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510" w:type="dxa"/>
            <w:vAlign w:val="bottom"/>
          </w:tcPr>
          <w:p>
            <w:pPr>
              <w:spacing w:after="0"/>
              <w:rPr>
                <w:sz w:val="20"/>
                <w:szCs w:val="20"/>
                <w:color w:val="auto"/>
              </w:rPr>
            </w:pPr>
          </w:p>
        </w:tc>
        <w:tc>
          <w:tcPr>
            <w:tcW w:w="9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Share</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20"/>
                <w:szCs w:val="20"/>
                <w:b w:val="1"/>
                <w:bCs w:val="1"/>
                <w:color w:val="auto"/>
                <w:w w:val="97"/>
              </w:rPr>
              <w:t>Weighted</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51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center"/>
              <w:spacing w:after="0" w:line="225" w:lineRule="exact"/>
              <w:rPr>
                <w:sz w:val="20"/>
                <w:szCs w:val="20"/>
                <w:color w:val="auto"/>
              </w:rPr>
            </w:pPr>
            <w:r>
              <w:rPr>
                <w:rFonts w:ascii="Times New Roman" w:cs="Times New Roman" w:eastAsia="Times New Roman" w:hAnsi="Times New Roman"/>
                <w:sz w:val="20"/>
                <w:szCs w:val="20"/>
                <w:b w:val="1"/>
                <w:bCs w:val="1"/>
                <w:color w:val="auto"/>
                <w:w w:val="99"/>
              </w:rPr>
              <w:t>Price on</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center"/>
              <w:ind w:right="320"/>
              <w:spacing w:after="0" w:line="225" w:lineRule="exact"/>
              <w:rPr>
                <w:sz w:val="20"/>
                <w:szCs w:val="20"/>
                <w:color w:val="auto"/>
              </w:rPr>
            </w:pPr>
            <w:r>
              <w:rPr>
                <w:rFonts w:ascii="Times New Roman" w:cs="Times New Roman" w:eastAsia="Times New Roman" w:hAnsi="Times New Roman"/>
                <w:sz w:val="20"/>
                <w:szCs w:val="20"/>
                <w:b w:val="1"/>
                <w:bCs w:val="1"/>
                <w:color w:val="auto"/>
                <w:w w:val="98"/>
              </w:rPr>
              <w:t>Average</w:t>
            </w:r>
          </w:p>
        </w:tc>
        <w:tc>
          <w:tcPr>
            <w:tcW w:w="1060" w:type="dxa"/>
            <w:vAlign w:val="bottom"/>
            <w:gridSpan w:val="2"/>
          </w:tcPr>
          <w:p>
            <w:pPr>
              <w:jc w:val="center"/>
              <w:spacing w:after="0" w:line="225" w:lineRule="exact"/>
              <w:rPr>
                <w:sz w:val="20"/>
                <w:szCs w:val="20"/>
                <w:color w:val="auto"/>
              </w:rPr>
            </w:pPr>
            <w:r>
              <w:rPr>
                <w:rFonts w:ascii="Times New Roman" w:cs="Times New Roman" w:eastAsia="Times New Roman" w:hAnsi="Times New Roman"/>
                <w:sz w:val="20"/>
                <w:szCs w:val="20"/>
                <w:b w:val="1"/>
                <w:bCs w:val="1"/>
                <w:color w:val="auto"/>
                <w:w w:val="97"/>
              </w:rPr>
              <w:t>Aggregate</w:t>
            </w:r>
          </w:p>
        </w:tc>
        <w:tc>
          <w:tcPr>
            <w:tcW w:w="0" w:type="dxa"/>
            <w:vAlign w:val="bottom"/>
          </w:tcPr>
          <w:p>
            <w:pPr>
              <w:spacing w:after="0"/>
              <w:rPr>
                <w:sz w:val="1"/>
                <w:szCs w:val="1"/>
                <w:color w:val="auto"/>
              </w:rPr>
            </w:pPr>
          </w:p>
        </w:tc>
      </w:tr>
      <w:tr>
        <w:trPr>
          <w:trHeight w:val="236"/>
        </w:trPr>
        <w:tc>
          <w:tcPr>
            <w:tcW w:w="5510" w:type="dxa"/>
            <w:vAlign w:val="bottom"/>
          </w:tcPr>
          <w:p>
            <w:pPr>
              <w:spacing w:after="0"/>
              <w:rPr>
                <w:sz w:val="20"/>
                <w:szCs w:val="20"/>
                <w:color w:val="auto"/>
              </w:rPr>
            </w:pPr>
          </w:p>
        </w:tc>
        <w:tc>
          <w:tcPr>
            <w:tcW w:w="9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Number of</w:t>
            </w:r>
          </w:p>
        </w:tc>
        <w:tc>
          <w:tcPr>
            <w:tcW w:w="22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Date</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20"/>
                <w:szCs w:val="20"/>
                <w:b w:val="1"/>
                <w:bCs w:val="1"/>
                <w:color w:val="auto"/>
                <w:w w:val="98"/>
              </w:rPr>
              <w:t>Fair</w:t>
            </w:r>
          </w:p>
        </w:tc>
        <w:tc>
          <w:tcPr>
            <w:tcW w:w="100" w:type="dxa"/>
            <w:vAlign w:val="bottom"/>
          </w:tcPr>
          <w:p>
            <w:pPr>
              <w:spacing w:after="0"/>
              <w:rPr>
                <w:sz w:val="20"/>
                <w:szCs w:val="20"/>
                <w:color w:val="auto"/>
              </w:rPr>
            </w:pPr>
          </w:p>
        </w:tc>
        <w:tc>
          <w:tcPr>
            <w:tcW w:w="960" w:type="dxa"/>
            <w:vAlign w:val="bottom"/>
          </w:tcPr>
          <w:p>
            <w:pPr>
              <w:jc w:val="center"/>
              <w:ind w:right="22"/>
              <w:spacing w:after="0"/>
              <w:rPr>
                <w:sz w:val="20"/>
                <w:szCs w:val="20"/>
                <w:color w:val="auto"/>
              </w:rPr>
            </w:pPr>
            <w:r>
              <w:rPr>
                <w:rFonts w:ascii="Times New Roman" w:cs="Times New Roman" w:eastAsia="Times New Roman" w:hAnsi="Times New Roman"/>
                <w:sz w:val="20"/>
                <w:szCs w:val="20"/>
                <w:b w:val="1"/>
                <w:bCs w:val="1"/>
                <w:color w:val="auto"/>
                <w:w w:val="98"/>
              </w:rPr>
              <w:t>Intrinsic</w:t>
            </w:r>
          </w:p>
        </w:tc>
        <w:tc>
          <w:tcPr>
            <w:tcW w:w="0" w:type="dxa"/>
            <w:vAlign w:val="bottom"/>
          </w:tcPr>
          <w:p>
            <w:pPr>
              <w:spacing w:after="0"/>
              <w:rPr>
                <w:sz w:val="1"/>
                <w:szCs w:val="1"/>
                <w:color w:val="auto"/>
              </w:rPr>
            </w:pPr>
          </w:p>
        </w:tc>
      </w:tr>
      <w:tr>
        <w:trPr>
          <w:trHeight w:val="255"/>
        </w:trPr>
        <w:tc>
          <w:tcPr>
            <w:tcW w:w="5510" w:type="dxa"/>
            <w:vAlign w:val="bottom"/>
          </w:tcPr>
          <w:p>
            <w:pPr>
              <w:spacing w:after="0"/>
              <w:rPr>
                <w:sz w:val="22"/>
                <w:szCs w:val="22"/>
                <w:color w:val="auto"/>
              </w:rPr>
            </w:pPr>
          </w:p>
        </w:tc>
        <w:tc>
          <w:tcPr>
            <w:tcW w:w="90" w:type="dxa"/>
            <w:vAlign w:val="bottom"/>
          </w:tcPr>
          <w:p>
            <w:pPr>
              <w:spacing w:after="0"/>
              <w:rPr>
                <w:sz w:val="22"/>
                <w:szCs w:val="22"/>
                <w:color w:val="auto"/>
              </w:rPr>
            </w:pPr>
          </w:p>
        </w:tc>
        <w:tc>
          <w:tcPr>
            <w:tcW w:w="106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20"/>
                <w:szCs w:val="20"/>
                <w:b w:val="1"/>
                <w:bCs w:val="1"/>
                <w:color w:val="auto"/>
              </w:rPr>
              <w:t>shares</w:t>
            </w: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20"/>
                <w:szCs w:val="20"/>
                <w:b w:val="1"/>
                <w:bCs w:val="1"/>
                <w:color w:val="auto"/>
                <w:w w:val="76"/>
              </w:rPr>
              <w:t>(in</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of Release</w:t>
            </w:r>
          </w:p>
        </w:tc>
        <w:tc>
          <w:tcPr>
            <w:tcW w:w="2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2"/>
              <w:spacing w:after="0"/>
              <w:rPr>
                <w:sz w:val="20"/>
                <w:szCs w:val="20"/>
                <w:color w:val="auto"/>
              </w:rPr>
            </w:pPr>
            <w:r>
              <w:rPr>
                <w:rFonts w:ascii="Times New Roman" w:cs="Times New Roman" w:eastAsia="Times New Roman" w:hAnsi="Times New Roman"/>
                <w:sz w:val="20"/>
                <w:szCs w:val="20"/>
                <w:b w:val="1"/>
                <w:bCs w:val="1"/>
                <w:color w:val="auto"/>
                <w:w w:val="99"/>
              </w:rPr>
              <w:t>Value</w:t>
            </w:r>
          </w:p>
        </w:tc>
        <w:tc>
          <w:tcPr>
            <w:tcW w:w="2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2"/>
              <w:spacing w:after="0"/>
              <w:rPr>
                <w:sz w:val="20"/>
                <w:szCs w:val="20"/>
                <w:color w:val="auto"/>
              </w:rPr>
            </w:pPr>
            <w:r>
              <w:rPr>
                <w:rFonts w:ascii="Times New Roman" w:cs="Times New Roman" w:eastAsia="Times New Roman" w:hAnsi="Times New Roman"/>
                <w:sz w:val="20"/>
                <w:szCs w:val="20"/>
                <w:b w:val="1"/>
                <w:bCs w:val="1"/>
                <w:color w:val="auto"/>
                <w:w w:val="99"/>
              </w:rPr>
              <w:t>Value</w:t>
            </w:r>
          </w:p>
        </w:tc>
        <w:tc>
          <w:tcPr>
            <w:tcW w:w="0" w:type="dxa"/>
            <w:vAlign w:val="bottom"/>
          </w:tcPr>
          <w:p>
            <w:pPr>
              <w:spacing w:after="0"/>
              <w:rPr>
                <w:sz w:val="1"/>
                <w:szCs w:val="1"/>
                <w:color w:val="auto"/>
              </w:rPr>
            </w:pPr>
          </w:p>
        </w:tc>
      </w:tr>
      <w:tr>
        <w:trPr>
          <w:trHeight w:val="225"/>
        </w:trPr>
        <w:tc>
          <w:tcPr>
            <w:tcW w:w="551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1060" w:type="dxa"/>
            <w:vAlign w:val="bottom"/>
          </w:tcPr>
          <w:p>
            <w:pPr>
              <w:jc w:val="center"/>
              <w:spacing w:after="0" w:line="225" w:lineRule="exact"/>
              <w:rPr>
                <w:sz w:val="20"/>
                <w:szCs w:val="20"/>
                <w:color w:val="auto"/>
              </w:rPr>
            </w:pPr>
            <w:r>
              <w:rPr>
                <w:rFonts w:ascii="Times New Roman" w:cs="Times New Roman" w:eastAsia="Times New Roman" w:hAnsi="Times New Roman"/>
                <w:sz w:val="20"/>
                <w:szCs w:val="20"/>
                <w:b w:val="1"/>
                <w:bCs w:val="1"/>
                <w:color w:val="auto"/>
                <w:w w:val="98"/>
              </w:rPr>
              <w:t>thousands,</w:t>
            </w:r>
          </w:p>
        </w:tc>
        <w:tc>
          <w:tcPr>
            <w:tcW w:w="1480" w:type="dxa"/>
            <w:vAlign w:val="bottom"/>
            <w:gridSpan w:val="4"/>
          </w:tcPr>
          <w:p>
            <w:pPr>
              <w:jc w:val="center"/>
              <w:ind w:right="20"/>
              <w:spacing w:after="0" w:line="225" w:lineRule="exact"/>
              <w:rPr>
                <w:sz w:val="20"/>
                <w:szCs w:val="20"/>
                <w:color w:val="auto"/>
              </w:rPr>
            </w:pPr>
            <w:r>
              <w:rPr>
                <w:rFonts w:ascii="Times New Roman" w:cs="Times New Roman" w:eastAsia="Times New Roman" w:hAnsi="Times New Roman"/>
                <w:sz w:val="20"/>
                <w:szCs w:val="20"/>
                <w:b w:val="1"/>
                <w:bCs w:val="1"/>
                <w:color w:val="auto"/>
                <w:w w:val="95"/>
              </w:rPr>
              <w:t>except price data)</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5510" w:type="dxa"/>
            <w:vAlign w:val="bottom"/>
            <w:shd w:val="clear" w:color="auto" w:fill="DBDBDB"/>
          </w:tcPr>
          <w:p>
            <w:pPr>
              <w:spacing w:after="0"/>
              <w:rPr>
                <w:sz w:val="20"/>
                <w:szCs w:val="20"/>
                <w:color w:val="auto"/>
              </w:rPr>
            </w:pPr>
            <w:r>
              <w:rPr>
                <w:rFonts w:ascii="Times New Roman" w:cs="Times New Roman" w:eastAsia="Times New Roman" w:hAnsi="Times New Roman"/>
                <w:sz w:val="20"/>
                <w:szCs w:val="20"/>
                <w:color w:val="auto"/>
              </w:rPr>
              <w:t>Outstanding at January 1, 2025</w:t>
            </w:r>
          </w:p>
        </w:tc>
        <w:tc>
          <w:tcPr>
            <w:tcW w:w="90" w:type="dxa"/>
            <w:vAlign w:val="bottom"/>
            <w:shd w:val="clear" w:color="auto" w:fill="DBDBDB"/>
          </w:tcPr>
          <w:p>
            <w:pPr>
              <w:spacing w:after="0"/>
              <w:rPr>
                <w:sz w:val="20"/>
                <w:szCs w:val="20"/>
                <w:color w:val="auto"/>
              </w:rPr>
            </w:pPr>
          </w:p>
        </w:tc>
        <w:tc>
          <w:tcPr>
            <w:tcW w:w="10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1,447</w:t>
            </w:r>
          </w:p>
        </w:tc>
        <w:tc>
          <w:tcPr>
            <w:tcW w:w="220" w:type="dxa"/>
            <w:vAlign w:val="bottom"/>
            <w:shd w:val="clear" w:color="auto" w:fill="DBDBDB"/>
          </w:tcPr>
          <w:p>
            <w:pPr>
              <w:spacing w:after="0"/>
              <w:rPr>
                <w:sz w:val="20"/>
                <w:szCs w:val="20"/>
                <w:color w:val="auto"/>
              </w:rPr>
            </w:pPr>
          </w:p>
        </w:tc>
        <w:tc>
          <w:tcPr>
            <w:tcW w:w="106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1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highlight w:val="lightGray"/>
                <w:w w:val="79"/>
              </w:rPr>
              <w:t>$</w:t>
            </w: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7.72</w:t>
            </w:r>
          </w:p>
        </w:tc>
        <w:tc>
          <w:tcPr>
            <w:tcW w:w="220" w:type="dxa"/>
            <w:vAlign w:val="bottom"/>
            <w:shd w:val="clear" w:color="auto" w:fill="DBDBDB"/>
          </w:tcPr>
          <w:p>
            <w:pPr>
              <w:spacing w:after="0"/>
              <w:rPr>
                <w:sz w:val="20"/>
                <w:szCs w:val="20"/>
                <w:color w:val="auto"/>
              </w:rPr>
            </w:pPr>
          </w:p>
        </w:tc>
        <w:tc>
          <w:tcPr>
            <w:tcW w:w="1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highlight w:val="lightGray"/>
                <w:w w:val="79"/>
              </w:rPr>
              <w:t>$</w:t>
            </w: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53,347</w:t>
            </w:r>
          </w:p>
        </w:tc>
        <w:tc>
          <w:tcPr>
            <w:tcW w:w="0" w:type="dxa"/>
            <w:vAlign w:val="bottom"/>
          </w:tcPr>
          <w:p>
            <w:pPr>
              <w:spacing w:after="0"/>
              <w:rPr>
                <w:sz w:val="1"/>
                <w:szCs w:val="1"/>
                <w:color w:val="auto"/>
              </w:rPr>
            </w:pPr>
          </w:p>
        </w:tc>
      </w:tr>
      <w:tr>
        <w:trPr>
          <w:trHeight w:val="235"/>
        </w:trPr>
        <w:tc>
          <w:tcPr>
            <w:tcW w:w="5510" w:type="dxa"/>
            <w:vAlign w:val="bottom"/>
          </w:tcPr>
          <w:p>
            <w:pPr>
              <w:spacing w:after="0"/>
              <w:rPr>
                <w:sz w:val="20"/>
                <w:szCs w:val="20"/>
                <w:color w:val="auto"/>
              </w:rPr>
            </w:pPr>
            <w:r>
              <w:rPr>
                <w:rFonts w:ascii="Times New Roman" w:cs="Times New Roman" w:eastAsia="Times New Roman" w:hAnsi="Times New Roman"/>
                <w:sz w:val="20"/>
                <w:szCs w:val="20"/>
                <w:color w:val="auto"/>
              </w:rPr>
              <w:t>Granted</w:t>
            </w:r>
          </w:p>
        </w:tc>
        <w:tc>
          <w:tcPr>
            <w:tcW w:w="9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719</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8,851</w:t>
            </w:r>
          </w:p>
        </w:tc>
        <w:tc>
          <w:tcPr>
            <w:tcW w:w="0" w:type="dxa"/>
            <w:vAlign w:val="bottom"/>
          </w:tcPr>
          <w:p>
            <w:pPr>
              <w:spacing w:after="0"/>
              <w:rPr>
                <w:sz w:val="1"/>
                <w:szCs w:val="1"/>
                <w:color w:val="auto"/>
              </w:rPr>
            </w:pPr>
          </w:p>
        </w:tc>
      </w:tr>
      <w:tr>
        <w:trPr>
          <w:trHeight w:val="235"/>
        </w:trPr>
        <w:tc>
          <w:tcPr>
            <w:tcW w:w="5510" w:type="dxa"/>
            <w:vAlign w:val="bottom"/>
            <w:shd w:val="clear" w:color="auto" w:fill="DBDBDB"/>
          </w:tcPr>
          <w:p>
            <w:pPr>
              <w:spacing w:after="0"/>
              <w:rPr>
                <w:sz w:val="20"/>
                <w:szCs w:val="20"/>
                <w:color w:val="auto"/>
              </w:rPr>
            </w:pPr>
            <w:r>
              <w:rPr>
                <w:rFonts w:ascii="Times New Roman" w:cs="Times New Roman" w:eastAsia="Times New Roman" w:hAnsi="Times New Roman"/>
                <w:sz w:val="20"/>
                <w:szCs w:val="20"/>
                <w:color w:val="auto"/>
              </w:rPr>
              <w:t>Released</w:t>
            </w:r>
          </w:p>
        </w:tc>
        <w:tc>
          <w:tcPr>
            <w:tcW w:w="90" w:type="dxa"/>
            <w:vAlign w:val="bottom"/>
            <w:shd w:val="clear" w:color="auto" w:fill="DBDBDB"/>
          </w:tcPr>
          <w:p>
            <w:pPr>
              <w:spacing w:after="0"/>
              <w:rPr>
                <w:sz w:val="20"/>
                <w:szCs w:val="20"/>
                <w:color w:val="auto"/>
              </w:rPr>
            </w:pPr>
          </w:p>
        </w:tc>
        <w:tc>
          <w:tcPr>
            <w:tcW w:w="10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(977)</w:t>
            </w:r>
          </w:p>
        </w:tc>
        <w:tc>
          <w:tcPr>
            <w:tcW w:w="220" w:type="dxa"/>
            <w:vAlign w:val="bottom"/>
            <w:shd w:val="clear" w:color="auto" w:fill="DBDBDB"/>
          </w:tcPr>
          <w:p>
            <w:pPr>
              <w:spacing w:after="0"/>
              <w:rPr>
                <w:sz w:val="20"/>
                <w:szCs w:val="20"/>
                <w:color w:val="auto"/>
              </w:rPr>
            </w:pPr>
          </w:p>
        </w:tc>
        <w:tc>
          <w:tcPr>
            <w:tcW w:w="10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14.76</w:t>
            </w:r>
          </w:p>
        </w:tc>
        <w:tc>
          <w:tcPr>
            <w:tcW w:w="20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2.49</w:t>
            </w:r>
          </w:p>
        </w:tc>
        <w:tc>
          <w:tcPr>
            <w:tcW w:w="22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14,431</w:t>
            </w:r>
          </w:p>
        </w:tc>
        <w:tc>
          <w:tcPr>
            <w:tcW w:w="0" w:type="dxa"/>
            <w:vAlign w:val="bottom"/>
          </w:tcPr>
          <w:p>
            <w:pPr>
              <w:spacing w:after="0"/>
              <w:rPr>
                <w:sz w:val="1"/>
                <w:szCs w:val="1"/>
                <w:color w:val="auto"/>
              </w:rPr>
            </w:pPr>
          </w:p>
        </w:tc>
      </w:tr>
      <w:tr>
        <w:trPr>
          <w:trHeight w:val="238"/>
        </w:trPr>
        <w:tc>
          <w:tcPr>
            <w:tcW w:w="5510" w:type="dxa"/>
            <w:vAlign w:val="bottom"/>
            <w:tcBorders>
              <w:bottom w:val="single" w:sz="8" w:color="DBDBDB"/>
            </w:tcBorders>
          </w:tcPr>
          <w:p>
            <w:pPr>
              <w:spacing w:after="0"/>
              <w:rPr>
                <w:sz w:val="20"/>
                <w:szCs w:val="20"/>
                <w:color w:val="auto"/>
              </w:rPr>
            </w:pPr>
            <w:r>
              <w:rPr>
                <w:rFonts w:ascii="Times New Roman" w:cs="Times New Roman" w:eastAsia="Times New Roman" w:hAnsi="Times New Roman"/>
                <w:sz w:val="20"/>
                <w:szCs w:val="20"/>
                <w:color w:val="auto"/>
              </w:rPr>
              <w:t>Cancelled/Forfeited</w:t>
            </w:r>
          </w:p>
        </w:tc>
        <w:tc>
          <w:tcPr>
            <w:tcW w:w="90" w:type="dxa"/>
            <w:vAlign w:val="bottom"/>
            <w:tcBorders>
              <w:bottom w:val="single" w:sz="8" w:color="DBDBDB"/>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Borders>
              <w:bottom w:val="single" w:sz="8" w:color="DBDBDB"/>
            </w:tcBorders>
          </w:tcPr>
          <w:p>
            <w:pPr>
              <w:spacing w:after="0"/>
              <w:rPr>
                <w:sz w:val="20"/>
                <w:szCs w:val="20"/>
                <w:color w:val="auto"/>
              </w:rPr>
            </w:pPr>
          </w:p>
        </w:tc>
        <w:tc>
          <w:tcPr>
            <w:tcW w:w="1060" w:type="dxa"/>
            <w:vAlign w:val="bottom"/>
            <w:tcBorders>
              <w:bottom w:val="single" w:sz="8" w:color="DBDBDB"/>
            </w:tcBorders>
          </w:tcPr>
          <w:p>
            <w:pPr>
              <w:spacing w:after="0"/>
              <w:rPr>
                <w:sz w:val="20"/>
                <w:szCs w:val="20"/>
                <w:color w:val="auto"/>
              </w:rPr>
            </w:pPr>
          </w:p>
        </w:tc>
        <w:tc>
          <w:tcPr>
            <w:tcW w:w="200" w:type="dxa"/>
            <w:vAlign w:val="bottom"/>
            <w:tcBorders>
              <w:bottom w:val="single" w:sz="8" w:color="DBDBDB"/>
            </w:tcBorders>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1180" w:type="dxa"/>
            <w:vAlign w:val="bottom"/>
            <w:tcBorders>
              <w:bottom w:val="single" w:sz="8" w:color="DBDBDB"/>
            </w:tcBorders>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DBDBDB"/>
            </w:tcBorders>
          </w:tcPr>
          <w:p>
            <w:pPr>
              <w:spacing w:after="0"/>
              <w:rPr>
                <w:sz w:val="20"/>
                <w:szCs w:val="20"/>
                <w:color w:val="auto"/>
              </w:rPr>
            </w:pPr>
          </w:p>
        </w:tc>
        <w:tc>
          <w:tcPr>
            <w:tcW w:w="960" w:type="dxa"/>
            <w:vAlign w:val="bottom"/>
            <w:tcBorders>
              <w:bottom w:val="single" w:sz="8" w:color="DBDBDB"/>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78"/>
        </w:trPr>
        <w:tc>
          <w:tcPr>
            <w:tcW w:w="5510" w:type="dxa"/>
            <w:vAlign w:val="bottom"/>
            <w:tcBorders>
              <w:bottom w:val="single" w:sz="8" w:color="DBDBDB"/>
            </w:tcBorders>
            <w:shd w:val="clear" w:color="auto" w:fill="DBDBDB"/>
          </w:tcPr>
          <w:p>
            <w:pPr>
              <w:spacing w:after="0" w:line="226" w:lineRule="exact"/>
              <w:rPr>
                <w:sz w:val="20"/>
                <w:szCs w:val="20"/>
                <w:color w:val="auto"/>
              </w:rPr>
            </w:pPr>
            <w:r>
              <w:rPr>
                <w:rFonts w:ascii="Times New Roman" w:cs="Times New Roman" w:eastAsia="Times New Roman" w:hAnsi="Times New Roman"/>
                <w:sz w:val="20"/>
                <w:szCs w:val="20"/>
                <w:color w:val="auto"/>
              </w:rPr>
              <w:t>Outstanding, December 31, 2025</w:t>
            </w:r>
          </w:p>
        </w:tc>
        <w:tc>
          <w:tcPr>
            <w:tcW w:w="90" w:type="dxa"/>
            <w:vAlign w:val="bottom"/>
            <w:tcBorders>
              <w:bottom w:val="single" w:sz="8" w:color="DBDBDB"/>
            </w:tcBorders>
            <w:shd w:val="clear" w:color="auto" w:fill="DBDBDB"/>
          </w:tcPr>
          <w:p>
            <w:pPr>
              <w:spacing w:after="0"/>
              <w:rPr>
                <w:sz w:val="24"/>
                <w:szCs w:val="24"/>
                <w:color w:val="auto"/>
              </w:rPr>
            </w:pPr>
          </w:p>
        </w:tc>
        <w:tc>
          <w:tcPr>
            <w:tcW w:w="1060" w:type="dxa"/>
            <w:vAlign w:val="bottom"/>
            <w:tcBorders>
              <w:bottom w:val="single" w:sz="8" w:color="auto"/>
            </w:tcBorders>
            <w:shd w:val="clear" w:color="auto" w:fill="DBDBDB"/>
          </w:tcPr>
          <w:p>
            <w:pPr>
              <w:jc w:val="right"/>
              <w:spacing w:after="0" w:line="226" w:lineRule="exact"/>
              <w:rPr>
                <w:sz w:val="20"/>
                <w:szCs w:val="20"/>
                <w:color w:val="auto"/>
              </w:rPr>
            </w:pPr>
            <w:r>
              <w:rPr>
                <w:rFonts w:ascii="Times New Roman" w:cs="Times New Roman" w:eastAsia="Times New Roman" w:hAnsi="Times New Roman"/>
                <w:sz w:val="20"/>
                <w:szCs w:val="20"/>
                <w:color w:val="auto"/>
              </w:rPr>
              <w:t>1,189</w:t>
            </w:r>
          </w:p>
        </w:tc>
        <w:tc>
          <w:tcPr>
            <w:tcW w:w="220" w:type="dxa"/>
            <w:vAlign w:val="bottom"/>
            <w:tcBorders>
              <w:bottom w:val="single" w:sz="8" w:color="DBDBDB"/>
            </w:tcBorders>
            <w:shd w:val="clear" w:color="auto" w:fill="DBDBDB"/>
          </w:tcPr>
          <w:p>
            <w:pPr>
              <w:spacing w:after="0"/>
              <w:rPr>
                <w:sz w:val="24"/>
                <w:szCs w:val="24"/>
                <w:color w:val="auto"/>
              </w:rPr>
            </w:pPr>
          </w:p>
        </w:tc>
        <w:tc>
          <w:tcPr>
            <w:tcW w:w="1060" w:type="dxa"/>
            <w:vAlign w:val="bottom"/>
            <w:tcBorders>
              <w:bottom w:val="single" w:sz="8" w:color="DBDBDB"/>
            </w:tcBorders>
            <w:shd w:val="clear" w:color="auto" w:fill="DBDBDB"/>
          </w:tcPr>
          <w:p>
            <w:pPr>
              <w:spacing w:after="0"/>
              <w:rPr>
                <w:sz w:val="24"/>
                <w:szCs w:val="24"/>
                <w:color w:val="auto"/>
              </w:rPr>
            </w:pPr>
          </w:p>
        </w:tc>
        <w:tc>
          <w:tcPr>
            <w:tcW w:w="200" w:type="dxa"/>
            <w:vAlign w:val="bottom"/>
            <w:tcBorders>
              <w:bottom w:val="single" w:sz="8" w:color="DBDBDB"/>
            </w:tcBorders>
            <w:shd w:val="clear" w:color="auto" w:fill="DBDBDB"/>
          </w:tcPr>
          <w:p>
            <w:pPr>
              <w:spacing w:after="0"/>
              <w:rPr>
                <w:sz w:val="24"/>
                <w:szCs w:val="24"/>
                <w:color w:val="auto"/>
              </w:rPr>
            </w:pPr>
          </w:p>
        </w:tc>
        <w:tc>
          <w:tcPr>
            <w:tcW w:w="100" w:type="dxa"/>
            <w:vAlign w:val="bottom"/>
            <w:tcBorders>
              <w:bottom w:val="single" w:sz="8" w:color="DBDBDB"/>
            </w:tcBorders>
            <w:shd w:val="clear" w:color="auto" w:fill="DBDBDB"/>
          </w:tcPr>
          <w:p>
            <w:pPr>
              <w:spacing w:after="0"/>
              <w:rPr>
                <w:sz w:val="24"/>
                <w:szCs w:val="24"/>
                <w:color w:val="auto"/>
              </w:rPr>
            </w:pPr>
          </w:p>
        </w:tc>
        <w:tc>
          <w:tcPr>
            <w:tcW w:w="960" w:type="dxa"/>
            <w:vAlign w:val="bottom"/>
            <w:tcBorders>
              <w:bottom w:val="single" w:sz="8" w:color="DBDBDB"/>
            </w:tcBorders>
            <w:shd w:val="clear" w:color="auto" w:fill="DBDBDB"/>
          </w:tcPr>
          <w:p>
            <w:pPr>
              <w:jc w:val="right"/>
              <w:spacing w:after="0" w:line="226" w:lineRule="exact"/>
              <w:rPr>
                <w:sz w:val="20"/>
                <w:szCs w:val="20"/>
                <w:color w:val="auto"/>
              </w:rPr>
            </w:pPr>
            <w:r>
              <w:rPr>
                <w:rFonts w:ascii="Times New Roman" w:cs="Times New Roman" w:eastAsia="Times New Roman" w:hAnsi="Times New Roman"/>
                <w:sz w:val="20"/>
                <w:szCs w:val="20"/>
                <w:color w:val="auto"/>
              </w:rPr>
              <w:t>11.55</w:t>
            </w:r>
          </w:p>
        </w:tc>
        <w:tc>
          <w:tcPr>
            <w:tcW w:w="220" w:type="dxa"/>
            <w:vAlign w:val="bottom"/>
            <w:tcBorders>
              <w:bottom w:val="single" w:sz="8" w:color="DBDBDB"/>
            </w:tcBorders>
            <w:shd w:val="clear" w:color="auto" w:fill="DBDBDB"/>
          </w:tcPr>
          <w:p>
            <w:pPr>
              <w:spacing w:after="0"/>
              <w:rPr>
                <w:sz w:val="24"/>
                <w:szCs w:val="24"/>
                <w:color w:val="auto"/>
              </w:rPr>
            </w:pPr>
          </w:p>
        </w:tc>
        <w:tc>
          <w:tcPr>
            <w:tcW w:w="100" w:type="dxa"/>
            <w:vAlign w:val="bottom"/>
            <w:tcBorders>
              <w:bottom w:val="single" w:sz="8" w:color="DBDBDB"/>
            </w:tcBorders>
            <w:shd w:val="clear" w:color="auto" w:fill="DBDBDB"/>
          </w:tcPr>
          <w:p>
            <w:pPr>
              <w:spacing w:after="0"/>
              <w:rPr>
                <w:sz w:val="24"/>
                <w:szCs w:val="24"/>
                <w:color w:val="auto"/>
              </w:rPr>
            </w:pPr>
          </w:p>
        </w:tc>
        <w:tc>
          <w:tcPr>
            <w:tcW w:w="960" w:type="dxa"/>
            <w:vAlign w:val="bottom"/>
            <w:tcBorders>
              <w:bottom w:val="single" w:sz="8" w:color="DBDBDB"/>
            </w:tcBorders>
            <w:shd w:val="clear" w:color="auto" w:fill="DBDBDB"/>
          </w:tcPr>
          <w:p>
            <w:pPr>
              <w:jc w:val="right"/>
              <w:spacing w:after="0" w:line="226" w:lineRule="exact"/>
              <w:rPr>
                <w:sz w:val="20"/>
                <w:szCs w:val="20"/>
                <w:color w:val="auto"/>
              </w:rPr>
            </w:pPr>
            <w:r>
              <w:rPr>
                <w:rFonts w:ascii="Times New Roman" w:cs="Times New Roman" w:eastAsia="Times New Roman" w:hAnsi="Times New Roman"/>
                <w:sz w:val="20"/>
                <w:szCs w:val="20"/>
                <w:color w:val="auto"/>
              </w:rPr>
              <w:t>41,442</w:t>
            </w:r>
          </w:p>
        </w:tc>
        <w:tc>
          <w:tcPr>
            <w:tcW w:w="0" w:type="dxa"/>
            <w:vAlign w:val="bottom"/>
          </w:tcPr>
          <w:p>
            <w:pPr>
              <w:spacing w:after="0"/>
              <w:rPr>
                <w:sz w:val="1"/>
                <w:szCs w:val="1"/>
                <w:color w:val="auto"/>
              </w:rPr>
            </w:pPr>
          </w:p>
        </w:tc>
      </w:tr>
      <w:tr>
        <w:trPr>
          <w:trHeight w:val="238"/>
        </w:trPr>
        <w:tc>
          <w:tcPr>
            <w:tcW w:w="5510" w:type="dxa"/>
            <w:vAlign w:val="bottom"/>
          </w:tcPr>
          <w:p>
            <w:pPr>
              <w:spacing w:after="0"/>
              <w:rPr>
                <w:sz w:val="20"/>
                <w:szCs w:val="20"/>
                <w:color w:val="auto"/>
              </w:rPr>
            </w:pPr>
            <w:r>
              <w:rPr>
                <w:rFonts w:ascii="Times New Roman" w:cs="Times New Roman" w:eastAsia="Times New Roman" w:hAnsi="Times New Roman"/>
                <w:sz w:val="20"/>
                <w:szCs w:val="20"/>
                <w:color w:val="auto"/>
              </w:rPr>
              <w:t>Vested and expected to vest</w:t>
            </w:r>
          </w:p>
        </w:tc>
        <w:tc>
          <w:tcPr>
            <w:tcW w:w="90" w:type="dxa"/>
            <w:vAlign w:val="bottom"/>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1,189</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41,442</w:t>
            </w:r>
          </w:p>
        </w:tc>
        <w:tc>
          <w:tcPr>
            <w:tcW w:w="0" w:type="dxa"/>
            <w:vAlign w:val="bottom"/>
          </w:tcPr>
          <w:p>
            <w:pPr>
              <w:spacing w:after="0"/>
              <w:rPr>
                <w:sz w:val="1"/>
                <w:szCs w:val="1"/>
                <w:color w:val="auto"/>
              </w:rPr>
            </w:pPr>
          </w:p>
        </w:tc>
      </w:tr>
      <w:tr>
        <w:trPr>
          <w:trHeight w:val="20"/>
        </w:trPr>
        <w:tc>
          <w:tcPr>
            <w:tcW w:w="5510" w:type="dxa"/>
            <w:vAlign w:val="bottom"/>
          </w:tcPr>
          <w:p>
            <w:pPr>
              <w:spacing w:after="0" w:line="20" w:lineRule="exact"/>
              <w:rPr>
                <w:sz w:val="1"/>
                <w:szCs w:val="1"/>
                <w:color w:val="auto"/>
              </w:rPr>
            </w:pPr>
          </w:p>
        </w:tc>
        <w:tc>
          <w:tcPr>
            <w:tcW w:w="9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ind w:firstLine="706"/>
        <w:spacing w:after="0" w:line="276" w:lineRule="auto"/>
        <w:rPr>
          <w:sz w:val="20"/>
          <w:szCs w:val="20"/>
          <w:color w:val="auto"/>
        </w:rPr>
      </w:pPr>
      <w:r>
        <w:rPr>
          <w:rFonts w:ascii="Times New Roman" w:cs="Times New Roman" w:eastAsia="Times New Roman" w:hAnsi="Times New Roman"/>
          <w:sz w:val="18"/>
          <w:szCs w:val="18"/>
          <w:color w:val="auto"/>
        </w:rPr>
        <w:t>As of December 31, 2025, there was $5.1 million of unrecognized stock-based expense related to outstanding PSUs. This expense is expected to be recognized over 1.7 years. For the years ended December 31, 2025, 2024 and 2023, the weighted-average grant value for PSUs was $6.94, $16.40 and $8.89 per share, respectively. The intrinsic values of PSUs exercised were $14.4 million, $2.9 million and $3.6 million for the years ended December 31, 2025, 2024 and 2023, respectively. The total fair value of shares vested for PSUs during years ended December 31, 2025, 2024 and 2023 were $4.5 million, $4.0 million and $0 million, respectively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Restricted Stock Units</w:t>
      </w:r>
    </w:p>
    <w:p>
      <w:pPr>
        <w:spacing w:after="0" w:line="216" w:lineRule="exact"/>
        <w:rPr>
          <w:sz w:val="20"/>
          <w:szCs w:val="20"/>
          <w:color w:val="auto"/>
        </w:rPr>
      </w:pPr>
    </w:p>
    <w:p>
      <w:pPr>
        <w:jc w:val="both"/>
        <w:ind w:firstLine="706"/>
        <w:spacing w:after="0" w:line="324" w:lineRule="auto"/>
        <w:rPr>
          <w:sz w:val="20"/>
          <w:szCs w:val="20"/>
          <w:color w:val="auto"/>
        </w:rPr>
      </w:pPr>
      <w:r>
        <w:rPr>
          <w:rFonts w:ascii="Times New Roman" w:cs="Times New Roman" w:eastAsia="Times New Roman" w:hAnsi="Times New Roman"/>
          <w:sz w:val="18"/>
          <w:szCs w:val="18"/>
          <w:color w:val="auto"/>
        </w:rPr>
        <w:t>Restricted stock units are issued to employees through a vesting plan and distribution schedule after employee remains with the Company for a particular length of time. The following is a total summary of RSU activity (in thousands, except per share data):</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5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center"/>
              <w:ind w:right="2"/>
              <w:spacing w:after="0"/>
              <w:rPr>
                <w:sz w:val="20"/>
                <w:szCs w:val="20"/>
                <w:color w:val="auto"/>
              </w:rPr>
            </w:pPr>
            <w:r>
              <w:rPr>
                <w:rFonts w:ascii="Times New Roman" w:cs="Times New Roman" w:eastAsia="Times New Roman" w:hAnsi="Times New Roman"/>
                <w:sz w:val="20"/>
                <w:szCs w:val="20"/>
                <w:b w:val="1"/>
                <w:bCs w:val="1"/>
                <w:color w:val="auto"/>
                <w:w w:val="97"/>
              </w:rPr>
              <w:t>Weighted</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center"/>
              <w:ind w:right="22"/>
              <w:spacing w:after="0" w:line="225" w:lineRule="exact"/>
              <w:rPr>
                <w:sz w:val="20"/>
                <w:szCs w:val="20"/>
                <w:color w:val="auto"/>
              </w:rPr>
            </w:pPr>
            <w:r>
              <w:rPr>
                <w:rFonts w:ascii="Times New Roman" w:cs="Times New Roman" w:eastAsia="Times New Roman" w:hAnsi="Times New Roman"/>
                <w:sz w:val="20"/>
                <w:szCs w:val="20"/>
                <w:b w:val="1"/>
                <w:bCs w:val="1"/>
                <w:color w:val="auto"/>
                <w:w w:val="98"/>
              </w:rPr>
              <w:t>Average</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center"/>
              <w:ind w:right="2"/>
              <w:spacing w:after="0"/>
              <w:rPr>
                <w:sz w:val="20"/>
                <w:szCs w:val="20"/>
                <w:color w:val="auto"/>
              </w:rPr>
            </w:pPr>
            <w:r>
              <w:rPr>
                <w:rFonts w:ascii="Times New Roman" w:cs="Times New Roman" w:eastAsia="Times New Roman" w:hAnsi="Times New Roman"/>
                <w:sz w:val="20"/>
                <w:szCs w:val="20"/>
                <w:b w:val="1"/>
                <w:bCs w:val="1"/>
                <w:color w:val="auto"/>
                <w:w w:val="95"/>
              </w:rPr>
              <w:t>Share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20"/>
                <w:szCs w:val="20"/>
                <w:b w:val="1"/>
                <w:bCs w:val="1"/>
                <w:color w:val="auto"/>
                <w:w w:val="97"/>
              </w:rPr>
              <w:t>Weighted</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center"/>
              <w:ind w:right="2"/>
              <w:spacing w:after="0" w:line="225" w:lineRule="exact"/>
              <w:rPr>
                <w:sz w:val="20"/>
                <w:szCs w:val="20"/>
                <w:color w:val="auto"/>
              </w:rPr>
            </w:pPr>
            <w:r>
              <w:rPr>
                <w:rFonts w:ascii="Times New Roman" w:cs="Times New Roman" w:eastAsia="Times New Roman" w:hAnsi="Times New Roman"/>
                <w:sz w:val="20"/>
                <w:szCs w:val="20"/>
                <w:b w:val="1"/>
                <w:bCs w:val="1"/>
                <w:color w:val="auto"/>
                <w:w w:val="96"/>
              </w:rPr>
              <w:t>Price on</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center"/>
              <w:ind w:right="320"/>
              <w:spacing w:after="0" w:line="225" w:lineRule="exact"/>
              <w:rPr>
                <w:sz w:val="20"/>
                <w:szCs w:val="20"/>
                <w:color w:val="auto"/>
              </w:rPr>
            </w:pPr>
            <w:r>
              <w:rPr>
                <w:rFonts w:ascii="Times New Roman" w:cs="Times New Roman" w:eastAsia="Times New Roman" w:hAnsi="Times New Roman"/>
                <w:sz w:val="20"/>
                <w:szCs w:val="20"/>
                <w:b w:val="1"/>
                <w:bCs w:val="1"/>
                <w:color w:val="auto"/>
                <w:w w:val="98"/>
              </w:rPr>
              <w:t>Average</w:t>
            </w:r>
          </w:p>
        </w:tc>
        <w:tc>
          <w:tcPr>
            <w:tcW w:w="1060" w:type="dxa"/>
            <w:vAlign w:val="bottom"/>
            <w:gridSpan w:val="2"/>
          </w:tcPr>
          <w:p>
            <w:pPr>
              <w:jc w:val="center"/>
              <w:spacing w:after="0" w:line="225" w:lineRule="exact"/>
              <w:rPr>
                <w:sz w:val="20"/>
                <w:szCs w:val="20"/>
                <w:color w:val="auto"/>
              </w:rPr>
            </w:pPr>
            <w:r>
              <w:rPr>
                <w:rFonts w:ascii="Times New Roman" w:cs="Times New Roman" w:eastAsia="Times New Roman" w:hAnsi="Times New Roman"/>
                <w:sz w:val="20"/>
                <w:szCs w:val="20"/>
                <w:b w:val="1"/>
                <w:bCs w:val="1"/>
                <w:color w:val="auto"/>
              </w:rPr>
              <w:t>Aggregate</w:t>
            </w:r>
          </w:p>
        </w:tc>
        <w:tc>
          <w:tcPr>
            <w:tcW w:w="0" w:type="dxa"/>
            <w:vAlign w:val="bottom"/>
          </w:tcPr>
          <w:p>
            <w:pPr>
              <w:spacing w:after="0"/>
              <w:rPr>
                <w:sz w:val="1"/>
                <w:szCs w:val="1"/>
                <w:color w:val="auto"/>
              </w:rPr>
            </w:pPr>
          </w:p>
        </w:tc>
      </w:tr>
      <w:tr>
        <w:trPr>
          <w:trHeight w:val="236"/>
        </w:trPr>
        <w:tc>
          <w:tcPr>
            <w:tcW w:w="5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Number of</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center"/>
              <w:ind w:right="2"/>
              <w:spacing w:after="0"/>
              <w:rPr>
                <w:sz w:val="20"/>
                <w:szCs w:val="20"/>
                <w:color w:val="auto"/>
              </w:rPr>
            </w:pPr>
            <w:r>
              <w:rPr>
                <w:rFonts w:ascii="Times New Roman" w:cs="Times New Roman" w:eastAsia="Times New Roman" w:hAnsi="Times New Roman"/>
                <w:sz w:val="20"/>
                <w:szCs w:val="20"/>
                <w:b w:val="1"/>
                <w:bCs w:val="1"/>
                <w:color w:val="auto"/>
                <w:w w:val="99"/>
              </w:rPr>
              <w:t>Date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20"/>
                <w:szCs w:val="20"/>
                <w:b w:val="1"/>
                <w:bCs w:val="1"/>
                <w:color w:val="auto"/>
                <w:w w:val="98"/>
              </w:rPr>
              <w:t>Fair</w:t>
            </w:r>
          </w:p>
        </w:tc>
        <w:tc>
          <w:tcPr>
            <w:tcW w:w="100" w:type="dxa"/>
            <w:vAlign w:val="bottom"/>
          </w:tcPr>
          <w:p>
            <w:pPr>
              <w:spacing w:after="0"/>
              <w:rPr>
                <w:sz w:val="20"/>
                <w:szCs w:val="20"/>
                <w:color w:val="auto"/>
              </w:rPr>
            </w:pPr>
          </w:p>
        </w:tc>
        <w:tc>
          <w:tcPr>
            <w:tcW w:w="960" w:type="dxa"/>
            <w:vAlign w:val="bottom"/>
          </w:tcPr>
          <w:p>
            <w:pPr>
              <w:jc w:val="center"/>
              <w:ind w:right="22"/>
              <w:spacing w:after="0"/>
              <w:rPr>
                <w:sz w:val="20"/>
                <w:szCs w:val="20"/>
                <w:color w:val="auto"/>
              </w:rPr>
            </w:pPr>
            <w:r>
              <w:rPr>
                <w:rFonts w:ascii="Times New Roman" w:cs="Times New Roman" w:eastAsia="Times New Roman" w:hAnsi="Times New Roman"/>
                <w:sz w:val="20"/>
                <w:szCs w:val="20"/>
                <w:b w:val="1"/>
                <w:bCs w:val="1"/>
                <w:color w:val="auto"/>
                <w:w w:val="98"/>
              </w:rPr>
              <w:t>Intrinsic</w:t>
            </w:r>
          </w:p>
        </w:tc>
        <w:tc>
          <w:tcPr>
            <w:tcW w:w="0" w:type="dxa"/>
            <w:vAlign w:val="bottom"/>
          </w:tcPr>
          <w:p>
            <w:pPr>
              <w:spacing w:after="0"/>
              <w:rPr>
                <w:sz w:val="1"/>
                <w:szCs w:val="1"/>
                <w:color w:val="auto"/>
              </w:rPr>
            </w:pPr>
          </w:p>
        </w:tc>
      </w:tr>
      <w:tr>
        <w:trPr>
          <w:trHeight w:val="255"/>
        </w:trPr>
        <w:tc>
          <w:tcPr>
            <w:tcW w:w="5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6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20"/>
                <w:szCs w:val="20"/>
                <w:b w:val="1"/>
                <w:bCs w:val="1"/>
                <w:color w:val="auto"/>
              </w:rPr>
              <w:t>shares</w:t>
            </w:r>
          </w:p>
        </w:tc>
        <w:tc>
          <w:tcPr>
            <w:tcW w:w="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w w:val="75"/>
              </w:rPr>
              <w:t>(in</w:t>
            </w: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2"/>
              <w:spacing w:after="0"/>
              <w:rPr>
                <w:sz w:val="20"/>
                <w:szCs w:val="20"/>
                <w:color w:val="auto"/>
              </w:rPr>
            </w:pPr>
            <w:r>
              <w:rPr>
                <w:rFonts w:ascii="Times New Roman" w:cs="Times New Roman" w:eastAsia="Times New Roman" w:hAnsi="Times New Roman"/>
                <w:sz w:val="20"/>
                <w:szCs w:val="20"/>
                <w:b w:val="1"/>
                <w:bCs w:val="1"/>
                <w:color w:val="auto"/>
                <w:w w:val="97"/>
              </w:rPr>
              <w:t>of Release</w:t>
            </w:r>
          </w:p>
        </w:tc>
        <w:tc>
          <w:tcPr>
            <w:tcW w:w="2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2"/>
              <w:spacing w:after="0"/>
              <w:rPr>
                <w:sz w:val="20"/>
                <w:szCs w:val="20"/>
                <w:color w:val="auto"/>
              </w:rPr>
            </w:pPr>
            <w:r>
              <w:rPr>
                <w:rFonts w:ascii="Times New Roman" w:cs="Times New Roman" w:eastAsia="Times New Roman" w:hAnsi="Times New Roman"/>
                <w:sz w:val="20"/>
                <w:szCs w:val="20"/>
                <w:b w:val="1"/>
                <w:bCs w:val="1"/>
                <w:color w:val="auto"/>
                <w:w w:val="99"/>
              </w:rPr>
              <w:t>Value</w:t>
            </w:r>
          </w:p>
        </w:tc>
        <w:tc>
          <w:tcPr>
            <w:tcW w:w="2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20"/>
                <w:szCs w:val="20"/>
                <w:b w:val="1"/>
                <w:bCs w:val="1"/>
                <w:color w:val="auto"/>
                <w:w w:val="95"/>
              </w:rPr>
              <w:t>Value</w:t>
            </w:r>
          </w:p>
        </w:tc>
        <w:tc>
          <w:tcPr>
            <w:tcW w:w="0" w:type="dxa"/>
            <w:vAlign w:val="bottom"/>
          </w:tcPr>
          <w:p>
            <w:pPr>
              <w:spacing w:after="0"/>
              <w:rPr>
                <w:sz w:val="1"/>
                <w:szCs w:val="1"/>
                <w:color w:val="auto"/>
              </w:rPr>
            </w:pPr>
          </w:p>
        </w:tc>
      </w:tr>
      <w:tr>
        <w:trPr>
          <w:trHeight w:val="225"/>
        </w:trPr>
        <w:tc>
          <w:tcPr>
            <w:tcW w:w="5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gridSpan w:val="2"/>
            <w:vMerge w:val="continue"/>
          </w:tcPr>
          <w:p>
            <w:pPr>
              <w:spacing w:after="0"/>
              <w:rPr>
                <w:sz w:val="19"/>
                <w:szCs w:val="19"/>
                <w:color w:val="auto"/>
              </w:rPr>
            </w:pPr>
          </w:p>
        </w:tc>
        <w:tc>
          <w:tcPr>
            <w:tcW w:w="1060" w:type="dxa"/>
            <w:vAlign w:val="bottom"/>
            <w:gridSpan w:val="2"/>
          </w:tcPr>
          <w:p>
            <w:pPr>
              <w:jc w:val="center"/>
              <w:spacing w:after="0" w:line="225" w:lineRule="exact"/>
              <w:rPr>
                <w:sz w:val="20"/>
                <w:szCs w:val="20"/>
                <w:color w:val="auto"/>
              </w:rPr>
            </w:pPr>
            <w:r>
              <w:rPr>
                <w:rFonts w:ascii="Times New Roman" w:cs="Times New Roman" w:eastAsia="Times New Roman" w:hAnsi="Times New Roman"/>
                <w:sz w:val="20"/>
                <w:szCs w:val="20"/>
                <w:b w:val="1"/>
                <w:bCs w:val="1"/>
                <w:color w:val="auto"/>
                <w:w w:val="98"/>
              </w:rPr>
              <w:t>thousands,</w:t>
            </w:r>
          </w:p>
        </w:tc>
        <w:tc>
          <w:tcPr>
            <w:tcW w:w="1500" w:type="dxa"/>
            <w:vAlign w:val="bottom"/>
            <w:gridSpan w:val="4"/>
          </w:tcPr>
          <w:p>
            <w:pPr>
              <w:jc w:val="center"/>
              <w:ind w:right="20"/>
              <w:spacing w:after="0" w:line="225" w:lineRule="exact"/>
              <w:rPr>
                <w:sz w:val="20"/>
                <w:szCs w:val="20"/>
                <w:color w:val="auto"/>
              </w:rPr>
            </w:pPr>
            <w:r>
              <w:rPr>
                <w:rFonts w:ascii="Times New Roman" w:cs="Times New Roman" w:eastAsia="Times New Roman" w:hAnsi="Times New Roman"/>
                <w:sz w:val="20"/>
                <w:szCs w:val="20"/>
                <w:b w:val="1"/>
                <w:bCs w:val="1"/>
                <w:color w:val="auto"/>
                <w:w w:val="97"/>
              </w:rPr>
              <w:t>except price data)</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5500" w:type="dxa"/>
            <w:vAlign w:val="bottom"/>
            <w:shd w:val="clear" w:color="auto" w:fill="DBDBDB"/>
          </w:tcPr>
          <w:p>
            <w:pPr>
              <w:spacing w:after="0"/>
              <w:rPr>
                <w:sz w:val="20"/>
                <w:szCs w:val="20"/>
                <w:color w:val="auto"/>
              </w:rPr>
            </w:pPr>
            <w:r>
              <w:rPr>
                <w:rFonts w:ascii="Times New Roman" w:cs="Times New Roman" w:eastAsia="Times New Roman" w:hAnsi="Times New Roman"/>
                <w:sz w:val="20"/>
                <w:szCs w:val="20"/>
                <w:color w:val="auto"/>
              </w:rPr>
              <w:t>Outstanding at January 1, 2025</w:t>
            </w:r>
          </w:p>
        </w:tc>
        <w:tc>
          <w:tcPr>
            <w:tcW w:w="80" w:type="dxa"/>
            <w:vAlign w:val="bottom"/>
            <w:shd w:val="clear" w:color="auto" w:fill="DBDBDB"/>
          </w:tcPr>
          <w:p>
            <w:pPr>
              <w:spacing w:after="0"/>
              <w:rPr>
                <w:sz w:val="20"/>
                <w:szCs w:val="20"/>
                <w:color w:val="auto"/>
              </w:rPr>
            </w:pPr>
          </w:p>
        </w:tc>
        <w:tc>
          <w:tcPr>
            <w:tcW w:w="20" w:type="dxa"/>
            <w:vAlign w:val="bottom"/>
            <w:shd w:val="clear" w:color="auto" w:fill="DBDBDB"/>
          </w:tcPr>
          <w:p>
            <w:pPr>
              <w:spacing w:after="0"/>
              <w:rPr>
                <w:sz w:val="20"/>
                <w:szCs w:val="20"/>
                <w:color w:val="auto"/>
              </w:rPr>
            </w:pPr>
          </w:p>
        </w:tc>
        <w:tc>
          <w:tcPr>
            <w:tcW w:w="10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2,231</w:t>
            </w:r>
          </w:p>
        </w:tc>
        <w:tc>
          <w:tcPr>
            <w:tcW w:w="10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940" w:type="dxa"/>
            <w:vAlign w:val="bottom"/>
            <w:shd w:val="clear" w:color="auto" w:fill="DBDBDB"/>
          </w:tcPr>
          <w:p>
            <w:pPr>
              <w:spacing w:after="0"/>
              <w:rPr>
                <w:sz w:val="20"/>
                <w:szCs w:val="20"/>
                <w:color w:val="auto"/>
              </w:rPr>
            </w:pPr>
          </w:p>
        </w:tc>
        <w:tc>
          <w:tcPr>
            <w:tcW w:w="220" w:type="dxa"/>
            <w:vAlign w:val="bottom"/>
            <w:shd w:val="clear" w:color="auto" w:fill="DBDBDB"/>
          </w:tcPr>
          <w:p>
            <w:pPr>
              <w:spacing w:after="0"/>
              <w:rPr>
                <w:sz w:val="20"/>
                <w:szCs w:val="20"/>
                <w:color w:val="auto"/>
              </w:rPr>
            </w:pPr>
          </w:p>
        </w:tc>
        <w:tc>
          <w:tcPr>
            <w:tcW w:w="1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highlight w:val="lightGray"/>
                <w:w w:val="79"/>
              </w:rPr>
              <w:t>$</w:t>
            </w: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6.04</w:t>
            </w:r>
          </w:p>
        </w:tc>
        <w:tc>
          <w:tcPr>
            <w:tcW w:w="220" w:type="dxa"/>
            <w:vAlign w:val="bottom"/>
            <w:shd w:val="clear" w:color="auto" w:fill="DBDBDB"/>
          </w:tcPr>
          <w:p>
            <w:pPr>
              <w:spacing w:after="0"/>
              <w:rPr>
                <w:sz w:val="20"/>
                <w:szCs w:val="20"/>
                <w:color w:val="auto"/>
              </w:rPr>
            </w:pPr>
          </w:p>
        </w:tc>
        <w:tc>
          <w:tcPr>
            <w:tcW w:w="1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highlight w:val="lightGray"/>
                <w:w w:val="79"/>
              </w:rPr>
              <w:t>$</w:t>
            </w:r>
          </w:p>
        </w:tc>
        <w:tc>
          <w:tcPr>
            <w:tcW w:w="960" w:type="dxa"/>
            <w:vAlign w:val="bottom"/>
            <w:shd w:val="clear" w:color="auto" w:fill="DBDBDB"/>
          </w:tcPr>
          <w:p>
            <w:pPr>
              <w:ind w:left="400"/>
              <w:spacing w:after="0"/>
              <w:rPr>
                <w:sz w:val="20"/>
                <w:szCs w:val="20"/>
                <w:color w:val="auto"/>
              </w:rPr>
            </w:pPr>
            <w:r>
              <w:rPr>
                <w:rFonts w:ascii="Times New Roman" w:cs="Times New Roman" w:eastAsia="Times New Roman" w:hAnsi="Times New Roman"/>
                <w:sz w:val="20"/>
                <w:szCs w:val="20"/>
                <w:color w:val="auto"/>
                <w:w w:val="98"/>
              </w:rPr>
              <w:t>82,243</w:t>
            </w:r>
          </w:p>
        </w:tc>
        <w:tc>
          <w:tcPr>
            <w:tcW w:w="0" w:type="dxa"/>
            <w:vAlign w:val="bottom"/>
          </w:tcPr>
          <w:p>
            <w:pPr>
              <w:spacing w:after="0"/>
              <w:rPr>
                <w:sz w:val="1"/>
                <w:szCs w:val="1"/>
                <w:color w:val="auto"/>
              </w:rPr>
            </w:pPr>
          </w:p>
        </w:tc>
      </w:tr>
      <w:tr>
        <w:trPr>
          <w:trHeight w:val="235"/>
        </w:trPr>
        <w:tc>
          <w:tcPr>
            <w:tcW w:w="56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Granted</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ind w:left="500"/>
              <w:spacing w:after="0"/>
              <w:rPr>
                <w:sz w:val="20"/>
                <w:szCs w:val="20"/>
                <w:color w:val="auto"/>
              </w:rPr>
            </w:pPr>
            <w:r>
              <w:rPr>
                <w:rFonts w:ascii="Times New Roman" w:cs="Times New Roman" w:eastAsia="Times New Roman" w:hAnsi="Times New Roman"/>
                <w:sz w:val="20"/>
                <w:szCs w:val="20"/>
                <w:color w:val="auto"/>
                <w:w w:val="97"/>
              </w:rPr>
              <w:t>6,332</w:t>
            </w:r>
          </w:p>
        </w:tc>
        <w:tc>
          <w:tcPr>
            <w:tcW w:w="0" w:type="dxa"/>
            <w:vAlign w:val="bottom"/>
          </w:tcPr>
          <w:p>
            <w:pPr>
              <w:spacing w:after="0"/>
              <w:rPr>
                <w:sz w:val="1"/>
                <w:szCs w:val="1"/>
                <w:color w:val="auto"/>
              </w:rPr>
            </w:pPr>
          </w:p>
        </w:tc>
      </w:tr>
      <w:tr>
        <w:trPr>
          <w:trHeight w:val="235"/>
        </w:trPr>
        <w:tc>
          <w:tcPr>
            <w:tcW w:w="5500" w:type="dxa"/>
            <w:vAlign w:val="bottom"/>
            <w:shd w:val="clear" w:color="auto" w:fill="DBDBDB"/>
          </w:tcPr>
          <w:p>
            <w:pPr>
              <w:spacing w:after="0"/>
              <w:rPr>
                <w:sz w:val="20"/>
                <w:szCs w:val="20"/>
                <w:color w:val="auto"/>
              </w:rPr>
            </w:pPr>
            <w:r>
              <w:rPr>
                <w:rFonts w:ascii="Times New Roman" w:cs="Times New Roman" w:eastAsia="Times New Roman" w:hAnsi="Times New Roman"/>
                <w:sz w:val="20"/>
                <w:szCs w:val="20"/>
                <w:color w:val="auto"/>
              </w:rPr>
              <w:t>Released</w:t>
            </w:r>
          </w:p>
        </w:tc>
        <w:tc>
          <w:tcPr>
            <w:tcW w:w="80" w:type="dxa"/>
            <w:vAlign w:val="bottom"/>
            <w:shd w:val="clear" w:color="auto" w:fill="DBDBDB"/>
          </w:tcPr>
          <w:p>
            <w:pPr>
              <w:spacing w:after="0"/>
              <w:rPr>
                <w:sz w:val="20"/>
                <w:szCs w:val="20"/>
                <w:color w:val="auto"/>
              </w:rPr>
            </w:pPr>
          </w:p>
        </w:tc>
        <w:tc>
          <w:tcPr>
            <w:tcW w:w="20" w:type="dxa"/>
            <w:vAlign w:val="bottom"/>
            <w:shd w:val="clear" w:color="auto" w:fill="DBDBDB"/>
          </w:tcPr>
          <w:p>
            <w:pPr>
              <w:spacing w:after="0"/>
              <w:rPr>
                <w:sz w:val="20"/>
                <w:szCs w:val="20"/>
                <w:color w:val="auto"/>
              </w:rPr>
            </w:pPr>
          </w:p>
        </w:tc>
        <w:tc>
          <w:tcPr>
            <w:tcW w:w="10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(1,217)</w:t>
            </w:r>
          </w:p>
        </w:tc>
        <w:tc>
          <w:tcPr>
            <w:tcW w:w="10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highlight w:val="lightGray"/>
                <w:w w:val="99"/>
              </w:rPr>
              <w:t>$</w:t>
            </w:r>
          </w:p>
        </w:tc>
        <w:tc>
          <w:tcPr>
            <w:tcW w:w="9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24.99</w:t>
            </w:r>
          </w:p>
        </w:tc>
        <w:tc>
          <w:tcPr>
            <w:tcW w:w="22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6.26</w:t>
            </w:r>
          </w:p>
        </w:tc>
        <w:tc>
          <w:tcPr>
            <w:tcW w:w="22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960" w:type="dxa"/>
            <w:vAlign w:val="bottom"/>
            <w:shd w:val="clear" w:color="auto" w:fill="DBDBDB"/>
          </w:tcPr>
          <w:p>
            <w:pPr>
              <w:ind w:left="400"/>
              <w:spacing w:after="0"/>
              <w:rPr>
                <w:sz w:val="20"/>
                <w:szCs w:val="20"/>
                <w:color w:val="auto"/>
              </w:rPr>
            </w:pPr>
            <w:r>
              <w:rPr>
                <w:rFonts w:ascii="Times New Roman" w:cs="Times New Roman" w:eastAsia="Times New Roman" w:hAnsi="Times New Roman"/>
                <w:sz w:val="20"/>
                <w:szCs w:val="20"/>
                <w:color w:val="auto"/>
                <w:w w:val="98"/>
              </w:rPr>
              <w:t>30,400</w:t>
            </w:r>
          </w:p>
        </w:tc>
        <w:tc>
          <w:tcPr>
            <w:tcW w:w="0" w:type="dxa"/>
            <w:vAlign w:val="bottom"/>
          </w:tcPr>
          <w:p>
            <w:pPr>
              <w:spacing w:after="0"/>
              <w:rPr>
                <w:sz w:val="1"/>
                <w:szCs w:val="1"/>
                <w:color w:val="auto"/>
              </w:rPr>
            </w:pPr>
          </w:p>
        </w:tc>
      </w:tr>
      <w:tr>
        <w:trPr>
          <w:trHeight w:val="238"/>
        </w:trPr>
        <w:tc>
          <w:tcPr>
            <w:tcW w:w="5600" w:type="dxa"/>
            <w:vAlign w:val="bottom"/>
            <w:tcBorders>
              <w:bottom w:val="single" w:sz="8" w:color="DBDBDB"/>
            </w:tcBorders>
            <w:gridSpan w:val="3"/>
          </w:tcPr>
          <w:p>
            <w:pPr>
              <w:spacing w:after="0"/>
              <w:rPr>
                <w:sz w:val="20"/>
                <w:szCs w:val="20"/>
                <w:color w:val="auto"/>
              </w:rPr>
            </w:pPr>
            <w:r>
              <w:rPr>
                <w:rFonts w:ascii="Times New Roman" w:cs="Times New Roman" w:eastAsia="Times New Roman" w:hAnsi="Times New Roman"/>
                <w:sz w:val="20"/>
                <w:szCs w:val="20"/>
                <w:color w:val="auto"/>
              </w:rPr>
              <w:t>Cancelled/Forfeited</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100" w:type="dxa"/>
            <w:vAlign w:val="bottom"/>
            <w:tcBorders>
              <w:bottom w:val="single" w:sz="8" w:color="DBDBDB"/>
            </w:tcBorders>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120" w:type="dxa"/>
            <w:vAlign w:val="bottom"/>
            <w:tcBorders>
              <w:bottom w:val="single" w:sz="8" w:color="DBDBDB"/>
            </w:tcBorders>
          </w:tcPr>
          <w:p>
            <w:pPr>
              <w:spacing w:after="0"/>
              <w:rPr>
                <w:sz w:val="20"/>
                <w:szCs w:val="20"/>
                <w:color w:val="auto"/>
              </w:rPr>
            </w:pPr>
          </w:p>
        </w:tc>
        <w:tc>
          <w:tcPr>
            <w:tcW w:w="940" w:type="dxa"/>
            <w:vAlign w:val="bottom"/>
            <w:tcBorders>
              <w:bottom w:val="single" w:sz="8" w:color="DBDBDB"/>
            </w:tcBorders>
          </w:tcPr>
          <w:p>
            <w:pPr>
              <w:spacing w:after="0"/>
              <w:rPr>
                <w:sz w:val="20"/>
                <w:szCs w:val="20"/>
                <w:color w:val="auto"/>
              </w:rPr>
            </w:pPr>
          </w:p>
        </w:tc>
        <w:tc>
          <w:tcPr>
            <w:tcW w:w="220" w:type="dxa"/>
            <w:vAlign w:val="bottom"/>
            <w:tcBorders>
              <w:bottom w:val="single" w:sz="8" w:color="DBDBDB"/>
            </w:tcBorders>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960" w:type="dxa"/>
            <w:vAlign w:val="bottom"/>
            <w:tcBorders>
              <w:bottom w:val="single" w:sz="8" w:color="DBDBDB"/>
            </w:tcBorders>
          </w:tcPr>
          <w:p>
            <w:pPr>
              <w:jc w:val="right"/>
              <w:spacing w:after="0"/>
              <w:rPr>
                <w:sz w:val="20"/>
                <w:szCs w:val="20"/>
                <w:color w:val="auto"/>
              </w:rPr>
            </w:pPr>
            <w:r>
              <w:rPr>
                <w:rFonts w:ascii="Times New Roman" w:cs="Times New Roman" w:eastAsia="Times New Roman" w:hAnsi="Times New Roman"/>
                <w:sz w:val="20"/>
                <w:szCs w:val="20"/>
                <w:color w:val="auto"/>
              </w:rPr>
              <w:t>6.21</w:t>
            </w:r>
          </w:p>
        </w:tc>
        <w:tc>
          <w:tcPr>
            <w:tcW w:w="220" w:type="dxa"/>
            <w:vAlign w:val="bottom"/>
            <w:tcBorders>
              <w:bottom w:val="single" w:sz="8" w:color="DBDBDB"/>
            </w:tcBorders>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960" w:type="dxa"/>
            <w:vAlign w:val="bottom"/>
            <w:tcBorders>
              <w:bottom w:val="single" w:sz="8" w:color="DBDBDB"/>
            </w:tcBorders>
          </w:tcPr>
          <w:p>
            <w:pPr>
              <w:ind w:left="500"/>
              <w:spacing w:after="0"/>
              <w:rPr>
                <w:sz w:val="20"/>
                <w:szCs w:val="20"/>
                <w:color w:val="auto"/>
              </w:rPr>
            </w:pPr>
            <w:r>
              <w:rPr>
                <w:rFonts w:ascii="Times New Roman" w:cs="Times New Roman" w:eastAsia="Times New Roman" w:hAnsi="Times New Roman"/>
                <w:sz w:val="20"/>
                <w:szCs w:val="20"/>
                <w:color w:val="auto"/>
                <w:w w:val="97"/>
              </w:rPr>
              <w:t>1,744</w:t>
            </w:r>
          </w:p>
        </w:tc>
        <w:tc>
          <w:tcPr>
            <w:tcW w:w="0" w:type="dxa"/>
            <w:vAlign w:val="bottom"/>
          </w:tcPr>
          <w:p>
            <w:pPr>
              <w:spacing w:after="0"/>
              <w:rPr>
                <w:sz w:val="1"/>
                <w:szCs w:val="1"/>
                <w:color w:val="auto"/>
              </w:rPr>
            </w:pPr>
          </w:p>
        </w:tc>
      </w:tr>
      <w:tr>
        <w:trPr>
          <w:trHeight w:val="275"/>
        </w:trPr>
        <w:tc>
          <w:tcPr>
            <w:tcW w:w="5500" w:type="dxa"/>
            <w:vAlign w:val="bottom"/>
            <w:tcBorders>
              <w:bottom w:val="single" w:sz="8" w:color="DBDBDB"/>
            </w:tcBorders>
            <w:shd w:val="clear" w:color="auto" w:fill="DBDBDB"/>
          </w:tcPr>
          <w:p>
            <w:pPr>
              <w:spacing w:after="0" w:line="218" w:lineRule="exact"/>
              <w:rPr>
                <w:sz w:val="20"/>
                <w:szCs w:val="20"/>
                <w:color w:val="auto"/>
              </w:rPr>
            </w:pPr>
            <w:r>
              <w:rPr>
                <w:rFonts w:ascii="Times New Roman" w:cs="Times New Roman" w:eastAsia="Times New Roman" w:hAnsi="Times New Roman"/>
                <w:sz w:val="20"/>
                <w:szCs w:val="20"/>
                <w:color w:val="auto"/>
              </w:rPr>
              <w:t>Outstanding, December 31, 2025</w:t>
            </w:r>
          </w:p>
        </w:tc>
        <w:tc>
          <w:tcPr>
            <w:tcW w:w="80" w:type="dxa"/>
            <w:vAlign w:val="bottom"/>
            <w:tcBorders>
              <w:bottom w:val="single" w:sz="8" w:color="DBDBDB"/>
            </w:tcBorders>
            <w:shd w:val="clear" w:color="auto" w:fill="DBDBDB"/>
          </w:tcPr>
          <w:p>
            <w:pPr>
              <w:spacing w:after="0"/>
              <w:rPr>
                <w:sz w:val="23"/>
                <w:szCs w:val="23"/>
                <w:color w:val="auto"/>
              </w:rPr>
            </w:pPr>
          </w:p>
        </w:tc>
        <w:tc>
          <w:tcPr>
            <w:tcW w:w="20" w:type="dxa"/>
            <w:vAlign w:val="bottom"/>
            <w:tcBorders>
              <w:bottom w:val="single" w:sz="8" w:color="DBDBDB"/>
            </w:tcBorders>
            <w:shd w:val="clear" w:color="auto" w:fill="DBDBDB"/>
          </w:tcPr>
          <w:p>
            <w:pPr>
              <w:spacing w:after="0"/>
              <w:rPr>
                <w:sz w:val="23"/>
                <w:szCs w:val="23"/>
                <w:color w:val="auto"/>
              </w:rPr>
            </w:pPr>
          </w:p>
        </w:tc>
        <w:tc>
          <w:tcPr>
            <w:tcW w:w="1060" w:type="dxa"/>
            <w:vAlign w:val="bottom"/>
            <w:tcBorders>
              <w:bottom w:val="single" w:sz="8" w:color="auto"/>
            </w:tcBorders>
            <w:shd w:val="clear" w:color="auto" w:fill="DBDBDB"/>
          </w:tcPr>
          <w:p>
            <w:pPr>
              <w:jc w:val="right"/>
              <w:spacing w:after="0" w:line="224" w:lineRule="exact"/>
              <w:rPr>
                <w:sz w:val="20"/>
                <w:szCs w:val="20"/>
                <w:color w:val="auto"/>
              </w:rPr>
            </w:pPr>
            <w:r>
              <w:rPr>
                <w:rFonts w:ascii="Times New Roman" w:cs="Times New Roman" w:eastAsia="Times New Roman" w:hAnsi="Times New Roman"/>
                <w:sz w:val="20"/>
                <w:szCs w:val="20"/>
                <w:color w:val="auto"/>
              </w:rPr>
              <w:t>1,461</w:t>
            </w:r>
          </w:p>
        </w:tc>
        <w:tc>
          <w:tcPr>
            <w:tcW w:w="100" w:type="dxa"/>
            <w:vAlign w:val="bottom"/>
            <w:tcBorders>
              <w:bottom w:val="single" w:sz="8" w:color="DBDBDB"/>
            </w:tcBorders>
            <w:shd w:val="clear" w:color="auto" w:fill="DBDBDB"/>
          </w:tcPr>
          <w:p>
            <w:pPr>
              <w:spacing w:after="0"/>
              <w:rPr>
                <w:sz w:val="23"/>
                <w:szCs w:val="23"/>
                <w:color w:val="auto"/>
              </w:rPr>
            </w:pPr>
          </w:p>
        </w:tc>
        <w:tc>
          <w:tcPr>
            <w:tcW w:w="100" w:type="dxa"/>
            <w:vAlign w:val="bottom"/>
            <w:tcBorders>
              <w:bottom w:val="single" w:sz="8" w:color="DBDBDB"/>
            </w:tcBorders>
            <w:shd w:val="clear" w:color="auto" w:fill="DBDBDB"/>
          </w:tcPr>
          <w:p>
            <w:pPr>
              <w:spacing w:after="0"/>
              <w:rPr>
                <w:sz w:val="23"/>
                <w:szCs w:val="23"/>
                <w:color w:val="auto"/>
              </w:rPr>
            </w:pPr>
          </w:p>
        </w:tc>
        <w:tc>
          <w:tcPr>
            <w:tcW w:w="120" w:type="dxa"/>
            <w:vAlign w:val="bottom"/>
            <w:tcBorders>
              <w:bottom w:val="single" w:sz="8" w:color="DBDBDB"/>
            </w:tcBorders>
            <w:shd w:val="clear" w:color="auto" w:fill="DBDBDB"/>
          </w:tcPr>
          <w:p>
            <w:pPr>
              <w:spacing w:after="0"/>
              <w:rPr>
                <w:sz w:val="23"/>
                <w:szCs w:val="23"/>
                <w:color w:val="auto"/>
              </w:rPr>
            </w:pPr>
          </w:p>
        </w:tc>
        <w:tc>
          <w:tcPr>
            <w:tcW w:w="940" w:type="dxa"/>
            <w:vAlign w:val="bottom"/>
            <w:tcBorders>
              <w:bottom w:val="single" w:sz="8" w:color="DBDBDB"/>
            </w:tcBorders>
            <w:shd w:val="clear" w:color="auto" w:fill="DBDBDB"/>
          </w:tcPr>
          <w:p>
            <w:pPr>
              <w:spacing w:after="0"/>
              <w:rPr>
                <w:sz w:val="23"/>
                <w:szCs w:val="23"/>
                <w:color w:val="auto"/>
              </w:rPr>
            </w:pPr>
          </w:p>
        </w:tc>
        <w:tc>
          <w:tcPr>
            <w:tcW w:w="220" w:type="dxa"/>
            <w:vAlign w:val="bottom"/>
            <w:tcBorders>
              <w:bottom w:val="single" w:sz="8" w:color="DBDBDB"/>
            </w:tcBorders>
            <w:shd w:val="clear" w:color="auto" w:fill="DBDBDB"/>
          </w:tcPr>
          <w:p>
            <w:pPr>
              <w:spacing w:after="0"/>
              <w:rPr>
                <w:sz w:val="23"/>
                <w:szCs w:val="23"/>
                <w:color w:val="auto"/>
              </w:rPr>
            </w:pPr>
          </w:p>
        </w:tc>
        <w:tc>
          <w:tcPr>
            <w:tcW w:w="100" w:type="dxa"/>
            <w:vAlign w:val="bottom"/>
            <w:tcBorders>
              <w:bottom w:val="single" w:sz="8" w:color="DBDBDB"/>
            </w:tcBorders>
            <w:shd w:val="clear" w:color="auto" w:fill="DBDBDB"/>
          </w:tcPr>
          <w:p>
            <w:pPr>
              <w:spacing w:after="0"/>
              <w:rPr>
                <w:sz w:val="23"/>
                <w:szCs w:val="23"/>
                <w:color w:val="auto"/>
              </w:rPr>
            </w:pPr>
          </w:p>
        </w:tc>
        <w:tc>
          <w:tcPr>
            <w:tcW w:w="960" w:type="dxa"/>
            <w:vAlign w:val="bottom"/>
            <w:tcBorders>
              <w:bottom w:val="single" w:sz="8" w:color="DBDBDB"/>
            </w:tcBorders>
            <w:shd w:val="clear" w:color="auto" w:fill="DBDBDB"/>
          </w:tcPr>
          <w:p>
            <w:pPr>
              <w:jc w:val="right"/>
              <w:spacing w:after="0" w:line="218" w:lineRule="exact"/>
              <w:rPr>
                <w:sz w:val="20"/>
                <w:szCs w:val="20"/>
                <w:color w:val="auto"/>
              </w:rPr>
            </w:pPr>
            <w:r>
              <w:rPr>
                <w:rFonts w:ascii="Times New Roman" w:cs="Times New Roman" w:eastAsia="Times New Roman" w:hAnsi="Times New Roman"/>
                <w:sz w:val="20"/>
                <w:szCs w:val="20"/>
                <w:color w:val="auto"/>
              </w:rPr>
              <w:t>8.13</w:t>
            </w:r>
          </w:p>
        </w:tc>
        <w:tc>
          <w:tcPr>
            <w:tcW w:w="220" w:type="dxa"/>
            <w:vAlign w:val="bottom"/>
            <w:tcBorders>
              <w:bottom w:val="single" w:sz="8" w:color="DBDBDB"/>
            </w:tcBorders>
            <w:shd w:val="clear" w:color="auto" w:fill="DBDBDB"/>
          </w:tcPr>
          <w:p>
            <w:pPr>
              <w:spacing w:after="0"/>
              <w:rPr>
                <w:sz w:val="23"/>
                <w:szCs w:val="23"/>
                <w:color w:val="auto"/>
              </w:rPr>
            </w:pPr>
          </w:p>
        </w:tc>
        <w:tc>
          <w:tcPr>
            <w:tcW w:w="100" w:type="dxa"/>
            <w:vAlign w:val="bottom"/>
            <w:tcBorders>
              <w:bottom w:val="single" w:sz="8" w:color="DBDBDB"/>
            </w:tcBorders>
            <w:shd w:val="clear" w:color="auto" w:fill="DBDBDB"/>
          </w:tcPr>
          <w:p>
            <w:pPr>
              <w:spacing w:after="0"/>
              <w:rPr>
                <w:sz w:val="23"/>
                <w:szCs w:val="23"/>
                <w:color w:val="auto"/>
              </w:rPr>
            </w:pPr>
          </w:p>
        </w:tc>
        <w:tc>
          <w:tcPr>
            <w:tcW w:w="960" w:type="dxa"/>
            <w:vAlign w:val="bottom"/>
            <w:tcBorders>
              <w:bottom w:val="single" w:sz="8" w:color="DBDBDB"/>
            </w:tcBorders>
            <w:shd w:val="clear" w:color="auto" w:fill="DBDBDB"/>
          </w:tcPr>
          <w:p>
            <w:pPr>
              <w:ind w:left="400"/>
              <w:spacing w:after="0" w:line="218" w:lineRule="exact"/>
              <w:rPr>
                <w:sz w:val="20"/>
                <w:szCs w:val="20"/>
                <w:color w:val="auto"/>
              </w:rPr>
            </w:pPr>
            <w:r>
              <w:rPr>
                <w:rFonts w:ascii="Times New Roman" w:cs="Times New Roman" w:eastAsia="Times New Roman" w:hAnsi="Times New Roman"/>
                <w:sz w:val="20"/>
                <w:szCs w:val="20"/>
                <w:color w:val="auto"/>
                <w:w w:val="98"/>
              </w:rPr>
              <w:t>50,964</w:t>
            </w:r>
          </w:p>
        </w:tc>
        <w:tc>
          <w:tcPr>
            <w:tcW w:w="0" w:type="dxa"/>
            <w:vAlign w:val="bottom"/>
          </w:tcPr>
          <w:p>
            <w:pPr>
              <w:spacing w:after="0"/>
              <w:rPr>
                <w:sz w:val="1"/>
                <w:szCs w:val="1"/>
                <w:color w:val="auto"/>
              </w:rPr>
            </w:pPr>
          </w:p>
        </w:tc>
      </w:tr>
      <w:tr>
        <w:trPr>
          <w:trHeight w:val="240"/>
        </w:trPr>
        <w:tc>
          <w:tcPr>
            <w:tcW w:w="5500" w:type="dxa"/>
            <w:vAlign w:val="bottom"/>
          </w:tcPr>
          <w:p>
            <w:pPr>
              <w:spacing w:after="0"/>
              <w:rPr>
                <w:sz w:val="20"/>
                <w:szCs w:val="20"/>
                <w:color w:val="auto"/>
              </w:rPr>
            </w:pPr>
            <w:r>
              <w:rPr>
                <w:rFonts w:ascii="Times New Roman" w:cs="Times New Roman" w:eastAsia="Times New Roman" w:hAnsi="Times New Roman"/>
                <w:sz w:val="20"/>
                <w:szCs w:val="20"/>
                <w:color w:val="auto"/>
              </w:rPr>
              <w:t>Vested and expected to vest</w:t>
            </w: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1,461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ind w:left="400"/>
              <w:spacing w:after="0"/>
              <w:rPr>
                <w:sz w:val="20"/>
                <w:szCs w:val="20"/>
                <w:color w:val="auto"/>
              </w:rPr>
            </w:pPr>
            <w:r>
              <w:rPr>
                <w:rFonts w:ascii="Times New Roman" w:cs="Times New Roman" w:eastAsia="Times New Roman" w:hAnsi="Times New Roman"/>
                <w:sz w:val="20"/>
                <w:szCs w:val="20"/>
                <w:color w:val="auto"/>
                <w:w w:val="98"/>
              </w:rPr>
              <w:t>50,964</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ind w:firstLine="706"/>
        <w:spacing w:after="0" w:line="276" w:lineRule="auto"/>
        <w:rPr>
          <w:sz w:val="20"/>
          <w:szCs w:val="20"/>
          <w:color w:val="auto"/>
        </w:rPr>
      </w:pPr>
      <w:r>
        <w:rPr>
          <w:rFonts w:ascii="Times New Roman" w:cs="Times New Roman" w:eastAsia="Times New Roman" w:hAnsi="Times New Roman"/>
          <w:sz w:val="18"/>
          <w:szCs w:val="18"/>
          <w:color w:val="auto"/>
        </w:rPr>
        <w:t>As of December 31, 2025, there was $10.6 million of unrecognized compensation expense related to these RSUs. This expense is expected to be recognized over 2.2 years. For the years ended December 31, 2025, 2024 and 2023, the weighted-average grant value for RSUs are $12.74, $10.73 and $6.15 per share, respectively. The intrinsic values of RSUs exercised are $ 30.4 million, $19.0 million and $7.8 million for the years ended December 31, 2025, 2024 and 2023, respectively. The total fair value of shares vested for RSUs during years ended December 31, 2025, 2024 and 2023 are $7.2 million, $8.1 million and $8.6 million, respectively.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Share-Based Compensation</w:t>
      </w:r>
    </w:p>
    <w:p>
      <w:pPr>
        <w:spacing w:after="0" w:line="216" w:lineRule="exact"/>
        <w:rPr>
          <w:sz w:val="20"/>
          <w:szCs w:val="20"/>
          <w:color w:val="auto"/>
        </w:rPr>
      </w:pPr>
    </w:p>
    <w:p>
      <w:pPr>
        <w:jc w:val="both"/>
        <w:ind w:firstLine="706"/>
        <w:spacing w:after="0" w:line="268" w:lineRule="auto"/>
        <w:rPr>
          <w:sz w:val="20"/>
          <w:szCs w:val="20"/>
          <w:color w:val="auto"/>
        </w:rPr>
      </w:pPr>
      <w:r>
        <w:rPr>
          <w:rFonts w:ascii="Times New Roman" w:cs="Times New Roman" w:eastAsia="Times New Roman" w:hAnsi="Times New Roman"/>
          <w:sz w:val="20"/>
          <w:szCs w:val="20"/>
          <w:color w:val="auto"/>
        </w:rPr>
        <w:t>The Company recognizes compensation expense on a straight-line basis over the applicable vesting term of the award and expense is adjusted as forfeitures occur.</w:t>
      </w:r>
    </w:p>
    <w:p>
      <w:pPr>
        <w:spacing w:after="0" w:line="164" w:lineRule="exact"/>
        <w:rPr>
          <w:sz w:val="20"/>
          <w:szCs w:val="20"/>
          <w:color w:val="auto"/>
        </w:rPr>
      </w:pPr>
    </w:p>
    <w:p>
      <w:pPr>
        <w:jc w:val="both"/>
        <w:ind w:firstLine="706"/>
        <w:spacing w:after="0" w:line="268" w:lineRule="auto"/>
        <w:rPr>
          <w:sz w:val="20"/>
          <w:szCs w:val="20"/>
          <w:color w:val="auto"/>
        </w:rPr>
      </w:pPr>
      <w:r>
        <w:rPr>
          <w:rFonts w:ascii="Times New Roman" w:cs="Times New Roman" w:eastAsia="Times New Roman" w:hAnsi="Times New Roman"/>
          <w:sz w:val="20"/>
          <w:szCs w:val="20"/>
          <w:color w:val="auto"/>
        </w:rPr>
        <w:t>The Company issues RSUs as share-based compensation to employees. The Company estimates the fair value of RSUs at the fair market value on the grant date.</w:t>
      </w:r>
    </w:p>
    <w:p>
      <w:pPr>
        <w:sectPr>
          <w:pgSz w:w="11880" w:h="15480" w:orient="portrait"/>
          <w:cols w:equalWidth="0" w:num="1">
            <w:col w:w="10600"/>
          </w:cols>
          <w:pgMar w:left="640" w:top="410"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ectPr>
          <w:pgSz w:w="11880" w:h="15480" w:orient="portrait"/>
          <w:cols w:equalWidth="0" w:num="1">
            <w:col w:w="10600"/>
          </w:cols>
          <w:pgMar w:left="640" w:top="410" w:right="640" w:bottom="0" w:gutter="0" w:footer="0" w:header="0"/>
          <w:type w:val="continuous"/>
        </w:sectPr>
      </w:pPr>
    </w:p>
    <w:bookmarkStart w:id="88" w:name="page89"/>
    <w:bookmarkEnd w:id="88"/>
    <w:p>
      <w:pPr>
        <w:ind w:left="720"/>
        <w:spacing w:after="0"/>
        <w:rPr>
          <w:sz w:val="20"/>
          <w:szCs w:val="20"/>
          <w:color w:val="auto"/>
        </w:rPr>
      </w:pPr>
      <w:r>
        <w:rPr>
          <w:rFonts w:ascii="Times New Roman" w:cs="Times New Roman" w:eastAsia="Times New Roman" w:hAnsi="Times New Roman"/>
          <w:sz w:val="18"/>
          <w:szCs w:val="18"/>
          <w:color w:val="auto"/>
        </w:rPr>
        <w:t>Employee share-based compensation expenses recognized for the years ended December 31, were as follows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5890" w:type="dxa"/>
            <w:vAlign w:val="bottom"/>
          </w:tcPr>
          <w:p>
            <w:pPr>
              <w:spacing w:after="0"/>
              <w:rPr>
                <w:sz w:val="20"/>
                <w:szCs w:val="20"/>
                <w:color w:val="auto"/>
              </w:rPr>
            </w:pPr>
            <w:r>
              <w:rPr>
                <w:rFonts w:ascii="Times New Roman" w:cs="Times New Roman" w:eastAsia="Times New Roman" w:hAnsi="Times New Roman"/>
                <w:sz w:val="20"/>
                <w:szCs w:val="20"/>
                <w:color w:val="auto"/>
              </w:rPr>
              <w:t>Share-Based compensation - by expense type:</w:t>
            </w:r>
          </w:p>
        </w:tc>
        <w:tc>
          <w:tcPr>
            <w:tcW w:w="9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0" w:type="dxa"/>
            <w:vAlign w:val="bottom"/>
          </w:tcPr>
          <w:p>
            <w:pPr>
              <w:spacing w:after="0"/>
              <w:rPr>
                <w:sz w:val="22"/>
                <w:szCs w:val="22"/>
                <w:color w:val="auto"/>
              </w:rPr>
            </w:pPr>
          </w:p>
        </w:tc>
        <w:tc>
          <w:tcPr>
            <w:tcW w:w="129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450"/>
        </w:trPr>
        <w:tc>
          <w:tcPr>
            <w:tcW w:w="5890" w:type="dxa"/>
            <w:vAlign w:val="bottom"/>
            <w:tcBorders>
              <w:bottom w:val="single" w:sz="8" w:color="DBDBDB"/>
            </w:tcBorders>
          </w:tcPr>
          <w:p>
            <w:pPr>
              <w:spacing w:after="0"/>
              <w:rPr>
                <w:sz w:val="24"/>
                <w:szCs w:val="24"/>
                <w:color w:val="auto"/>
              </w:rPr>
            </w:pPr>
          </w:p>
        </w:tc>
        <w:tc>
          <w:tcPr>
            <w:tcW w:w="90" w:type="dxa"/>
            <w:vAlign w:val="bottom"/>
            <w:tcBorders>
              <w:bottom w:val="single" w:sz="8" w:color="DBDBDB"/>
            </w:tcBorders>
          </w:tcPr>
          <w:p>
            <w:pPr>
              <w:spacing w:after="0"/>
              <w:rPr>
                <w:sz w:val="24"/>
                <w:szCs w:val="24"/>
                <w:color w:val="auto"/>
              </w:rPr>
            </w:pPr>
          </w:p>
        </w:tc>
        <w:tc>
          <w:tcPr>
            <w:tcW w:w="20" w:type="dxa"/>
            <w:vAlign w:val="bottom"/>
            <w:tcBorders>
              <w:bottom w:val="single" w:sz="8" w:color="DBDBDB"/>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20"/>
                <w:szCs w:val="20"/>
                <w:b w:val="1"/>
                <w:bCs w:val="1"/>
                <w:color w:val="auto"/>
              </w:rPr>
              <w:t>2025</w:t>
            </w:r>
          </w:p>
        </w:tc>
        <w:tc>
          <w:tcPr>
            <w:tcW w:w="200" w:type="dxa"/>
            <w:vAlign w:val="bottom"/>
            <w:tcBorders>
              <w:bottom w:val="single" w:sz="8" w:color="DBDBDB"/>
            </w:tcBorders>
          </w:tcPr>
          <w:p>
            <w:pPr>
              <w:spacing w:after="0"/>
              <w:rPr>
                <w:sz w:val="24"/>
                <w:szCs w:val="24"/>
                <w:color w:val="auto"/>
              </w:rPr>
            </w:pPr>
          </w:p>
        </w:tc>
        <w:tc>
          <w:tcPr>
            <w:tcW w:w="20" w:type="dxa"/>
            <w:vAlign w:val="bottom"/>
            <w:tcBorders>
              <w:bottom w:val="single" w:sz="8" w:color="DBDBDB"/>
            </w:tcBorders>
          </w:tcPr>
          <w:p>
            <w:pPr>
              <w:spacing w:after="0"/>
              <w:rPr>
                <w:sz w:val="24"/>
                <w:szCs w:val="24"/>
                <w:color w:val="auto"/>
              </w:rPr>
            </w:pPr>
          </w:p>
        </w:tc>
        <w:tc>
          <w:tcPr>
            <w:tcW w:w="110" w:type="dxa"/>
            <w:vAlign w:val="bottom"/>
            <w:tcBorders>
              <w:bottom w:val="single" w:sz="8" w:color="auto"/>
            </w:tcBorders>
          </w:tcPr>
          <w:p>
            <w:pPr>
              <w:spacing w:after="0"/>
              <w:rPr>
                <w:sz w:val="24"/>
                <w:szCs w:val="24"/>
                <w:color w:val="auto"/>
              </w:rPr>
            </w:pPr>
          </w:p>
        </w:tc>
        <w:tc>
          <w:tcPr>
            <w:tcW w:w="129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20"/>
                <w:szCs w:val="20"/>
                <w:b w:val="1"/>
                <w:bCs w:val="1"/>
                <w:color w:val="auto"/>
              </w:rPr>
              <w:t>2024</w:t>
            </w:r>
          </w:p>
        </w:tc>
        <w:tc>
          <w:tcPr>
            <w:tcW w:w="180" w:type="dxa"/>
            <w:vAlign w:val="bottom"/>
            <w:tcBorders>
              <w:bottom w:val="single" w:sz="8" w:color="DBDBDB"/>
            </w:tcBorders>
          </w:tcPr>
          <w:p>
            <w:pPr>
              <w:spacing w:after="0"/>
              <w:rPr>
                <w:sz w:val="24"/>
                <w:szCs w:val="24"/>
                <w:color w:val="auto"/>
              </w:rPr>
            </w:pPr>
          </w:p>
        </w:tc>
        <w:tc>
          <w:tcPr>
            <w:tcW w:w="20" w:type="dxa"/>
            <w:vAlign w:val="bottom"/>
            <w:tcBorders>
              <w:bottom w:val="single" w:sz="8" w:color="DBDBDB"/>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25"/>
        </w:trPr>
        <w:tc>
          <w:tcPr>
            <w:tcW w:w="5890" w:type="dxa"/>
            <w:vAlign w:val="bottom"/>
            <w:shd w:val="clear" w:color="auto" w:fill="DBDBDB"/>
          </w:tcPr>
          <w:p>
            <w:pPr>
              <w:ind w:left="20"/>
              <w:spacing w:after="0" w:line="220" w:lineRule="exact"/>
              <w:rPr>
                <w:sz w:val="20"/>
                <w:szCs w:val="20"/>
                <w:color w:val="auto"/>
              </w:rPr>
            </w:pPr>
            <w:r>
              <w:rPr>
                <w:rFonts w:ascii="Times New Roman" w:cs="Times New Roman" w:eastAsia="Times New Roman" w:hAnsi="Times New Roman"/>
                <w:sz w:val="20"/>
                <w:szCs w:val="20"/>
                <w:color w:val="auto"/>
              </w:rPr>
              <w:t>Cost of goods sold</w:t>
            </w:r>
          </w:p>
        </w:tc>
        <w:tc>
          <w:tcPr>
            <w:tcW w:w="9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00" w:type="dxa"/>
            <w:vAlign w:val="bottom"/>
            <w:shd w:val="clear" w:color="auto" w:fill="DBDBDB"/>
          </w:tcPr>
          <w:p>
            <w:pPr>
              <w:jc w:val="right"/>
              <w:spacing w:after="0" w:line="225"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280" w:type="dxa"/>
            <w:vAlign w:val="bottom"/>
            <w:shd w:val="clear" w:color="auto" w:fill="DBDBDB"/>
          </w:tcPr>
          <w:p>
            <w:pPr>
              <w:jc w:val="right"/>
              <w:spacing w:after="0" w:line="225" w:lineRule="exact"/>
              <w:rPr>
                <w:sz w:val="20"/>
                <w:szCs w:val="20"/>
                <w:color w:val="auto"/>
              </w:rPr>
            </w:pPr>
            <w:r>
              <w:rPr>
                <w:rFonts w:ascii="Times New Roman" w:cs="Times New Roman" w:eastAsia="Times New Roman" w:hAnsi="Times New Roman"/>
                <w:sz w:val="20"/>
                <w:szCs w:val="20"/>
                <w:color w:val="auto"/>
              </w:rPr>
              <w:t>361</w:t>
            </w:r>
          </w:p>
        </w:tc>
        <w:tc>
          <w:tcPr>
            <w:tcW w:w="2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10" w:type="dxa"/>
            <w:vAlign w:val="bottom"/>
            <w:shd w:val="clear" w:color="auto" w:fill="DBDBDB"/>
          </w:tcPr>
          <w:p>
            <w:pPr>
              <w:jc w:val="right"/>
              <w:spacing w:after="0" w:line="225"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290" w:type="dxa"/>
            <w:vAlign w:val="bottom"/>
            <w:shd w:val="clear" w:color="auto" w:fill="DBDBDB"/>
          </w:tcPr>
          <w:p>
            <w:pPr>
              <w:jc w:val="right"/>
              <w:spacing w:after="0" w:line="225" w:lineRule="exact"/>
              <w:rPr>
                <w:sz w:val="20"/>
                <w:szCs w:val="20"/>
                <w:color w:val="auto"/>
              </w:rPr>
            </w:pPr>
            <w:r>
              <w:rPr>
                <w:rFonts w:ascii="Times New Roman" w:cs="Times New Roman" w:eastAsia="Times New Roman" w:hAnsi="Times New Roman"/>
                <w:sz w:val="20"/>
                <w:szCs w:val="20"/>
                <w:color w:val="auto"/>
              </w:rPr>
              <w:t>473</w:t>
            </w:r>
          </w:p>
        </w:tc>
        <w:tc>
          <w:tcPr>
            <w:tcW w:w="1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00" w:type="dxa"/>
            <w:vAlign w:val="bottom"/>
            <w:shd w:val="clear" w:color="auto" w:fill="DBDBDB"/>
          </w:tcPr>
          <w:p>
            <w:pPr>
              <w:jc w:val="right"/>
              <w:spacing w:after="0" w:line="225"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300" w:type="dxa"/>
            <w:vAlign w:val="bottom"/>
            <w:shd w:val="clear" w:color="auto" w:fill="DBDBDB"/>
          </w:tcPr>
          <w:p>
            <w:pPr>
              <w:jc w:val="right"/>
              <w:spacing w:after="0" w:line="225" w:lineRule="exact"/>
              <w:rPr>
                <w:sz w:val="20"/>
                <w:szCs w:val="20"/>
                <w:color w:val="auto"/>
              </w:rPr>
            </w:pPr>
            <w:r>
              <w:rPr>
                <w:rFonts w:ascii="Times New Roman" w:cs="Times New Roman" w:eastAsia="Times New Roman" w:hAnsi="Times New Roman"/>
                <w:sz w:val="20"/>
                <w:szCs w:val="20"/>
                <w:color w:val="auto"/>
              </w:rPr>
              <w:t>524</w:t>
            </w:r>
          </w:p>
        </w:tc>
      </w:tr>
      <w:tr>
        <w:trPr>
          <w:trHeight w:val="235"/>
        </w:trPr>
        <w:tc>
          <w:tcPr>
            <w:tcW w:w="5890" w:type="dxa"/>
            <w:vAlign w:val="bottom"/>
            <w:tcBorders>
              <w:bottom w:val="single" w:sz="8" w:color="DBDBDB"/>
            </w:tcBorders>
          </w:tcPr>
          <w:p>
            <w:pPr>
              <w:ind w:left="20"/>
              <w:spacing w:after="0"/>
              <w:rPr>
                <w:sz w:val="20"/>
                <w:szCs w:val="20"/>
                <w:color w:val="auto"/>
              </w:rPr>
            </w:pPr>
            <w:r>
              <w:rPr>
                <w:rFonts w:ascii="Times New Roman" w:cs="Times New Roman" w:eastAsia="Times New Roman" w:hAnsi="Times New Roman"/>
                <w:sz w:val="20"/>
                <w:szCs w:val="20"/>
                <w:color w:val="auto"/>
              </w:rPr>
              <w:t>Research and development</w:t>
            </w:r>
          </w:p>
        </w:tc>
        <w:tc>
          <w:tcPr>
            <w:tcW w:w="90" w:type="dxa"/>
            <w:vAlign w:val="bottom"/>
            <w:tcBorders>
              <w:bottom w:val="single" w:sz="8" w:color="DBDBDB"/>
            </w:tcBorders>
          </w:tcPr>
          <w:p>
            <w:pPr>
              <w:spacing w:after="0"/>
              <w:rPr>
                <w:sz w:val="20"/>
                <w:szCs w:val="20"/>
                <w:color w:val="auto"/>
              </w:rPr>
            </w:pPr>
          </w:p>
        </w:tc>
        <w:tc>
          <w:tcPr>
            <w:tcW w:w="20" w:type="dxa"/>
            <w:vAlign w:val="bottom"/>
            <w:tcBorders>
              <w:bottom w:val="single" w:sz="8" w:color="DBDBDB"/>
            </w:tcBorders>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1280" w:type="dxa"/>
            <w:vAlign w:val="bottom"/>
            <w:tcBorders>
              <w:bottom w:val="single" w:sz="8" w:color="DBDBDB"/>
            </w:tcBorders>
          </w:tcPr>
          <w:p>
            <w:pPr>
              <w:jc w:val="right"/>
              <w:spacing w:after="0"/>
              <w:rPr>
                <w:sz w:val="20"/>
                <w:szCs w:val="20"/>
                <w:color w:val="auto"/>
              </w:rPr>
            </w:pPr>
            <w:r>
              <w:rPr>
                <w:rFonts w:ascii="Times New Roman" w:cs="Times New Roman" w:eastAsia="Times New Roman" w:hAnsi="Times New Roman"/>
                <w:sz w:val="20"/>
                <w:szCs w:val="20"/>
                <w:color w:val="auto"/>
              </w:rPr>
              <w:t>1,193</w:t>
            </w:r>
          </w:p>
        </w:tc>
        <w:tc>
          <w:tcPr>
            <w:tcW w:w="200" w:type="dxa"/>
            <w:vAlign w:val="bottom"/>
            <w:tcBorders>
              <w:bottom w:val="single" w:sz="8" w:color="DBDBDB"/>
            </w:tcBorders>
          </w:tcPr>
          <w:p>
            <w:pPr>
              <w:spacing w:after="0"/>
              <w:rPr>
                <w:sz w:val="20"/>
                <w:szCs w:val="20"/>
                <w:color w:val="auto"/>
              </w:rPr>
            </w:pPr>
          </w:p>
        </w:tc>
        <w:tc>
          <w:tcPr>
            <w:tcW w:w="20" w:type="dxa"/>
            <w:vAlign w:val="bottom"/>
            <w:tcBorders>
              <w:bottom w:val="single" w:sz="8" w:color="DBDBDB"/>
            </w:tcBorders>
          </w:tcPr>
          <w:p>
            <w:pPr>
              <w:spacing w:after="0"/>
              <w:rPr>
                <w:sz w:val="20"/>
                <w:szCs w:val="20"/>
                <w:color w:val="auto"/>
              </w:rPr>
            </w:pPr>
          </w:p>
        </w:tc>
        <w:tc>
          <w:tcPr>
            <w:tcW w:w="110" w:type="dxa"/>
            <w:vAlign w:val="bottom"/>
            <w:tcBorders>
              <w:bottom w:val="single" w:sz="8" w:color="DBDBDB"/>
            </w:tcBorders>
          </w:tcPr>
          <w:p>
            <w:pPr>
              <w:spacing w:after="0"/>
              <w:rPr>
                <w:sz w:val="20"/>
                <w:szCs w:val="20"/>
                <w:color w:val="auto"/>
              </w:rPr>
            </w:pPr>
          </w:p>
        </w:tc>
        <w:tc>
          <w:tcPr>
            <w:tcW w:w="1290" w:type="dxa"/>
            <w:vAlign w:val="bottom"/>
            <w:tcBorders>
              <w:bottom w:val="single" w:sz="8" w:color="DBDBDB"/>
            </w:tcBorders>
          </w:tcPr>
          <w:p>
            <w:pPr>
              <w:jc w:val="right"/>
              <w:spacing w:after="0"/>
              <w:rPr>
                <w:sz w:val="20"/>
                <w:szCs w:val="20"/>
                <w:color w:val="auto"/>
              </w:rPr>
            </w:pPr>
            <w:r>
              <w:rPr>
                <w:rFonts w:ascii="Times New Roman" w:cs="Times New Roman" w:eastAsia="Times New Roman" w:hAnsi="Times New Roman"/>
                <w:sz w:val="20"/>
                <w:szCs w:val="20"/>
                <w:color w:val="auto"/>
              </w:rPr>
              <w:t>1,455</w:t>
            </w:r>
          </w:p>
        </w:tc>
        <w:tc>
          <w:tcPr>
            <w:tcW w:w="180" w:type="dxa"/>
            <w:vAlign w:val="bottom"/>
            <w:tcBorders>
              <w:bottom w:val="single" w:sz="8" w:color="DBDBDB"/>
            </w:tcBorders>
          </w:tcPr>
          <w:p>
            <w:pPr>
              <w:spacing w:after="0"/>
              <w:rPr>
                <w:sz w:val="20"/>
                <w:szCs w:val="20"/>
                <w:color w:val="auto"/>
              </w:rPr>
            </w:pPr>
          </w:p>
        </w:tc>
        <w:tc>
          <w:tcPr>
            <w:tcW w:w="20" w:type="dxa"/>
            <w:vAlign w:val="bottom"/>
            <w:tcBorders>
              <w:bottom w:val="single" w:sz="8" w:color="DBDBDB"/>
            </w:tcBorders>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1300" w:type="dxa"/>
            <w:vAlign w:val="bottom"/>
            <w:tcBorders>
              <w:bottom w:val="single" w:sz="8" w:color="DBDBDB"/>
            </w:tcBorders>
          </w:tcPr>
          <w:p>
            <w:pPr>
              <w:jc w:val="right"/>
              <w:spacing w:after="0"/>
              <w:rPr>
                <w:sz w:val="20"/>
                <w:szCs w:val="20"/>
                <w:color w:val="auto"/>
              </w:rPr>
            </w:pPr>
            <w:r>
              <w:rPr>
                <w:rFonts w:ascii="Times New Roman" w:cs="Times New Roman" w:eastAsia="Times New Roman" w:hAnsi="Times New Roman"/>
                <w:sz w:val="20"/>
                <w:szCs w:val="20"/>
                <w:color w:val="auto"/>
              </w:rPr>
              <w:t>1,492</w:t>
            </w:r>
          </w:p>
        </w:tc>
      </w:tr>
      <w:tr>
        <w:trPr>
          <w:trHeight w:val="215"/>
        </w:trPr>
        <w:tc>
          <w:tcPr>
            <w:tcW w:w="5890" w:type="dxa"/>
            <w:vAlign w:val="bottom"/>
            <w:shd w:val="clear" w:color="auto" w:fill="DBDBDB"/>
          </w:tcPr>
          <w:p>
            <w:pPr>
              <w:ind w:left="20"/>
              <w:spacing w:after="0" w:line="210" w:lineRule="exact"/>
              <w:rPr>
                <w:sz w:val="20"/>
                <w:szCs w:val="20"/>
                <w:color w:val="auto"/>
              </w:rPr>
            </w:pPr>
            <w:r>
              <w:rPr>
                <w:rFonts w:ascii="Times New Roman" w:cs="Times New Roman" w:eastAsia="Times New Roman" w:hAnsi="Times New Roman"/>
                <w:sz w:val="20"/>
                <w:szCs w:val="20"/>
                <w:color w:val="auto"/>
              </w:rPr>
              <w:t>Sales and marketing</w:t>
            </w:r>
          </w:p>
        </w:tc>
        <w:tc>
          <w:tcPr>
            <w:tcW w:w="90" w:type="dxa"/>
            <w:vAlign w:val="bottom"/>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line="210" w:lineRule="exact"/>
              <w:rPr>
                <w:sz w:val="20"/>
                <w:szCs w:val="20"/>
                <w:color w:val="auto"/>
              </w:rPr>
            </w:pPr>
            <w:r>
              <w:rPr>
                <w:rFonts w:ascii="Times New Roman" w:cs="Times New Roman" w:eastAsia="Times New Roman" w:hAnsi="Times New Roman"/>
                <w:sz w:val="20"/>
                <w:szCs w:val="20"/>
                <w:color w:val="auto"/>
              </w:rPr>
              <w:t>1,457</w:t>
            </w:r>
          </w:p>
        </w:tc>
        <w:tc>
          <w:tcPr>
            <w:tcW w:w="200" w:type="dxa"/>
            <w:vAlign w:val="bottom"/>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110" w:type="dxa"/>
            <w:vAlign w:val="bottom"/>
            <w:shd w:val="clear" w:color="auto" w:fill="DBDBDB"/>
          </w:tcPr>
          <w:p>
            <w:pPr>
              <w:spacing w:after="0"/>
              <w:rPr>
                <w:sz w:val="18"/>
                <w:szCs w:val="18"/>
                <w:color w:val="auto"/>
              </w:rPr>
            </w:pPr>
          </w:p>
        </w:tc>
        <w:tc>
          <w:tcPr>
            <w:tcW w:w="1290" w:type="dxa"/>
            <w:vAlign w:val="bottom"/>
            <w:shd w:val="clear" w:color="auto" w:fill="DBDBDB"/>
          </w:tcPr>
          <w:p>
            <w:pPr>
              <w:jc w:val="right"/>
              <w:spacing w:after="0" w:line="210" w:lineRule="exact"/>
              <w:rPr>
                <w:sz w:val="20"/>
                <w:szCs w:val="20"/>
                <w:color w:val="auto"/>
              </w:rPr>
            </w:pPr>
            <w:r>
              <w:rPr>
                <w:rFonts w:ascii="Times New Roman" w:cs="Times New Roman" w:eastAsia="Times New Roman" w:hAnsi="Times New Roman"/>
                <w:sz w:val="20"/>
                <w:szCs w:val="20"/>
                <w:color w:val="auto"/>
              </w:rPr>
              <w:t>1,512</w:t>
            </w:r>
          </w:p>
        </w:tc>
        <w:tc>
          <w:tcPr>
            <w:tcW w:w="180" w:type="dxa"/>
            <w:vAlign w:val="bottom"/>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line="210" w:lineRule="exact"/>
              <w:rPr>
                <w:sz w:val="20"/>
                <w:szCs w:val="20"/>
                <w:color w:val="auto"/>
              </w:rPr>
            </w:pPr>
            <w:r>
              <w:rPr>
                <w:rFonts w:ascii="Times New Roman" w:cs="Times New Roman" w:eastAsia="Times New Roman" w:hAnsi="Times New Roman"/>
                <w:sz w:val="20"/>
                <w:szCs w:val="20"/>
                <w:color w:val="auto"/>
              </w:rPr>
              <w:t>1,110</w:t>
            </w:r>
          </w:p>
        </w:tc>
      </w:tr>
      <w:tr>
        <w:trPr>
          <w:trHeight w:val="238"/>
        </w:trPr>
        <w:tc>
          <w:tcPr>
            <w:tcW w:w="5890" w:type="dxa"/>
            <w:vAlign w:val="bottom"/>
            <w:tcBorders>
              <w:bottom w:val="single" w:sz="8" w:color="DBDBDB"/>
            </w:tcBorders>
          </w:tcPr>
          <w:p>
            <w:pPr>
              <w:ind w:left="2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90" w:type="dxa"/>
            <w:vAlign w:val="bottom"/>
            <w:tcBorders>
              <w:bottom w:val="single" w:sz="8" w:color="DBDBDB"/>
            </w:tcBorders>
          </w:tcPr>
          <w:p>
            <w:pPr>
              <w:spacing w:after="0"/>
              <w:rPr>
                <w:sz w:val="20"/>
                <w:szCs w:val="20"/>
                <w:color w:val="auto"/>
              </w:rPr>
            </w:pPr>
          </w:p>
        </w:tc>
        <w:tc>
          <w:tcPr>
            <w:tcW w:w="20" w:type="dxa"/>
            <w:vAlign w:val="bottom"/>
            <w:tcBorders>
              <w:bottom w:val="single" w:sz="8" w:color="DBDBDB"/>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8,699</w:t>
            </w:r>
          </w:p>
        </w:tc>
        <w:tc>
          <w:tcPr>
            <w:tcW w:w="200" w:type="dxa"/>
            <w:vAlign w:val="bottom"/>
            <w:tcBorders>
              <w:bottom w:val="single" w:sz="8" w:color="DBDBDB"/>
            </w:tcBorders>
          </w:tcPr>
          <w:p>
            <w:pPr>
              <w:spacing w:after="0"/>
              <w:rPr>
                <w:sz w:val="20"/>
                <w:szCs w:val="20"/>
                <w:color w:val="auto"/>
              </w:rPr>
            </w:pPr>
          </w:p>
        </w:tc>
        <w:tc>
          <w:tcPr>
            <w:tcW w:w="20" w:type="dxa"/>
            <w:vAlign w:val="bottom"/>
            <w:tcBorders>
              <w:bottom w:val="single" w:sz="8" w:color="DBDBDB"/>
            </w:tcBorders>
          </w:tcPr>
          <w:p>
            <w:pPr>
              <w:spacing w:after="0"/>
              <w:rPr>
                <w:sz w:val="20"/>
                <w:szCs w:val="20"/>
                <w:color w:val="auto"/>
              </w:rPr>
            </w:pPr>
          </w:p>
        </w:tc>
        <w:tc>
          <w:tcPr>
            <w:tcW w:w="110" w:type="dxa"/>
            <w:vAlign w:val="bottom"/>
            <w:tcBorders>
              <w:bottom w:val="single" w:sz="8" w:color="auto"/>
            </w:tcBorders>
          </w:tcPr>
          <w:p>
            <w:pPr>
              <w:spacing w:after="0"/>
              <w:rPr>
                <w:sz w:val="20"/>
                <w:szCs w:val="20"/>
                <w:color w:val="auto"/>
              </w:rPr>
            </w:pPr>
          </w:p>
        </w:tc>
        <w:tc>
          <w:tcPr>
            <w:tcW w:w="129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11,350</w:t>
            </w:r>
          </w:p>
        </w:tc>
        <w:tc>
          <w:tcPr>
            <w:tcW w:w="180" w:type="dxa"/>
            <w:vAlign w:val="bottom"/>
            <w:tcBorders>
              <w:bottom w:val="single" w:sz="8" w:color="DBDBDB"/>
            </w:tcBorders>
          </w:tcPr>
          <w:p>
            <w:pPr>
              <w:spacing w:after="0"/>
              <w:rPr>
                <w:sz w:val="20"/>
                <w:szCs w:val="20"/>
                <w:color w:val="auto"/>
              </w:rPr>
            </w:pPr>
          </w:p>
        </w:tc>
        <w:tc>
          <w:tcPr>
            <w:tcW w:w="20" w:type="dxa"/>
            <w:vAlign w:val="bottom"/>
            <w:tcBorders>
              <w:bottom w:val="single" w:sz="8" w:color="DBDBDB"/>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8,758</w:t>
            </w:r>
          </w:p>
        </w:tc>
      </w:tr>
      <w:tr>
        <w:trPr>
          <w:trHeight w:val="278"/>
        </w:trPr>
        <w:tc>
          <w:tcPr>
            <w:tcW w:w="5890" w:type="dxa"/>
            <w:vAlign w:val="bottom"/>
            <w:tcBorders>
              <w:bottom w:val="single" w:sz="8" w:color="DBDBDB"/>
            </w:tcBorders>
            <w:shd w:val="clear" w:color="auto" w:fill="DBDBDB"/>
          </w:tcPr>
          <w:p>
            <w:pPr>
              <w:ind w:left="20"/>
              <w:spacing w:after="0" w:line="220" w:lineRule="exact"/>
              <w:rPr>
                <w:sz w:val="20"/>
                <w:szCs w:val="20"/>
                <w:color w:val="auto"/>
              </w:rPr>
            </w:pPr>
            <w:r>
              <w:rPr>
                <w:rFonts w:ascii="Times New Roman" w:cs="Times New Roman" w:eastAsia="Times New Roman" w:hAnsi="Times New Roman"/>
                <w:sz w:val="20"/>
                <w:szCs w:val="20"/>
                <w:color w:val="auto"/>
              </w:rPr>
              <w:t>Total share-based compensation expense</w:t>
            </w:r>
          </w:p>
        </w:tc>
        <w:tc>
          <w:tcPr>
            <w:tcW w:w="90" w:type="dxa"/>
            <w:vAlign w:val="bottom"/>
            <w:tcBorders>
              <w:bottom w:val="single" w:sz="8" w:color="DBDBDB"/>
            </w:tcBorders>
            <w:shd w:val="clear" w:color="auto" w:fill="DBDBDB"/>
          </w:tcPr>
          <w:p>
            <w:pPr>
              <w:spacing w:after="0"/>
              <w:rPr>
                <w:sz w:val="24"/>
                <w:szCs w:val="24"/>
                <w:color w:val="auto"/>
              </w:rPr>
            </w:pPr>
          </w:p>
        </w:tc>
        <w:tc>
          <w:tcPr>
            <w:tcW w:w="20" w:type="dxa"/>
            <w:vAlign w:val="bottom"/>
            <w:tcBorders>
              <w:bottom w:val="single" w:sz="8" w:color="auto"/>
            </w:tcBorders>
            <w:shd w:val="clear" w:color="auto" w:fill="DBDBDB"/>
          </w:tcPr>
          <w:p>
            <w:pPr>
              <w:spacing w:after="0"/>
              <w:rPr>
                <w:sz w:val="24"/>
                <w:szCs w:val="24"/>
                <w:color w:val="auto"/>
              </w:rPr>
            </w:pPr>
          </w:p>
        </w:tc>
        <w:tc>
          <w:tcPr>
            <w:tcW w:w="100" w:type="dxa"/>
            <w:vAlign w:val="bottom"/>
            <w:tcBorders>
              <w:bottom w:val="single" w:sz="8" w:color="auto"/>
            </w:tcBorders>
            <w:shd w:val="clear" w:color="auto" w:fill="DBDBDB"/>
          </w:tcPr>
          <w:p>
            <w:pPr>
              <w:jc w:val="right"/>
              <w:spacing w:after="0" w:line="226"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280" w:type="dxa"/>
            <w:vAlign w:val="bottom"/>
            <w:tcBorders>
              <w:bottom w:val="single" w:sz="8" w:color="auto"/>
            </w:tcBorders>
            <w:shd w:val="clear" w:color="auto" w:fill="DBDBDB"/>
          </w:tcPr>
          <w:p>
            <w:pPr>
              <w:jc w:val="right"/>
              <w:spacing w:after="0" w:line="226" w:lineRule="exact"/>
              <w:rPr>
                <w:sz w:val="20"/>
                <w:szCs w:val="20"/>
                <w:color w:val="auto"/>
              </w:rPr>
            </w:pPr>
            <w:r>
              <w:rPr>
                <w:rFonts w:ascii="Times New Roman" w:cs="Times New Roman" w:eastAsia="Times New Roman" w:hAnsi="Times New Roman"/>
                <w:sz w:val="20"/>
                <w:szCs w:val="20"/>
                <w:color w:val="auto"/>
              </w:rPr>
              <w:t>11,710</w:t>
            </w:r>
          </w:p>
        </w:tc>
        <w:tc>
          <w:tcPr>
            <w:tcW w:w="200" w:type="dxa"/>
            <w:vAlign w:val="bottom"/>
            <w:tcBorders>
              <w:bottom w:val="single" w:sz="8" w:color="DBDBDB"/>
            </w:tcBorders>
            <w:shd w:val="clear" w:color="auto" w:fill="DBDBDB"/>
          </w:tcPr>
          <w:p>
            <w:pPr>
              <w:spacing w:after="0"/>
              <w:rPr>
                <w:sz w:val="24"/>
                <w:szCs w:val="24"/>
                <w:color w:val="auto"/>
              </w:rPr>
            </w:pPr>
          </w:p>
        </w:tc>
        <w:tc>
          <w:tcPr>
            <w:tcW w:w="20" w:type="dxa"/>
            <w:vAlign w:val="bottom"/>
            <w:tcBorders>
              <w:bottom w:val="single" w:sz="8" w:color="auto"/>
            </w:tcBorders>
            <w:shd w:val="clear" w:color="auto" w:fill="DBDBDB"/>
          </w:tcPr>
          <w:p>
            <w:pPr>
              <w:spacing w:after="0"/>
              <w:rPr>
                <w:sz w:val="24"/>
                <w:szCs w:val="24"/>
                <w:color w:val="auto"/>
              </w:rPr>
            </w:pPr>
          </w:p>
        </w:tc>
        <w:tc>
          <w:tcPr>
            <w:tcW w:w="110" w:type="dxa"/>
            <w:vAlign w:val="bottom"/>
            <w:tcBorders>
              <w:bottom w:val="single" w:sz="8" w:color="auto"/>
            </w:tcBorders>
            <w:shd w:val="clear" w:color="auto" w:fill="DBDBDB"/>
          </w:tcPr>
          <w:p>
            <w:pPr>
              <w:jc w:val="right"/>
              <w:spacing w:after="0" w:line="226"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290" w:type="dxa"/>
            <w:vAlign w:val="bottom"/>
            <w:tcBorders>
              <w:bottom w:val="single" w:sz="8" w:color="auto"/>
            </w:tcBorders>
            <w:shd w:val="clear" w:color="auto" w:fill="DBDBDB"/>
          </w:tcPr>
          <w:p>
            <w:pPr>
              <w:jc w:val="right"/>
              <w:spacing w:after="0" w:line="226" w:lineRule="exact"/>
              <w:rPr>
                <w:sz w:val="20"/>
                <w:szCs w:val="20"/>
                <w:color w:val="auto"/>
              </w:rPr>
            </w:pPr>
            <w:r>
              <w:rPr>
                <w:rFonts w:ascii="Times New Roman" w:cs="Times New Roman" w:eastAsia="Times New Roman" w:hAnsi="Times New Roman"/>
                <w:sz w:val="20"/>
                <w:szCs w:val="20"/>
                <w:color w:val="auto"/>
              </w:rPr>
              <w:t>14,790</w:t>
            </w:r>
          </w:p>
        </w:tc>
        <w:tc>
          <w:tcPr>
            <w:tcW w:w="180" w:type="dxa"/>
            <w:vAlign w:val="bottom"/>
            <w:tcBorders>
              <w:bottom w:val="single" w:sz="8" w:color="DBDBDB"/>
            </w:tcBorders>
            <w:shd w:val="clear" w:color="auto" w:fill="DBDBDB"/>
          </w:tcPr>
          <w:p>
            <w:pPr>
              <w:spacing w:after="0"/>
              <w:rPr>
                <w:sz w:val="24"/>
                <w:szCs w:val="24"/>
                <w:color w:val="auto"/>
              </w:rPr>
            </w:pPr>
          </w:p>
        </w:tc>
        <w:tc>
          <w:tcPr>
            <w:tcW w:w="20" w:type="dxa"/>
            <w:vAlign w:val="bottom"/>
            <w:tcBorders>
              <w:bottom w:val="single" w:sz="8" w:color="auto"/>
            </w:tcBorders>
            <w:shd w:val="clear" w:color="auto" w:fill="DBDBDB"/>
          </w:tcPr>
          <w:p>
            <w:pPr>
              <w:spacing w:after="0"/>
              <w:rPr>
                <w:sz w:val="24"/>
                <w:szCs w:val="24"/>
                <w:color w:val="auto"/>
              </w:rPr>
            </w:pPr>
          </w:p>
        </w:tc>
        <w:tc>
          <w:tcPr>
            <w:tcW w:w="100" w:type="dxa"/>
            <w:vAlign w:val="bottom"/>
            <w:tcBorders>
              <w:bottom w:val="single" w:sz="8" w:color="auto"/>
            </w:tcBorders>
            <w:shd w:val="clear" w:color="auto" w:fill="DBDBDB"/>
          </w:tcPr>
          <w:p>
            <w:pPr>
              <w:jc w:val="right"/>
              <w:spacing w:after="0" w:line="226"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300" w:type="dxa"/>
            <w:vAlign w:val="bottom"/>
            <w:tcBorders>
              <w:bottom w:val="single" w:sz="8" w:color="auto"/>
            </w:tcBorders>
            <w:shd w:val="clear" w:color="auto" w:fill="DBDBDB"/>
          </w:tcPr>
          <w:p>
            <w:pPr>
              <w:jc w:val="right"/>
              <w:spacing w:after="0" w:line="226" w:lineRule="exact"/>
              <w:rPr>
                <w:sz w:val="20"/>
                <w:szCs w:val="20"/>
                <w:color w:val="auto"/>
              </w:rPr>
            </w:pPr>
            <w:r>
              <w:rPr>
                <w:rFonts w:ascii="Times New Roman" w:cs="Times New Roman" w:eastAsia="Times New Roman" w:hAnsi="Times New Roman"/>
                <w:sz w:val="20"/>
                <w:szCs w:val="20"/>
                <w:color w:val="auto"/>
              </w:rPr>
              <w:t>11,884</w:t>
            </w: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Q—STOCKHOLDERS’ EQUITY</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Common Stock</w:t>
      </w:r>
    </w:p>
    <w:p>
      <w:pPr>
        <w:spacing w:after="0" w:line="218" w:lineRule="exact"/>
        <w:rPr>
          <w:sz w:val="20"/>
          <w:szCs w:val="20"/>
          <w:color w:val="auto"/>
        </w:rPr>
      </w:pPr>
    </w:p>
    <w:p>
      <w:pPr>
        <w:jc w:val="both"/>
        <w:ind w:firstLine="706"/>
        <w:spacing w:after="0" w:line="268" w:lineRule="auto"/>
        <w:rPr>
          <w:sz w:val="20"/>
          <w:szCs w:val="20"/>
          <w:color w:val="auto"/>
        </w:rPr>
      </w:pPr>
      <w:r>
        <w:rPr>
          <w:rFonts w:ascii="Times New Roman" w:cs="Times New Roman" w:eastAsia="Times New Roman" w:hAnsi="Times New Roman"/>
          <w:sz w:val="20"/>
          <w:szCs w:val="20"/>
          <w:color w:val="auto"/>
        </w:rPr>
        <w:t>The Company’s Restated Certificate of Incorporation authorizes the issuance of up to 120,000,000 shares of common stock, all of which have been designated voting common stock.</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Preferred Stock</w:t>
      </w:r>
    </w:p>
    <w:p>
      <w:pPr>
        <w:spacing w:after="0" w:line="21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Company’s Restated Certificate of Incorporation authorizes the issuance of up to 5,000,000 shares of preferred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Public Offerings of Common Stock</w:t>
      </w:r>
    </w:p>
    <w:p>
      <w:pPr>
        <w:spacing w:after="0" w:line="21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On December 18, 2024, the Company filed an automatic shelf registration statement on Form S-3ASR (Registration File No.</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333-283905) with the Securities and Exchange Commission, which became effective immediately upon filing.</w:t>
      </w:r>
    </w:p>
    <w:p>
      <w:pPr>
        <w:spacing w:after="0" w:line="222" w:lineRule="exact"/>
        <w:rPr>
          <w:sz w:val="20"/>
          <w:szCs w:val="20"/>
          <w:color w:val="auto"/>
        </w:rPr>
      </w:pPr>
    </w:p>
    <w:p>
      <w:pPr>
        <w:jc w:val="both"/>
        <w:ind w:firstLine="705"/>
        <w:spacing w:after="0" w:line="243" w:lineRule="auto"/>
        <w:rPr>
          <w:sz w:val="20"/>
          <w:szCs w:val="20"/>
          <w:color w:val="auto"/>
        </w:rPr>
      </w:pPr>
      <w:r>
        <w:rPr>
          <w:rFonts w:ascii="Times New Roman" w:cs="Times New Roman" w:eastAsia="Times New Roman" w:hAnsi="Times New Roman"/>
          <w:sz w:val="20"/>
          <w:szCs w:val="20"/>
          <w:color w:val="auto"/>
        </w:rPr>
        <w:t>On February 28, 2025, the Company entered into an Equity Distribution Agreement with Raymond James &amp; Associates ("Raymond James") pursuant to which the Company could issue and sell shares of the Company’s common stock, having an aggregate offering price of up to $100 million (the "First ATM Offering"), from time to time through Raymond James. On April 8, 2025, the Company completed the First ATM Offering and sold approximately 5.7 million shares at a weighted average price of $17.71 per share, providing proceeds of approximately $98 million, net of expenses and underwriting discounts and commissions.</w:t>
      </w:r>
    </w:p>
    <w:p>
      <w:pPr>
        <w:spacing w:after="0" w:line="189" w:lineRule="exact"/>
        <w:rPr>
          <w:sz w:val="20"/>
          <w:szCs w:val="20"/>
          <w:color w:val="auto"/>
        </w:rPr>
      </w:pPr>
    </w:p>
    <w:p>
      <w:pPr>
        <w:jc w:val="both"/>
        <w:ind w:firstLine="705"/>
        <w:spacing w:after="0" w:line="241" w:lineRule="auto"/>
        <w:rPr>
          <w:sz w:val="20"/>
          <w:szCs w:val="20"/>
          <w:color w:val="auto"/>
        </w:rPr>
      </w:pPr>
      <w:r>
        <w:rPr>
          <w:rFonts w:ascii="Times New Roman" w:cs="Times New Roman" w:eastAsia="Times New Roman" w:hAnsi="Times New Roman"/>
          <w:sz w:val="20"/>
          <w:szCs w:val="20"/>
          <w:color w:val="auto"/>
        </w:rPr>
        <w:t>On May 28, 2025, the Company entered into an Equity Distribution Agreement with Raymond James and Needham &amp; Company, LLC (collectively, the "Sales Agents" and each, a "Sales Agent") pursuant to which the Company could issue and sell shares of the Company’s common stock having an aggregate offering price of up to $100 million (the "Second ATM Offering"), from time to time through the Sales Agents. On June 18, 2025, the Company completed the Second ATM Offering and sold approximately 5.7 million shares at a weighted average price of $17.46 per share, providing proceeds of approximately $98 million, net of expenses and underwriting discounts and commissions.</w:t>
      </w:r>
    </w:p>
    <w:p>
      <w:pPr>
        <w:spacing w:after="0" w:line="191" w:lineRule="exact"/>
        <w:rPr>
          <w:sz w:val="20"/>
          <w:szCs w:val="20"/>
          <w:color w:val="auto"/>
        </w:rPr>
      </w:pPr>
    </w:p>
    <w:p>
      <w:pPr>
        <w:jc w:val="both"/>
        <w:ind w:firstLine="706"/>
        <w:spacing w:after="0" w:line="243" w:lineRule="auto"/>
        <w:rPr>
          <w:sz w:val="20"/>
          <w:szCs w:val="20"/>
          <w:color w:val="auto"/>
        </w:rPr>
      </w:pPr>
      <w:r>
        <w:rPr>
          <w:rFonts w:ascii="Times New Roman" w:cs="Times New Roman" w:eastAsia="Times New Roman" w:hAnsi="Times New Roman"/>
          <w:sz w:val="20"/>
          <w:szCs w:val="20"/>
          <w:color w:val="auto"/>
        </w:rPr>
        <w:t>On August 27, 2025, the Company entered into an Equity Distribution Agreement with the Sales Agents pursuant to which the Company could issue and sell shares of the Company’s common stock having an aggregate offering price of up to $150 million (the "Third ATM Offering"), from time to time through the Sales Agents. On September 22, 2025, the Company completed the Third ATM Offering and sold approximately 5.7 million shares at a weighted average price of $26.41 per share, providing proceeds of approximately $147 million, net of expenses and underwriting discounts and commissions.</w:t>
      </w:r>
    </w:p>
    <w:p>
      <w:pPr>
        <w:spacing w:after="0" w:line="189" w:lineRule="exact"/>
        <w:rPr>
          <w:sz w:val="20"/>
          <w:szCs w:val="20"/>
          <w:color w:val="auto"/>
        </w:rPr>
      </w:pPr>
    </w:p>
    <w:p>
      <w:pPr>
        <w:jc w:val="both"/>
        <w:ind w:firstLine="705"/>
        <w:spacing w:after="0" w:line="238" w:lineRule="auto"/>
        <w:rPr>
          <w:sz w:val="20"/>
          <w:szCs w:val="20"/>
          <w:color w:val="auto"/>
        </w:rPr>
      </w:pPr>
      <w:r>
        <w:rPr>
          <w:rFonts w:ascii="Times New Roman" w:cs="Times New Roman" w:eastAsia="Times New Roman" w:hAnsi="Times New Roman"/>
          <w:sz w:val="20"/>
          <w:szCs w:val="20"/>
          <w:color w:val="auto"/>
        </w:rPr>
        <w:t>On November 7, 2025, the Company entered into another Equity Distribution Agreement (the "Agreement") with the Sales Agents pursuant to which the Company could issue and sell shares of the Company's common stock, par value $0.001 per share (the "Shares") having an aggregate offering price of up to $180 million (the "Fourth ATM Offering"), from time to time through the Sales Agents. Upon delivery of a placement notice and subject to the terms and conditions of the Agreement, sales of the Shares were made through the Sales Agents in transactions that are deemed to be “at the market” offerings as defined in Rule 415 of the Securities Act of 1933, as amended (the "Securities Act"), including sales made through the facilities of the Nasdaq Global Market, the principal trading market for the Company’s common stock, on any other existing trading market for the Company’s common stock, to or through a market maker or as otherwise agreed by the Company and the Sales Agents. In the placement notice, the Company would designate the maximum number of Shares to be sold through the Sales Agents, the time period during which sales were requested to be made, the minimum price for the Shares to be sold, and any limitation on the number of Shares that could be sold in any one day. Subject to the terms and conditions of the Agreement, the Sales Agents would use its commercially reasonable efforts to sell Shares on the Company’s behalf up to the designated amount specified in the placement notice.</w:t>
      </w:r>
    </w:p>
    <w:p>
      <w:pPr>
        <w:spacing w:after="0" w:line="195" w:lineRule="exact"/>
        <w:rPr>
          <w:sz w:val="20"/>
          <w:szCs w:val="20"/>
          <w:color w:val="auto"/>
        </w:rPr>
      </w:pPr>
    </w:p>
    <w:p>
      <w:pPr>
        <w:jc w:val="both"/>
        <w:ind w:firstLine="706"/>
        <w:spacing w:after="0" w:line="282" w:lineRule="auto"/>
        <w:rPr>
          <w:sz w:val="20"/>
          <w:szCs w:val="20"/>
          <w:color w:val="auto"/>
        </w:rPr>
      </w:pPr>
      <w:r>
        <w:rPr>
          <w:rFonts w:ascii="Times New Roman" w:cs="Times New Roman" w:eastAsia="Times New Roman" w:hAnsi="Times New Roman"/>
          <w:sz w:val="18"/>
          <w:szCs w:val="18"/>
          <w:color w:val="auto"/>
        </w:rPr>
        <w:t>The Agreement provided that each of the Sales Agents would be entitled to compensation of up to 2% of the gross sales price of the Shares sold through such Sales Agent from time to time. The Company also agreed to reimburse the Sales Agents for certain specified expenses in connection with the registration of Shares under state blue sky laws and any filing with, and clearance of the offering by, the Financial Industry Regulatory Authority Inc., not to exceed $10,000 in the aggregate, and any associated application</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F-29</w:t>
      </w:r>
    </w:p>
    <w:p>
      <w:pPr>
        <w:sectPr>
          <w:pgSz w:w="11880" w:h="15480" w:orient="portrait"/>
          <w:cols w:equalWidth="0" w:num="1">
            <w:col w:w="10600"/>
          </w:cols>
          <w:pgMar w:left="640" w:top="410" w:right="640" w:bottom="0" w:gutter="0" w:footer="0" w:header="0"/>
        </w:sectPr>
      </w:pPr>
    </w:p>
    <w:bookmarkStart w:id="89" w:name="page90"/>
    <w:bookmarkEnd w:id="89"/>
    <w:p>
      <w:pPr>
        <w:jc w:val="both"/>
        <w:ind w:left="20"/>
        <w:spacing w:after="0" w:line="268" w:lineRule="auto"/>
        <w:rPr>
          <w:sz w:val="20"/>
          <w:szCs w:val="20"/>
          <w:color w:val="auto"/>
        </w:rPr>
      </w:pPr>
      <w:r>
        <w:rPr>
          <w:rFonts w:ascii="Times New Roman" w:cs="Times New Roman" w:eastAsia="Times New Roman" w:hAnsi="Times New Roman"/>
          <w:sz w:val="20"/>
          <w:szCs w:val="20"/>
          <w:color w:val="auto"/>
        </w:rPr>
        <w:t>fees incurred. The Company agreed to indemnify the Sales Agents against certain liabilities, including liabilities under the Securities Act, or to contribute to payments that the Sales Agents could be required to make because of any of those liabilities.</w:t>
      </w:r>
    </w:p>
    <w:p>
      <w:pPr>
        <w:spacing w:after="0" w:line="162" w:lineRule="exact"/>
        <w:rPr>
          <w:sz w:val="20"/>
          <w:szCs w:val="20"/>
          <w:color w:val="auto"/>
        </w:rPr>
      </w:pPr>
    </w:p>
    <w:p>
      <w:pPr>
        <w:jc w:val="both"/>
        <w:ind w:left="20" w:firstLine="706"/>
        <w:spacing w:after="0" w:line="251" w:lineRule="auto"/>
        <w:rPr>
          <w:sz w:val="20"/>
          <w:szCs w:val="20"/>
          <w:color w:val="auto"/>
        </w:rPr>
      </w:pPr>
      <w:r>
        <w:rPr>
          <w:rFonts w:ascii="Times New Roman" w:cs="Times New Roman" w:eastAsia="Times New Roman" w:hAnsi="Times New Roman"/>
          <w:sz w:val="20"/>
          <w:szCs w:val="20"/>
          <w:color w:val="auto"/>
        </w:rPr>
        <w:t>On December 23, 2025, the Company completed the Fourth ATM Offering and sold approximately 6.698 million shares at a weighted average price of $26.87 per share, providing proceeds of $176.4 million, net of expenses and underwriting discounts and commissions.</w:t>
      </w:r>
    </w:p>
    <w:p>
      <w:pPr>
        <w:spacing w:after="0" w:line="182" w:lineRule="exact"/>
        <w:rPr>
          <w:sz w:val="20"/>
          <w:szCs w:val="20"/>
          <w:color w:val="auto"/>
        </w:rPr>
      </w:pPr>
    </w:p>
    <w:p>
      <w:pPr>
        <w:jc w:val="both"/>
        <w:ind w:left="20" w:firstLine="706"/>
        <w:spacing w:after="0" w:line="250" w:lineRule="auto"/>
        <w:rPr>
          <w:sz w:val="20"/>
          <w:szCs w:val="20"/>
          <w:color w:val="auto"/>
        </w:rPr>
      </w:pPr>
      <w:r>
        <w:rPr>
          <w:rFonts w:ascii="Times New Roman" w:cs="Times New Roman" w:eastAsia="Times New Roman" w:hAnsi="Times New Roman"/>
          <w:sz w:val="20"/>
          <w:szCs w:val="20"/>
          <w:color w:val="auto"/>
        </w:rPr>
        <w:t>The details of the shares of common stock sold through the First ATM Offering, the Second ATM Offering, the Third ATM Offering and the Fourth ATM Offering through December 31, 2025 are as follows (in thousands, except shares and weighted average per share price):</w:t>
      </w:r>
    </w:p>
    <w:p>
      <w:pPr>
        <w:spacing w:after="0" w:line="17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8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w w:val="97"/>
              </w:rPr>
              <w:t>Weighted</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rPr>
              <w:t>Compensation</w:t>
            </w:r>
          </w:p>
        </w:tc>
      </w:tr>
      <w:tr>
        <w:trPr>
          <w:trHeight w:val="226"/>
        </w:trPr>
        <w:tc>
          <w:tcPr>
            <w:tcW w:w="38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4"/>
          </w:tcPr>
          <w:p>
            <w:pPr>
              <w:jc w:val="center"/>
              <w:ind w:right="20"/>
              <w:spacing w:after="0" w:line="226" w:lineRule="exact"/>
              <w:rPr>
                <w:sz w:val="20"/>
                <w:szCs w:val="20"/>
                <w:color w:val="auto"/>
              </w:rPr>
            </w:pPr>
            <w:r>
              <w:rPr>
                <w:rFonts w:ascii="Times New Roman" w:cs="Times New Roman" w:eastAsia="Times New Roman" w:hAnsi="Times New Roman"/>
                <w:sz w:val="20"/>
                <w:szCs w:val="20"/>
                <w:b w:val="1"/>
                <w:bCs w:val="1"/>
                <w:color w:val="auto"/>
                <w:w w:val="98"/>
              </w:rPr>
              <w:t>Average Per</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22"/>
              <w:spacing w:after="0" w:line="226" w:lineRule="exact"/>
              <w:rPr>
                <w:sz w:val="20"/>
                <w:szCs w:val="20"/>
                <w:color w:val="auto"/>
              </w:rPr>
            </w:pPr>
            <w:r>
              <w:rPr>
                <w:rFonts w:ascii="Times New Roman" w:cs="Times New Roman" w:eastAsia="Times New Roman" w:hAnsi="Times New Roman"/>
                <w:sz w:val="20"/>
                <w:szCs w:val="20"/>
                <w:b w:val="1"/>
                <w:bCs w:val="1"/>
                <w:color w:val="auto"/>
                <w:w w:val="99"/>
              </w:rPr>
              <w:t>Number of</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gridSpan w:val="2"/>
          </w:tcPr>
          <w:p>
            <w:pPr>
              <w:ind w:left="20"/>
              <w:spacing w:after="0" w:line="226" w:lineRule="exact"/>
              <w:rPr>
                <w:sz w:val="20"/>
                <w:szCs w:val="20"/>
                <w:color w:val="auto"/>
              </w:rPr>
            </w:pPr>
            <w:r>
              <w:rPr>
                <w:rFonts w:ascii="Times New Roman" w:cs="Times New Roman" w:eastAsia="Times New Roman" w:hAnsi="Times New Roman"/>
                <w:sz w:val="20"/>
                <w:szCs w:val="20"/>
                <w:b w:val="1"/>
                <w:bCs w:val="1"/>
                <w:color w:val="auto"/>
                <w:w w:val="99"/>
              </w:rPr>
              <w:t>to Distribution</w:t>
            </w:r>
          </w:p>
        </w:tc>
      </w:tr>
      <w:tr>
        <w:trPr>
          <w:trHeight w:val="256"/>
        </w:trPr>
        <w:tc>
          <w:tcPr>
            <w:tcW w:w="388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Distribution Agent</w:t>
            </w:r>
          </w:p>
        </w:tc>
        <w:tc>
          <w:tcPr>
            <w:tcW w:w="1240" w:type="dxa"/>
            <w:vAlign w:val="bottom"/>
          </w:tcPr>
          <w:p>
            <w:pPr>
              <w:ind w:left="340"/>
              <w:spacing w:after="0"/>
              <w:rPr>
                <w:sz w:val="20"/>
                <w:szCs w:val="20"/>
                <w:color w:val="auto"/>
              </w:rPr>
            </w:pPr>
            <w:r>
              <w:rPr>
                <w:rFonts w:ascii="Times New Roman" w:cs="Times New Roman" w:eastAsia="Times New Roman" w:hAnsi="Times New Roman"/>
                <w:sz w:val="20"/>
                <w:szCs w:val="20"/>
                <w:b w:val="1"/>
                <w:bCs w:val="1"/>
                <w:color w:val="auto"/>
              </w:rPr>
              <w:t>Month</w:t>
            </w:r>
          </w:p>
        </w:tc>
        <w:tc>
          <w:tcPr>
            <w:tcW w:w="100" w:type="dxa"/>
            <w:vAlign w:val="bottom"/>
          </w:tcPr>
          <w:p>
            <w:pPr>
              <w:spacing w:after="0"/>
              <w:rPr>
                <w:sz w:val="22"/>
                <w:szCs w:val="22"/>
                <w:color w:val="auto"/>
              </w:rPr>
            </w:pPr>
          </w:p>
        </w:tc>
        <w:tc>
          <w:tcPr>
            <w:tcW w:w="1180" w:type="dxa"/>
            <w:vAlign w:val="bottom"/>
            <w:gridSpan w:val="4"/>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6"/>
              </w:rPr>
              <w:t>Share Price</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Shares Sold</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20"/>
                <w:szCs w:val="20"/>
                <w:b w:val="1"/>
                <w:bCs w:val="1"/>
                <w:color w:val="auto"/>
              </w:rPr>
              <w:t>Net Proceeds</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auto"/>
              </w:rPr>
              <w:t>Agent</w:t>
            </w:r>
          </w:p>
        </w:tc>
      </w:tr>
      <w:tr>
        <w:trPr>
          <w:trHeight w:val="225"/>
        </w:trPr>
        <w:tc>
          <w:tcPr>
            <w:tcW w:w="3880" w:type="dxa"/>
            <w:vAlign w:val="bottom"/>
            <w:tcBorders>
              <w:top w:val="single" w:sz="8" w:color="DBDBDB"/>
            </w:tcBorders>
            <w:shd w:val="clear" w:color="auto" w:fill="DBDBDB"/>
          </w:tcPr>
          <w:p>
            <w:pPr>
              <w:ind w:left="20"/>
              <w:spacing w:after="0" w:line="220" w:lineRule="exact"/>
              <w:rPr>
                <w:sz w:val="20"/>
                <w:szCs w:val="20"/>
                <w:color w:val="auto"/>
              </w:rPr>
            </w:pPr>
            <w:r>
              <w:rPr>
                <w:rFonts w:ascii="Times New Roman" w:cs="Times New Roman" w:eastAsia="Times New Roman" w:hAnsi="Times New Roman"/>
                <w:sz w:val="20"/>
                <w:szCs w:val="20"/>
                <w:color w:val="auto"/>
              </w:rPr>
              <w:t>Raymond James &amp; Associates, Inc.</w:t>
            </w:r>
          </w:p>
        </w:tc>
        <w:tc>
          <w:tcPr>
            <w:tcW w:w="1240" w:type="dxa"/>
            <w:vAlign w:val="bottom"/>
            <w:tcBorders>
              <w:top w:val="single" w:sz="8" w:color="auto"/>
            </w:tcBorders>
            <w:shd w:val="clear" w:color="auto" w:fill="DBDBDB"/>
          </w:tcPr>
          <w:p>
            <w:pPr>
              <w:ind w:left="320"/>
              <w:spacing w:after="0" w:line="225" w:lineRule="exact"/>
              <w:rPr>
                <w:sz w:val="20"/>
                <w:szCs w:val="20"/>
                <w:color w:val="auto"/>
              </w:rPr>
            </w:pPr>
            <w:r>
              <w:rPr>
                <w:rFonts w:ascii="Times New Roman" w:cs="Times New Roman" w:eastAsia="Times New Roman" w:hAnsi="Times New Roman"/>
                <w:sz w:val="20"/>
                <w:szCs w:val="20"/>
                <w:color w:val="auto"/>
              </w:rPr>
              <w:t>Mar-25</w:t>
            </w:r>
          </w:p>
        </w:tc>
        <w:tc>
          <w:tcPr>
            <w:tcW w:w="100" w:type="dxa"/>
            <w:vAlign w:val="bottom"/>
            <w:tcBorders>
              <w:top w:val="single" w:sz="8" w:color="DBDBDB"/>
            </w:tcBorders>
            <w:shd w:val="clear" w:color="auto" w:fill="DBDBDB"/>
          </w:tcPr>
          <w:p>
            <w:pPr>
              <w:spacing w:after="0"/>
              <w:rPr>
                <w:sz w:val="19"/>
                <w:szCs w:val="19"/>
                <w:color w:val="auto"/>
              </w:rPr>
            </w:pPr>
          </w:p>
        </w:tc>
        <w:tc>
          <w:tcPr>
            <w:tcW w:w="100" w:type="dxa"/>
            <w:vAlign w:val="bottom"/>
            <w:tcBorders>
              <w:top w:val="single" w:sz="8" w:color="auto"/>
            </w:tcBorders>
            <w:shd w:val="clear" w:color="auto" w:fill="DBDBDB"/>
          </w:tcPr>
          <w:p>
            <w:pPr>
              <w:jc w:val="right"/>
              <w:spacing w:after="0" w:line="225"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20" w:type="dxa"/>
            <w:vAlign w:val="bottom"/>
            <w:tcBorders>
              <w:top w:val="single" w:sz="8" w:color="auto"/>
            </w:tcBorders>
            <w:shd w:val="clear" w:color="auto" w:fill="DBDBDB"/>
          </w:tcPr>
          <w:p>
            <w:pPr>
              <w:spacing w:after="0"/>
              <w:rPr>
                <w:sz w:val="19"/>
                <w:szCs w:val="19"/>
                <w:color w:val="auto"/>
              </w:rPr>
            </w:pPr>
          </w:p>
        </w:tc>
        <w:tc>
          <w:tcPr>
            <w:tcW w:w="1040" w:type="dxa"/>
            <w:vAlign w:val="bottom"/>
            <w:tcBorders>
              <w:top w:val="single" w:sz="8" w:color="auto"/>
            </w:tcBorders>
            <w:shd w:val="clear" w:color="auto" w:fill="DBDBDB"/>
          </w:tcPr>
          <w:p>
            <w:pPr>
              <w:jc w:val="right"/>
              <w:spacing w:after="0" w:line="225" w:lineRule="exact"/>
              <w:rPr>
                <w:sz w:val="20"/>
                <w:szCs w:val="20"/>
                <w:color w:val="auto"/>
              </w:rPr>
            </w:pPr>
            <w:r>
              <w:rPr>
                <w:rFonts w:ascii="Times New Roman" w:cs="Times New Roman" w:eastAsia="Times New Roman" w:hAnsi="Times New Roman"/>
                <w:sz w:val="20"/>
                <w:szCs w:val="20"/>
                <w:color w:val="auto"/>
              </w:rPr>
              <w:t>20.71</w:t>
            </w:r>
          </w:p>
        </w:tc>
        <w:tc>
          <w:tcPr>
            <w:tcW w:w="20" w:type="dxa"/>
            <w:vAlign w:val="bottom"/>
            <w:tcBorders>
              <w:top w:val="single" w:sz="8" w:color="DBDBDB"/>
            </w:tcBorders>
            <w:shd w:val="clear" w:color="auto" w:fill="DBDBDB"/>
          </w:tcPr>
          <w:p>
            <w:pPr>
              <w:spacing w:after="0"/>
              <w:rPr>
                <w:sz w:val="19"/>
                <w:szCs w:val="19"/>
                <w:color w:val="auto"/>
              </w:rPr>
            </w:pPr>
          </w:p>
        </w:tc>
        <w:tc>
          <w:tcPr>
            <w:tcW w:w="160" w:type="dxa"/>
            <w:vAlign w:val="bottom"/>
            <w:tcBorders>
              <w:top w:val="single" w:sz="8" w:color="DBDBDB"/>
            </w:tcBorders>
            <w:shd w:val="clear" w:color="auto" w:fill="DBDBDB"/>
          </w:tcPr>
          <w:p>
            <w:pPr>
              <w:spacing w:after="0"/>
              <w:rPr>
                <w:sz w:val="19"/>
                <w:szCs w:val="19"/>
                <w:color w:val="auto"/>
              </w:rPr>
            </w:pPr>
          </w:p>
        </w:tc>
        <w:tc>
          <w:tcPr>
            <w:tcW w:w="20" w:type="dxa"/>
            <w:vAlign w:val="bottom"/>
            <w:tcBorders>
              <w:top w:val="single" w:sz="8" w:color="DBDBDB"/>
            </w:tcBorders>
            <w:shd w:val="clear" w:color="auto" w:fill="DBDBDB"/>
          </w:tcPr>
          <w:p>
            <w:pPr>
              <w:spacing w:after="0"/>
              <w:rPr>
                <w:sz w:val="19"/>
                <w:szCs w:val="19"/>
                <w:color w:val="auto"/>
              </w:rPr>
            </w:pPr>
          </w:p>
        </w:tc>
        <w:tc>
          <w:tcPr>
            <w:tcW w:w="100" w:type="dxa"/>
            <w:vAlign w:val="bottom"/>
            <w:tcBorders>
              <w:top w:val="single" w:sz="8" w:color="auto"/>
            </w:tcBorders>
            <w:shd w:val="clear" w:color="auto" w:fill="DBDBDB"/>
          </w:tcPr>
          <w:p>
            <w:pPr>
              <w:spacing w:after="0"/>
              <w:rPr>
                <w:sz w:val="19"/>
                <w:szCs w:val="19"/>
                <w:color w:val="auto"/>
              </w:rPr>
            </w:pPr>
          </w:p>
        </w:tc>
        <w:tc>
          <w:tcPr>
            <w:tcW w:w="1060" w:type="dxa"/>
            <w:vAlign w:val="bottom"/>
            <w:tcBorders>
              <w:top w:val="single" w:sz="8" w:color="auto"/>
            </w:tcBorders>
            <w:shd w:val="clear" w:color="auto" w:fill="DBDBDB"/>
          </w:tcPr>
          <w:p>
            <w:pPr>
              <w:jc w:val="right"/>
              <w:spacing w:after="0" w:line="225" w:lineRule="exact"/>
              <w:rPr>
                <w:sz w:val="20"/>
                <w:szCs w:val="20"/>
                <w:color w:val="auto"/>
              </w:rPr>
            </w:pPr>
            <w:r>
              <w:rPr>
                <w:rFonts w:ascii="Times New Roman" w:cs="Times New Roman" w:eastAsia="Times New Roman" w:hAnsi="Times New Roman"/>
                <w:sz w:val="20"/>
                <w:szCs w:val="20"/>
                <w:color w:val="auto"/>
              </w:rPr>
              <w:t>3,535,650</w:t>
            </w:r>
          </w:p>
        </w:tc>
        <w:tc>
          <w:tcPr>
            <w:tcW w:w="100" w:type="dxa"/>
            <w:vAlign w:val="bottom"/>
            <w:tcBorders>
              <w:top w:val="single" w:sz="8" w:color="DBDBDB"/>
            </w:tcBorders>
            <w:shd w:val="clear" w:color="auto" w:fill="DBDBDB"/>
          </w:tcPr>
          <w:p>
            <w:pPr>
              <w:spacing w:after="0"/>
              <w:rPr>
                <w:sz w:val="19"/>
                <w:szCs w:val="19"/>
                <w:color w:val="auto"/>
              </w:rPr>
            </w:pPr>
          </w:p>
        </w:tc>
        <w:tc>
          <w:tcPr>
            <w:tcW w:w="80" w:type="dxa"/>
            <w:vAlign w:val="bottom"/>
            <w:tcBorders>
              <w:top w:val="single" w:sz="8" w:color="DBDBDB"/>
            </w:tcBorders>
            <w:shd w:val="clear" w:color="auto" w:fill="DBDBDB"/>
          </w:tcPr>
          <w:p>
            <w:pPr>
              <w:spacing w:after="0"/>
              <w:rPr>
                <w:sz w:val="19"/>
                <w:szCs w:val="19"/>
                <w:color w:val="auto"/>
              </w:rPr>
            </w:pPr>
          </w:p>
        </w:tc>
        <w:tc>
          <w:tcPr>
            <w:tcW w:w="20" w:type="dxa"/>
            <w:vAlign w:val="bottom"/>
            <w:tcBorders>
              <w:top w:val="single" w:sz="8" w:color="DBDBDB"/>
            </w:tcBorders>
            <w:shd w:val="clear" w:color="auto" w:fill="DBDBDB"/>
          </w:tcPr>
          <w:p>
            <w:pPr>
              <w:spacing w:after="0"/>
              <w:rPr>
                <w:sz w:val="19"/>
                <w:szCs w:val="19"/>
                <w:color w:val="auto"/>
              </w:rPr>
            </w:pPr>
          </w:p>
        </w:tc>
        <w:tc>
          <w:tcPr>
            <w:tcW w:w="100" w:type="dxa"/>
            <w:vAlign w:val="bottom"/>
            <w:tcBorders>
              <w:top w:val="single" w:sz="8" w:color="auto"/>
            </w:tcBorders>
            <w:shd w:val="clear" w:color="auto" w:fill="DBDBDB"/>
          </w:tcPr>
          <w:p>
            <w:pPr>
              <w:jc w:val="right"/>
              <w:spacing w:after="0" w:line="225"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060" w:type="dxa"/>
            <w:vAlign w:val="bottom"/>
            <w:tcBorders>
              <w:top w:val="single" w:sz="8" w:color="auto"/>
            </w:tcBorders>
            <w:shd w:val="clear" w:color="auto" w:fill="DBDBDB"/>
          </w:tcPr>
          <w:p>
            <w:pPr>
              <w:jc w:val="right"/>
              <w:spacing w:after="0" w:line="225" w:lineRule="exact"/>
              <w:rPr>
                <w:sz w:val="20"/>
                <w:szCs w:val="20"/>
                <w:color w:val="auto"/>
              </w:rPr>
            </w:pPr>
            <w:r>
              <w:rPr>
                <w:rFonts w:ascii="Times New Roman" w:cs="Times New Roman" w:eastAsia="Times New Roman" w:hAnsi="Times New Roman"/>
                <w:sz w:val="20"/>
                <w:szCs w:val="20"/>
                <w:color w:val="auto"/>
              </w:rPr>
              <w:t>71,755</w:t>
            </w:r>
          </w:p>
        </w:tc>
        <w:tc>
          <w:tcPr>
            <w:tcW w:w="180" w:type="dxa"/>
            <w:vAlign w:val="bottom"/>
            <w:tcBorders>
              <w:top w:val="single" w:sz="8" w:color="DBDBDB"/>
            </w:tcBorders>
            <w:shd w:val="clear" w:color="auto" w:fill="DBDBDB"/>
          </w:tcPr>
          <w:p>
            <w:pPr>
              <w:spacing w:after="0"/>
              <w:rPr>
                <w:sz w:val="19"/>
                <w:szCs w:val="19"/>
                <w:color w:val="auto"/>
              </w:rPr>
            </w:pPr>
          </w:p>
        </w:tc>
        <w:tc>
          <w:tcPr>
            <w:tcW w:w="20" w:type="dxa"/>
            <w:vAlign w:val="bottom"/>
            <w:tcBorders>
              <w:top w:val="single" w:sz="8" w:color="DBDBDB"/>
            </w:tcBorders>
            <w:shd w:val="clear" w:color="auto" w:fill="DBDBDB"/>
          </w:tcPr>
          <w:p>
            <w:pPr>
              <w:spacing w:after="0"/>
              <w:rPr>
                <w:sz w:val="19"/>
                <w:szCs w:val="19"/>
                <w:color w:val="auto"/>
              </w:rPr>
            </w:pPr>
          </w:p>
        </w:tc>
        <w:tc>
          <w:tcPr>
            <w:tcW w:w="120" w:type="dxa"/>
            <w:vAlign w:val="bottom"/>
            <w:tcBorders>
              <w:top w:val="single" w:sz="8" w:color="auto"/>
            </w:tcBorders>
            <w:shd w:val="clear" w:color="auto" w:fill="DBDBDB"/>
          </w:tcPr>
          <w:p>
            <w:pPr>
              <w:spacing w:after="0" w:line="225" w:lineRule="exact"/>
              <w:rPr>
                <w:sz w:val="20"/>
                <w:szCs w:val="20"/>
                <w:color w:val="auto"/>
              </w:rPr>
            </w:pPr>
            <w:r>
              <w:rPr>
                <w:rFonts w:ascii="Times New Roman" w:cs="Times New Roman" w:eastAsia="Times New Roman" w:hAnsi="Times New Roman"/>
                <w:sz w:val="20"/>
                <w:szCs w:val="20"/>
                <w:color w:val="auto"/>
                <w:highlight w:val="lightGray"/>
                <w:w w:val="99"/>
              </w:rPr>
              <w:t>$</w:t>
            </w:r>
          </w:p>
        </w:tc>
        <w:tc>
          <w:tcPr>
            <w:tcW w:w="1180" w:type="dxa"/>
            <w:vAlign w:val="bottom"/>
            <w:tcBorders>
              <w:top w:val="single" w:sz="8" w:color="auto"/>
            </w:tcBorders>
            <w:shd w:val="clear" w:color="auto" w:fill="DBDBDB"/>
          </w:tcPr>
          <w:p>
            <w:pPr>
              <w:ind w:left="720"/>
              <w:spacing w:after="0" w:line="225" w:lineRule="exact"/>
              <w:rPr>
                <w:sz w:val="20"/>
                <w:szCs w:val="20"/>
                <w:color w:val="auto"/>
              </w:rPr>
            </w:pPr>
            <w:r>
              <w:rPr>
                <w:rFonts w:ascii="Times New Roman" w:cs="Times New Roman" w:eastAsia="Times New Roman" w:hAnsi="Times New Roman"/>
                <w:sz w:val="20"/>
                <w:szCs w:val="20"/>
                <w:color w:val="auto"/>
                <w:w w:val="97"/>
              </w:rPr>
              <w:t>1,464</w:t>
            </w:r>
          </w:p>
        </w:tc>
      </w:tr>
      <w:tr>
        <w:trPr>
          <w:trHeight w:val="235"/>
        </w:trPr>
        <w:tc>
          <w:tcPr>
            <w:tcW w:w="38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Raymond James &amp; Associates, Inc.</w:t>
            </w:r>
          </w:p>
        </w:tc>
        <w:tc>
          <w:tcPr>
            <w:tcW w:w="12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Apr-25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12.69</w:t>
            </w:r>
          </w:p>
        </w:tc>
        <w:tc>
          <w:tcPr>
            <w:tcW w:w="20" w:type="dxa"/>
            <w:vAlign w:val="bottom"/>
          </w:tcPr>
          <w:p>
            <w:pPr>
              <w:spacing w:after="0"/>
              <w:rPr>
                <w:sz w:val="20"/>
                <w:szCs w:val="20"/>
                <w:color w:val="auto"/>
              </w:rPr>
            </w:pPr>
          </w:p>
        </w:tc>
        <w:tc>
          <w:tcPr>
            <w:tcW w:w="13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2,110,057</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26,245</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ind w:left="880"/>
              <w:spacing w:after="0"/>
              <w:rPr>
                <w:sz w:val="20"/>
                <w:szCs w:val="20"/>
                <w:color w:val="auto"/>
              </w:rPr>
            </w:pPr>
            <w:r>
              <w:rPr>
                <w:rFonts w:ascii="Times New Roman" w:cs="Times New Roman" w:eastAsia="Times New Roman" w:hAnsi="Times New Roman"/>
                <w:sz w:val="20"/>
                <w:szCs w:val="20"/>
                <w:color w:val="auto"/>
                <w:w w:val="93"/>
              </w:rPr>
              <w:t>536</w:t>
            </w:r>
          </w:p>
        </w:tc>
      </w:tr>
      <w:tr>
        <w:trPr>
          <w:trHeight w:val="211"/>
        </w:trPr>
        <w:tc>
          <w:tcPr>
            <w:tcW w:w="3880" w:type="dxa"/>
            <w:vAlign w:val="bottom"/>
            <w:shd w:val="clear" w:color="auto" w:fill="DBDBDB"/>
          </w:tcPr>
          <w:p>
            <w:pPr>
              <w:ind w:left="20"/>
              <w:spacing w:after="0" w:line="211" w:lineRule="exact"/>
              <w:rPr>
                <w:sz w:val="20"/>
                <w:szCs w:val="20"/>
                <w:color w:val="auto"/>
              </w:rPr>
            </w:pPr>
            <w:r>
              <w:rPr>
                <w:rFonts w:ascii="Times New Roman" w:cs="Times New Roman" w:eastAsia="Times New Roman" w:hAnsi="Times New Roman"/>
                <w:sz w:val="20"/>
                <w:szCs w:val="20"/>
                <w:color w:val="auto"/>
              </w:rPr>
              <w:t>Raymond James &amp; Associates and Needham &amp;</w:t>
            </w:r>
          </w:p>
        </w:tc>
        <w:tc>
          <w:tcPr>
            <w:tcW w:w="12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r>
      <w:tr>
        <w:trPr>
          <w:trHeight w:val="250"/>
        </w:trPr>
        <w:tc>
          <w:tcPr>
            <w:tcW w:w="38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20"/>
                <w:szCs w:val="20"/>
                <w:color w:val="auto"/>
              </w:rPr>
              <w:t>Company, LLC</w:t>
            </w:r>
          </w:p>
        </w:tc>
        <w:tc>
          <w:tcPr>
            <w:tcW w:w="124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20"/>
                <w:szCs w:val="20"/>
                <w:color w:val="auto"/>
              </w:rPr>
              <w:t>Jun-25</w:t>
            </w:r>
          </w:p>
        </w:tc>
        <w:tc>
          <w:tcPr>
            <w:tcW w:w="10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20" w:type="dxa"/>
            <w:vAlign w:val="bottom"/>
            <w:shd w:val="clear" w:color="auto" w:fill="DBDBDB"/>
          </w:tcPr>
          <w:p>
            <w:pPr>
              <w:spacing w:after="0"/>
              <w:rPr>
                <w:sz w:val="21"/>
                <w:szCs w:val="21"/>
                <w:color w:val="auto"/>
              </w:rPr>
            </w:pPr>
          </w:p>
        </w:tc>
        <w:tc>
          <w:tcPr>
            <w:tcW w:w="10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17.46</w:t>
            </w:r>
          </w:p>
        </w:tc>
        <w:tc>
          <w:tcPr>
            <w:tcW w:w="2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2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0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5,725,948</w:t>
            </w:r>
          </w:p>
        </w:tc>
        <w:tc>
          <w:tcPr>
            <w:tcW w:w="100" w:type="dxa"/>
            <w:vAlign w:val="bottom"/>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2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0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98,000</w:t>
            </w:r>
          </w:p>
        </w:tc>
        <w:tc>
          <w:tcPr>
            <w:tcW w:w="180" w:type="dxa"/>
            <w:vAlign w:val="bottom"/>
            <w:shd w:val="clear" w:color="auto" w:fill="DBDBDB"/>
          </w:tcPr>
          <w:p>
            <w:pPr>
              <w:spacing w:after="0"/>
              <w:rPr>
                <w:sz w:val="21"/>
                <w:szCs w:val="21"/>
                <w:color w:val="auto"/>
              </w:rPr>
            </w:pPr>
          </w:p>
        </w:tc>
        <w:tc>
          <w:tcPr>
            <w:tcW w:w="2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180" w:type="dxa"/>
            <w:vAlign w:val="bottom"/>
            <w:shd w:val="clear" w:color="auto" w:fill="DBDBDB"/>
          </w:tcPr>
          <w:p>
            <w:pPr>
              <w:ind w:left="720"/>
              <w:spacing w:after="0"/>
              <w:rPr>
                <w:sz w:val="20"/>
                <w:szCs w:val="20"/>
                <w:color w:val="auto"/>
              </w:rPr>
            </w:pPr>
            <w:r>
              <w:rPr>
                <w:rFonts w:ascii="Times New Roman" w:cs="Times New Roman" w:eastAsia="Times New Roman" w:hAnsi="Times New Roman"/>
                <w:sz w:val="20"/>
                <w:szCs w:val="20"/>
                <w:color w:val="auto"/>
                <w:w w:val="97"/>
              </w:rPr>
              <w:t>2,000</w:t>
            </w:r>
          </w:p>
        </w:tc>
      </w:tr>
      <w:tr>
        <w:trPr>
          <w:trHeight w:val="211"/>
        </w:trPr>
        <w:tc>
          <w:tcPr>
            <w:tcW w:w="3880" w:type="dxa"/>
            <w:vAlign w:val="bottom"/>
          </w:tcPr>
          <w:p>
            <w:pPr>
              <w:ind w:left="20"/>
              <w:spacing w:after="0" w:line="211" w:lineRule="exact"/>
              <w:rPr>
                <w:sz w:val="20"/>
                <w:szCs w:val="20"/>
                <w:color w:val="auto"/>
              </w:rPr>
            </w:pPr>
            <w:r>
              <w:rPr>
                <w:rFonts w:ascii="Times New Roman" w:cs="Times New Roman" w:eastAsia="Times New Roman" w:hAnsi="Times New Roman"/>
                <w:sz w:val="20"/>
                <w:szCs w:val="20"/>
                <w:color w:val="auto"/>
              </w:rPr>
              <w:t>Raymond James &amp; Associates and Needham &amp;</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50"/>
        </w:trPr>
        <w:tc>
          <w:tcPr>
            <w:tcW w:w="38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Company, LLC</w:t>
            </w:r>
          </w:p>
        </w:tc>
        <w:tc>
          <w:tcPr>
            <w:tcW w:w="12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Sep-25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26.41</w:t>
            </w:r>
          </w:p>
        </w:tc>
        <w:tc>
          <w:tcPr>
            <w:tcW w:w="20" w:type="dxa"/>
            <w:vAlign w:val="bottom"/>
          </w:tcPr>
          <w:p>
            <w:pPr>
              <w:spacing w:after="0"/>
              <w:rPr>
                <w:sz w:val="21"/>
                <w:szCs w:val="21"/>
                <w:color w:val="auto"/>
              </w:rPr>
            </w:pPr>
          </w:p>
        </w:tc>
        <w:tc>
          <w:tcPr>
            <w:tcW w:w="13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5,680,235</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147,000</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ind w:left="720"/>
              <w:spacing w:after="0"/>
              <w:rPr>
                <w:sz w:val="20"/>
                <w:szCs w:val="20"/>
                <w:color w:val="auto"/>
              </w:rPr>
            </w:pPr>
            <w:r>
              <w:rPr>
                <w:rFonts w:ascii="Times New Roman" w:cs="Times New Roman" w:eastAsia="Times New Roman" w:hAnsi="Times New Roman"/>
                <w:sz w:val="20"/>
                <w:szCs w:val="20"/>
                <w:color w:val="auto"/>
                <w:w w:val="97"/>
              </w:rPr>
              <w:t>3,000</w:t>
            </w:r>
          </w:p>
        </w:tc>
      </w:tr>
      <w:tr>
        <w:trPr>
          <w:trHeight w:val="209"/>
        </w:trPr>
        <w:tc>
          <w:tcPr>
            <w:tcW w:w="3880" w:type="dxa"/>
            <w:vAlign w:val="bottom"/>
            <w:shd w:val="clear" w:color="auto" w:fill="DBDBDB"/>
          </w:tcPr>
          <w:p>
            <w:pPr>
              <w:ind w:left="20"/>
              <w:spacing w:after="0" w:line="208" w:lineRule="exact"/>
              <w:rPr>
                <w:sz w:val="20"/>
                <w:szCs w:val="20"/>
                <w:color w:val="auto"/>
              </w:rPr>
            </w:pPr>
            <w:r>
              <w:rPr>
                <w:rFonts w:ascii="Times New Roman" w:cs="Times New Roman" w:eastAsia="Times New Roman" w:hAnsi="Times New Roman"/>
                <w:sz w:val="20"/>
                <w:szCs w:val="20"/>
                <w:color w:val="auto"/>
              </w:rPr>
              <w:t>Raymond James &amp; Associates and Needham &amp;</w:t>
            </w:r>
          </w:p>
        </w:tc>
        <w:tc>
          <w:tcPr>
            <w:tcW w:w="12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r>
      <w:tr>
        <w:trPr>
          <w:trHeight w:val="252"/>
        </w:trPr>
        <w:tc>
          <w:tcPr>
            <w:tcW w:w="38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20"/>
                <w:szCs w:val="20"/>
                <w:color w:val="auto"/>
              </w:rPr>
              <w:t>Company, LLC</w:t>
            </w:r>
          </w:p>
        </w:tc>
        <w:tc>
          <w:tcPr>
            <w:tcW w:w="1240" w:type="dxa"/>
            <w:vAlign w:val="bottom"/>
            <w:shd w:val="clear" w:color="auto" w:fill="DBDBDB"/>
          </w:tcPr>
          <w:p>
            <w:pPr>
              <w:ind w:left="320"/>
              <w:spacing w:after="0"/>
              <w:rPr>
                <w:sz w:val="20"/>
                <w:szCs w:val="20"/>
                <w:color w:val="auto"/>
              </w:rPr>
            </w:pPr>
            <w:r>
              <w:rPr>
                <w:rFonts w:ascii="Times New Roman" w:cs="Times New Roman" w:eastAsia="Times New Roman" w:hAnsi="Times New Roman"/>
                <w:sz w:val="20"/>
                <w:szCs w:val="20"/>
                <w:color w:val="auto"/>
              </w:rPr>
              <w:t>Nov-25</w:t>
            </w:r>
          </w:p>
        </w:tc>
        <w:tc>
          <w:tcPr>
            <w:tcW w:w="10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20" w:type="dxa"/>
            <w:vAlign w:val="bottom"/>
            <w:shd w:val="clear" w:color="auto" w:fill="DBDBDB"/>
          </w:tcPr>
          <w:p>
            <w:pPr>
              <w:spacing w:after="0"/>
              <w:rPr>
                <w:sz w:val="21"/>
                <w:szCs w:val="21"/>
                <w:color w:val="auto"/>
              </w:rPr>
            </w:pPr>
          </w:p>
        </w:tc>
        <w:tc>
          <w:tcPr>
            <w:tcW w:w="10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23.15</w:t>
            </w:r>
          </w:p>
        </w:tc>
        <w:tc>
          <w:tcPr>
            <w:tcW w:w="20" w:type="dxa"/>
            <w:vAlign w:val="bottom"/>
            <w:tcBorders>
              <w:bottom w:val="single" w:sz="8" w:color="DBDBDB"/>
            </w:tcBorders>
            <w:shd w:val="clear" w:color="auto" w:fill="DBDBDB"/>
          </w:tcPr>
          <w:p>
            <w:pPr>
              <w:spacing w:after="0"/>
              <w:rPr>
                <w:sz w:val="21"/>
                <w:szCs w:val="21"/>
                <w:color w:val="auto"/>
              </w:rPr>
            </w:pPr>
          </w:p>
        </w:tc>
        <w:tc>
          <w:tcPr>
            <w:tcW w:w="160" w:type="dxa"/>
            <w:vAlign w:val="bottom"/>
            <w:tcBorders>
              <w:bottom w:val="single" w:sz="8" w:color="DBDBDB"/>
            </w:tcBorders>
            <w:shd w:val="clear" w:color="auto" w:fill="DBDBDB"/>
          </w:tcPr>
          <w:p>
            <w:pPr>
              <w:spacing w:after="0"/>
              <w:rPr>
                <w:sz w:val="21"/>
                <w:szCs w:val="21"/>
                <w:color w:val="auto"/>
              </w:rPr>
            </w:pPr>
          </w:p>
        </w:tc>
        <w:tc>
          <w:tcPr>
            <w:tcW w:w="2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DBDBDB"/>
            </w:tcBorders>
            <w:shd w:val="clear" w:color="auto" w:fill="DBDBDB"/>
          </w:tcPr>
          <w:p>
            <w:pPr>
              <w:spacing w:after="0"/>
              <w:rPr>
                <w:sz w:val="21"/>
                <w:szCs w:val="21"/>
                <w:color w:val="auto"/>
              </w:rPr>
            </w:pPr>
          </w:p>
        </w:tc>
        <w:tc>
          <w:tcPr>
            <w:tcW w:w="10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2,778,564</w:t>
            </w:r>
          </w:p>
        </w:tc>
        <w:tc>
          <w:tcPr>
            <w:tcW w:w="100" w:type="dxa"/>
            <w:vAlign w:val="bottom"/>
            <w:tcBorders>
              <w:bottom w:val="single" w:sz="8" w:color="DBDBDB"/>
            </w:tcBorders>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2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0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63,050</w:t>
            </w:r>
          </w:p>
        </w:tc>
        <w:tc>
          <w:tcPr>
            <w:tcW w:w="180" w:type="dxa"/>
            <w:vAlign w:val="bottom"/>
            <w:shd w:val="clear" w:color="auto" w:fill="DBDBDB"/>
          </w:tcPr>
          <w:p>
            <w:pPr>
              <w:spacing w:after="0"/>
              <w:rPr>
                <w:sz w:val="21"/>
                <w:szCs w:val="21"/>
                <w:color w:val="auto"/>
              </w:rPr>
            </w:pPr>
          </w:p>
        </w:tc>
        <w:tc>
          <w:tcPr>
            <w:tcW w:w="2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180" w:type="dxa"/>
            <w:vAlign w:val="bottom"/>
            <w:shd w:val="clear" w:color="auto" w:fill="DBDBDB"/>
          </w:tcPr>
          <w:p>
            <w:pPr>
              <w:ind w:left="720"/>
              <w:spacing w:after="0"/>
              <w:rPr>
                <w:sz w:val="20"/>
                <w:szCs w:val="20"/>
                <w:color w:val="auto"/>
              </w:rPr>
            </w:pPr>
            <w:r>
              <w:rPr>
                <w:rFonts w:ascii="Times New Roman" w:cs="Times New Roman" w:eastAsia="Times New Roman" w:hAnsi="Times New Roman"/>
                <w:sz w:val="20"/>
                <w:szCs w:val="20"/>
                <w:color w:val="auto"/>
                <w:w w:val="97"/>
              </w:rPr>
              <w:t>1,287</w:t>
            </w:r>
          </w:p>
        </w:tc>
      </w:tr>
      <w:tr>
        <w:trPr>
          <w:trHeight w:val="189"/>
        </w:trPr>
        <w:tc>
          <w:tcPr>
            <w:tcW w:w="3880" w:type="dxa"/>
            <w:vAlign w:val="bottom"/>
          </w:tcPr>
          <w:p>
            <w:pPr>
              <w:ind w:left="20"/>
              <w:spacing w:after="0" w:line="188" w:lineRule="exact"/>
              <w:rPr>
                <w:sz w:val="20"/>
                <w:szCs w:val="20"/>
                <w:color w:val="auto"/>
              </w:rPr>
            </w:pPr>
            <w:r>
              <w:rPr>
                <w:rFonts w:ascii="Times New Roman" w:cs="Times New Roman" w:eastAsia="Times New Roman" w:hAnsi="Times New Roman"/>
                <w:sz w:val="20"/>
                <w:szCs w:val="20"/>
                <w:color w:val="auto"/>
              </w:rPr>
              <w:t>Raymond James &amp; Associates and Needham &amp;</w:t>
            </w: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75"/>
        </w:trPr>
        <w:tc>
          <w:tcPr>
            <w:tcW w:w="38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Company, LLC</w:t>
            </w:r>
          </w:p>
        </w:tc>
        <w:tc>
          <w:tcPr>
            <w:tcW w:w="12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Dec-25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29.51</w:t>
            </w:r>
          </w:p>
        </w:tc>
        <w:tc>
          <w:tcPr>
            <w:tcW w:w="20" w:type="dxa"/>
            <w:vAlign w:val="bottom"/>
          </w:tcPr>
          <w:p>
            <w:pPr>
              <w:spacing w:after="0"/>
              <w:rPr>
                <w:sz w:val="23"/>
                <w:szCs w:val="23"/>
                <w:color w:val="auto"/>
              </w:rPr>
            </w:pPr>
          </w:p>
        </w:tc>
        <w:tc>
          <w:tcPr>
            <w:tcW w:w="13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3,919,517</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113,350</w:t>
            </w: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ind w:left="720"/>
              <w:spacing w:after="0"/>
              <w:rPr>
                <w:sz w:val="20"/>
                <w:szCs w:val="20"/>
                <w:color w:val="auto"/>
              </w:rPr>
            </w:pPr>
            <w:r>
              <w:rPr>
                <w:rFonts w:ascii="Times New Roman" w:cs="Times New Roman" w:eastAsia="Times New Roman" w:hAnsi="Times New Roman"/>
                <w:sz w:val="20"/>
                <w:szCs w:val="20"/>
                <w:color w:val="auto"/>
                <w:w w:val="97"/>
              </w:rPr>
              <w:t>2,313</w:t>
            </w:r>
          </w:p>
        </w:tc>
      </w:tr>
      <w:tr>
        <w:trPr>
          <w:trHeight w:val="258"/>
        </w:trPr>
        <w:tc>
          <w:tcPr>
            <w:tcW w:w="3880" w:type="dxa"/>
            <w:vAlign w:val="bottom"/>
            <w:tcBorders>
              <w:top w:val="single" w:sz="8" w:color="DBDBDB"/>
              <w:bottom w:val="single" w:sz="8" w:color="DBDBDB"/>
            </w:tcBorders>
            <w:shd w:val="clear" w:color="auto" w:fill="DBDBDB"/>
          </w:tcPr>
          <w:p>
            <w:pPr>
              <w:ind w:left="20"/>
              <w:spacing w:after="0" w:line="206" w:lineRule="exact"/>
              <w:rPr>
                <w:sz w:val="20"/>
                <w:szCs w:val="20"/>
                <w:color w:val="auto"/>
              </w:rPr>
            </w:pPr>
            <w:r>
              <w:rPr>
                <w:rFonts w:ascii="Times New Roman" w:cs="Times New Roman" w:eastAsia="Times New Roman" w:hAnsi="Times New Roman"/>
                <w:sz w:val="20"/>
                <w:szCs w:val="20"/>
                <w:color w:val="auto"/>
              </w:rPr>
              <w:t>Total</w:t>
            </w:r>
          </w:p>
        </w:tc>
        <w:tc>
          <w:tcPr>
            <w:tcW w:w="1240" w:type="dxa"/>
            <w:vAlign w:val="bottom"/>
            <w:tcBorders>
              <w:top w:val="single" w:sz="8" w:color="DBDBDB"/>
              <w:bottom w:val="single" w:sz="8" w:color="DBDBDB"/>
            </w:tcBorders>
            <w:shd w:val="clear" w:color="auto" w:fill="DBDBDB"/>
          </w:tcPr>
          <w:p>
            <w:pPr>
              <w:spacing w:after="0"/>
              <w:rPr>
                <w:sz w:val="22"/>
                <w:szCs w:val="22"/>
                <w:color w:val="auto"/>
              </w:rPr>
            </w:pPr>
          </w:p>
        </w:tc>
        <w:tc>
          <w:tcPr>
            <w:tcW w:w="100" w:type="dxa"/>
            <w:vAlign w:val="bottom"/>
            <w:tcBorders>
              <w:top w:val="single" w:sz="8" w:color="DBDBDB"/>
              <w:bottom w:val="single" w:sz="8" w:color="DBDBDB"/>
            </w:tcBorders>
            <w:shd w:val="clear" w:color="auto" w:fill="DBDBDB"/>
          </w:tcPr>
          <w:p>
            <w:pPr>
              <w:spacing w:after="0"/>
              <w:rPr>
                <w:sz w:val="22"/>
                <w:szCs w:val="22"/>
                <w:color w:val="auto"/>
              </w:rPr>
            </w:pPr>
          </w:p>
        </w:tc>
        <w:tc>
          <w:tcPr>
            <w:tcW w:w="100" w:type="dxa"/>
            <w:vAlign w:val="bottom"/>
            <w:tcBorders>
              <w:top w:val="single" w:sz="8" w:color="DBDBDB"/>
              <w:bottom w:val="single" w:sz="8" w:color="DBDBDB"/>
            </w:tcBorders>
            <w:shd w:val="clear" w:color="auto" w:fill="DBDBDB"/>
          </w:tcPr>
          <w:p>
            <w:pPr>
              <w:spacing w:after="0"/>
              <w:rPr>
                <w:sz w:val="22"/>
                <w:szCs w:val="22"/>
                <w:color w:val="auto"/>
              </w:rPr>
            </w:pPr>
          </w:p>
        </w:tc>
        <w:tc>
          <w:tcPr>
            <w:tcW w:w="20" w:type="dxa"/>
            <w:vAlign w:val="bottom"/>
            <w:tcBorders>
              <w:top w:val="single" w:sz="8" w:color="DBDBDB"/>
            </w:tcBorders>
            <w:shd w:val="clear" w:color="auto" w:fill="DBDBDB"/>
          </w:tcPr>
          <w:p>
            <w:pPr>
              <w:spacing w:after="0"/>
              <w:rPr>
                <w:sz w:val="22"/>
                <w:szCs w:val="22"/>
                <w:color w:val="auto"/>
              </w:rPr>
            </w:pPr>
          </w:p>
        </w:tc>
        <w:tc>
          <w:tcPr>
            <w:tcW w:w="1040" w:type="dxa"/>
            <w:vAlign w:val="bottom"/>
            <w:tcBorders>
              <w:top w:val="single" w:sz="8" w:color="DBDBDB"/>
              <w:bottom w:val="single" w:sz="8" w:color="DBDBDB"/>
            </w:tcBorders>
            <w:shd w:val="clear" w:color="auto" w:fill="DBDBDB"/>
          </w:tcPr>
          <w:p>
            <w:pPr>
              <w:spacing w:after="0"/>
              <w:rPr>
                <w:sz w:val="22"/>
                <w:szCs w:val="22"/>
                <w:color w:val="auto"/>
              </w:rPr>
            </w:pPr>
          </w:p>
        </w:tc>
        <w:tc>
          <w:tcPr>
            <w:tcW w:w="20" w:type="dxa"/>
            <w:vAlign w:val="bottom"/>
            <w:tcBorders>
              <w:top w:val="single" w:sz="8" w:color="DBDBDB"/>
              <w:bottom w:val="single" w:sz="8" w:color="DBDBDB"/>
            </w:tcBorders>
            <w:shd w:val="clear" w:color="auto" w:fill="DBDBDB"/>
          </w:tcPr>
          <w:p>
            <w:pPr>
              <w:spacing w:after="0"/>
              <w:rPr>
                <w:sz w:val="22"/>
                <w:szCs w:val="22"/>
                <w:color w:val="auto"/>
              </w:rPr>
            </w:pPr>
          </w:p>
        </w:tc>
        <w:tc>
          <w:tcPr>
            <w:tcW w:w="160" w:type="dxa"/>
            <w:vAlign w:val="bottom"/>
            <w:tcBorders>
              <w:top w:val="single" w:sz="8" w:color="DBDBDB"/>
              <w:bottom w:val="single" w:sz="8" w:color="DBDBDB"/>
            </w:tcBorders>
            <w:shd w:val="clear" w:color="auto" w:fill="DBDBDB"/>
          </w:tcPr>
          <w:p>
            <w:pPr>
              <w:spacing w:after="0"/>
              <w:rPr>
                <w:sz w:val="22"/>
                <w:szCs w:val="22"/>
                <w:color w:val="auto"/>
              </w:rPr>
            </w:pPr>
          </w:p>
        </w:tc>
        <w:tc>
          <w:tcPr>
            <w:tcW w:w="20" w:type="dxa"/>
            <w:vAlign w:val="bottom"/>
            <w:tcBorders>
              <w:top w:val="single" w:sz="8" w:color="DBDBDB"/>
              <w:bottom w:val="single" w:sz="8" w:color="auto"/>
            </w:tcBorders>
            <w:shd w:val="clear" w:color="auto" w:fill="DBDBDB"/>
          </w:tcPr>
          <w:p>
            <w:pPr>
              <w:spacing w:after="0"/>
              <w:rPr>
                <w:sz w:val="22"/>
                <w:szCs w:val="22"/>
                <w:color w:val="auto"/>
              </w:rPr>
            </w:pPr>
          </w:p>
        </w:tc>
        <w:tc>
          <w:tcPr>
            <w:tcW w:w="100" w:type="dxa"/>
            <w:vAlign w:val="bottom"/>
            <w:tcBorders>
              <w:top w:val="single" w:sz="8" w:color="auto"/>
              <w:bottom w:val="single" w:sz="8" w:color="auto"/>
            </w:tcBorders>
            <w:shd w:val="clear" w:color="auto" w:fill="DBDBDB"/>
          </w:tcPr>
          <w:p>
            <w:pPr>
              <w:spacing w:after="0"/>
              <w:rPr>
                <w:sz w:val="22"/>
                <w:szCs w:val="22"/>
                <w:color w:val="auto"/>
              </w:rPr>
            </w:pPr>
          </w:p>
        </w:tc>
        <w:tc>
          <w:tcPr>
            <w:tcW w:w="1060" w:type="dxa"/>
            <w:vAlign w:val="bottom"/>
            <w:tcBorders>
              <w:top w:val="single" w:sz="8" w:color="auto"/>
              <w:bottom w:val="single" w:sz="8" w:color="auto"/>
            </w:tcBorders>
            <w:shd w:val="clear" w:color="auto" w:fill="DBDBDB"/>
          </w:tcPr>
          <w:p>
            <w:pPr>
              <w:jc w:val="right"/>
              <w:spacing w:after="0" w:line="213" w:lineRule="exact"/>
              <w:rPr>
                <w:sz w:val="20"/>
                <w:szCs w:val="20"/>
                <w:color w:val="auto"/>
              </w:rPr>
            </w:pPr>
            <w:r>
              <w:rPr>
                <w:rFonts w:ascii="Times New Roman" w:cs="Times New Roman" w:eastAsia="Times New Roman" w:hAnsi="Times New Roman"/>
                <w:sz w:val="20"/>
                <w:szCs w:val="20"/>
                <w:color w:val="auto"/>
              </w:rPr>
              <w:t>23,749,971</w:t>
            </w:r>
          </w:p>
        </w:tc>
        <w:tc>
          <w:tcPr>
            <w:tcW w:w="100" w:type="dxa"/>
            <w:vAlign w:val="bottom"/>
            <w:tcBorders>
              <w:top w:val="single" w:sz="8" w:color="DBDBDB"/>
              <w:bottom w:val="single" w:sz="8" w:color="DBDBDB"/>
            </w:tcBorders>
            <w:shd w:val="clear" w:color="auto" w:fill="DBDBDB"/>
          </w:tcPr>
          <w:p>
            <w:pPr>
              <w:spacing w:after="0"/>
              <w:rPr>
                <w:sz w:val="22"/>
                <w:szCs w:val="22"/>
                <w:color w:val="auto"/>
              </w:rPr>
            </w:pPr>
          </w:p>
        </w:tc>
        <w:tc>
          <w:tcPr>
            <w:tcW w:w="80" w:type="dxa"/>
            <w:vAlign w:val="bottom"/>
            <w:tcBorders>
              <w:top w:val="single" w:sz="8" w:color="DBDBDB"/>
              <w:bottom w:val="single" w:sz="8" w:color="DBDBDB"/>
            </w:tcBorders>
            <w:shd w:val="clear" w:color="auto" w:fill="DBDBDB"/>
          </w:tcPr>
          <w:p>
            <w:pPr>
              <w:spacing w:after="0"/>
              <w:rPr>
                <w:sz w:val="22"/>
                <w:szCs w:val="22"/>
                <w:color w:val="auto"/>
              </w:rPr>
            </w:pPr>
          </w:p>
        </w:tc>
        <w:tc>
          <w:tcPr>
            <w:tcW w:w="20" w:type="dxa"/>
            <w:vAlign w:val="bottom"/>
            <w:tcBorders>
              <w:top w:val="single" w:sz="8" w:color="DBDBDB"/>
              <w:bottom w:val="single" w:sz="8" w:color="auto"/>
            </w:tcBorders>
            <w:shd w:val="clear" w:color="auto" w:fill="DBDBDB"/>
          </w:tcPr>
          <w:p>
            <w:pPr>
              <w:spacing w:after="0"/>
              <w:rPr>
                <w:sz w:val="22"/>
                <w:szCs w:val="22"/>
                <w:color w:val="auto"/>
              </w:rPr>
            </w:pPr>
          </w:p>
        </w:tc>
        <w:tc>
          <w:tcPr>
            <w:tcW w:w="100" w:type="dxa"/>
            <w:vAlign w:val="bottom"/>
            <w:tcBorders>
              <w:top w:val="single" w:sz="8" w:color="auto"/>
              <w:bottom w:val="single" w:sz="8" w:color="auto"/>
            </w:tcBorders>
            <w:shd w:val="clear" w:color="auto" w:fill="DBDBDB"/>
          </w:tcPr>
          <w:p>
            <w:pPr>
              <w:jc w:val="right"/>
              <w:spacing w:after="0" w:line="206"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060" w:type="dxa"/>
            <w:vAlign w:val="bottom"/>
            <w:tcBorders>
              <w:top w:val="single" w:sz="8" w:color="auto"/>
              <w:bottom w:val="single" w:sz="8" w:color="auto"/>
            </w:tcBorders>
            <w:shd w:val="clear" w:color="auto" w:fill="DBDBDB"/>
          </w:tcPr>
          <w:p>
            <w:pPr>
              <w:jc w:val="right"/>
              <w:spacing w:after="0" w:line="206" w:lineRule="exact"/>
              <w:rPr>
                <w:sz w:val="20"/>
                <w:szCs w:val="20"/>
                <w:color w:val="auto"/>
              </w:rPr>
            </w:pPr>
            <w:r>
              <w:rPr>
                <w:rFonts w:ascii="Times New Roman" w:cs="Times New Roman" w:eastAsia="Times New Roman" w:hAnsi="Times New Roman"/>
                <w:sz w:val="20"/>
                <w:szCs w:val="20"/>
                <w:color w:val="auto"/>
              </w:rPr>
              <w:t>519,400</w:t>
            </w:r>
          </w:p>
        </w:tc>
        <w:tc>
          <w:tcPr>
            <w:tcW w:w="180" w:type="dxa"/>
            <w:vAlign w:val="bottom"/>
            <w:tcBorders>
              <w:top w:val="single" w:sz="8" w:color="DBDBDB"/>
              <w:bottom w:val="single" w:sz="8" w:color="DBDBDB"/>
            </w:tcBorders>
            <w:shd w:val="clear" w:color="auto" w:fill="DBDBDB"/>
          </w:tcPr>
          <w:p>
            <w:pPr>
              <w:spacing w:after="0"/>
              <w:rPr>
                <w:sz w:val="22"/>
                <w:szCs w:val="22"/>
                <w:color w:val="auto"/>
              </w:rPr>
            </w:pPr>
          </w:p>
        </w:tc>
        <w:tc>
          <w:tcPr>
            <w:tcW w:w="20" w:type="dxa"/>
            <w:vAlign w:val="bottom"/>
            <w:tcBorders>
              <w:top w:val="single" w:sz="8" w:color="DBDBDB"/>
              <w:bottom w:val="single" w:sz="8" w:color="auto"/>
            </w:tcBorders>
            <w:shd w:val="clear" w:color="auto" w:fill="DBDBDB"/>
          </w:tcPr>
          <w:p>
            <w:pPr>
              <w:spacing w:after="0"/>
              <w:rPr>
                <w:sz w:val="22"/>
                <w:szCs w:val="22"/>
                <w:color w:val="auto"/>
              </w:rPr>
            </w:pPr>
          </w:p>
        </w:tc>
        <w:tc>
          <w:tcPr>
            <w:tcW w:w="120" w:type="dxa"/>
            <w:vAlign w:val="bottom"/>
            <w:tcBorders>
              <w:top w:val="single" w:sz="8" w:color="auto"/>
              <w:bottom w:val="single" w:sz="8" w:color="auto"/>
            </w:tcBorders>
            <w:shd w:val="clear" w:color="auto" w:fill="DBDBDB"/>
          </w:tcPr>
          <w:p>
            <w:pPr>
              <w:spacing w:after="0" w:line="206" w:lineRule="exact"/>
              <w:rPr>
                <w:sz w:val="20"/>
                <w:szCs w:val="20"/>
                <w:color w:val="auto"/>
              </w:rPr>
            </w:pPr>
            <w:r>
              <w:rPr>
                <w:rFonts w:ascii="Times New Roman" w:cs="Times New Roman" w:eastAsia="Times New Roman" w:hAnsi="Times New Roman"/>
                <w:sz w:val="20"/>
                <w:szCs w:val="20"/>
                <w:color w:val="auto"/>
                <w:highlight w:val="lightGray"/>
                <w:w w:val="99"/>
              </w:rPr>
              <w:t>$</w:t>
            </w:r>
          </w:p>
        </w:tc>
        <w:tc>
          <w:tcPr>
            <w:tcW w:w="1180" w:type="dxa"/>
            <w:vAlign w:val="bottom"/>
            <w:tcBorders>
              <w:top w:val="single" w:sz="8" w:color="auto"/>
              <w:bottom w:val="single" w:sz="8" w:color="auto"/>
            </w:tcBorders>
            <w:shd w:val="clear" w:color="auto" w:fill="DBDBDB"/>
          </w:tcPr>
          <w:p>
            <w:pPr>
              <w:ind w:left="620"/>
              <w:spacing w:after="0" w:line="206" w:lineRule="exact"/>
              <w:rPr>
                <w:sz w:val="20"/>
                <w:szCs w:val="20"/>
                <w:color w:val="auto"/>
              </w:rPr>
            </w:pPr>
            <w:r>
              <w:rPr>
                <w:rFonts w:ascii="Times New Roman" w:cs="Times New Roman" w:eastAsia="Times New Roman" w:hAnsi="Times New Roman"/>
                <w:sz w:val="20"/>
                <w:szCs w:val="20"/>
                <w:color w:val="auto"/>
                <w:w w:val="98"/>
              </w:rPr>
              <w:t>10,600</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Registered Direct Offering</w:t>
      </w:r>
    </w:p>
    <w:p>
      <w:pPr>
        <w:spacing w:after="0" w:line="218" w:lineRule="exact"/>
        <w:rPr>
          <w:sz w:val="20"/>
          <w:szCs w:val="20"/>
          <w:color w:val="auto"/>
        </w:rPr>
      </w:pPr>
    </w:p>
    <w:p>
      <w:pPr>
        <w:jc w:val="both"/>
        <w:ind w:left="20" w:firstLine="706"/>
        <w:spacing w:after="0" w:line="245" w:lineRule="auto"/>
        <w:rPr>
          <w:sz w:val="20"/>
          <w:szCs w:val="20"/>
          <w:color w:val="auto"/>
        </w:rPr>
      </w:pPr>
      <w:r>
        <w:rPr>
          <w:rFonts w:ascii="Times New Roman" w:cs="Times New Roman" w:eastAsia="Times New Roman" w:hAnsi="Times New Roman"/>
          <w:sz w:val="20"/>
          <w:szCs w:val="20"/>
          <w:color w:val="auto"/>
        </w:rPr>
        <w:t>On December 23, 2024, the Company issued an aggregate of 1,036,458 shares of the Company’s common stock, par value $0.001 per share, at a purchase price of $33.97 per share, in a registered direct offering (the "Registered Direct Offering"). The Registered Direct Offering was made pursuant to the Automatic Shelf Registration Statement. The Registered Direct Offering closed on December 23, 2024.</w:t>
      </w:r>
    </w:p>
    <w:p>
      <w:pPr>
        <w:spacing w:after="0" w:line="188" w:lineRule="exact"/>
        <w:rPr>
          <w:sz w:val="20"/>
          <w:szCs w:val="20"/>
          <w:color w:val="auto"/>
        </w:rPr>
      </w:pPr>
    </w:p>
    <w:p>
      <w:pPr>
        <w:jc w:val="both"/>
        <w:ind w:left="20" w:firstLine="706"/>
        <w:spacing w:after="0" w:line="246" w:lineRule="auto"/>
        <w:rPr>
          <w:sz w:val="20"/>
          <w:szCs w:val="20"/>
          <w:color w:val="auto"/>
        </w:rPr>
      </w:pPr>
      <w:r>
        <w:rPr>
          <w:rFonts w:ascii="Times New Roman" w:cs="Times New Roman" w:eastAsia="Times New Roman" w:hAnsi="Times New Roman"/>
          <w:sz w:val="20"/>
          <w:szCs w:val="20"/>
          <w:color w:val="auto"/>
        </w:rPr>
        <w:t>Raymond James and Associates, Inc. acted as the sole placement agent (the "Placement Agent") for the Company in connection with the Registered Direct Offering. Pursuant to that certain Placement Agency Agreement, dated as of December 18, 2024, between the Company and the Placement Agent, the Placement Agent is entitled to a fee equal to an aggregate of 3% of the aggregate principal amount of the Registered Direct Offering.</w:t>
      </w:r>
    </w:p>
    <w:p>
      <w:pPr>
        <w:spacing w:after="0" w:line="184" w:lineRule="exact"/>
        <w:rPr>
          <w:sz w:val="20"/>
          <w:szCs w:val="20"/>
          <w:color w:val="auto"/>
        </w:rPr>
      </w:pPr>
    </w:p>
    <w:p>
      <w:pPr>
        <w:jc w:val="both"/>
        <w:ind w:left="20" w:firstLine="706"/>
        <w:spacing w:after="0" w:line="243" w:lineRule="auto"/>
        <w:rPr>
          <w:sz w:val="20"/>
          <w:szCs w:val="20"/>
          <w:color w:val="auto"/>
        </w:rPr>
      </w:pPr>
      <w:r>
        <w:rPr>
          <w:rFonts w:ascii="Times New Roman" w:cs="Times New Roman" w:eastAsia="Times New Roman" w:hAnsi="Times New Roman"/>
          <w:sz w:val="20"/>
          <w:szCs w:val="20"/>
          <w:color w:val="auto"/>
        </w:rPr>
        <w:t>The Registered Direct Offering generated proceeds of approximately $33.7 million, after deducting placement agent fees and other estimated offering expenses payable by us. The Company intends to use the net proceeds from the Registered Direct Offering for general corporate purposes, which may include among other things, capital expenditures and working capital. The Company may also use such proceeds to fund acquisitions of businesses, technologies or product lines that complement its current business; however the Company has no present plans, agreements or commitments with respect to any potential acquisition.</w:t>
      </w:r>
    </w:p>
    <w:p>
      <w:pPr>
        <w:spacing w:after="0" w:line="1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NOTE R—SEGMENT AND GEOGRAPHIC INFORMATION</w:t>
      </w:r>
    </w:p>
    <w:p>
      <w:pPr>
        <w:spacing w:after="0" w:line="225" w:lineRule="exact"/>
        <w:rPr>
          <w:sz w:val="20"/>
          <w:szCs w:val="20"/>
          <w:color w:val="auto"/>
        </w:rPr>
      </w:pPr>
    </w:p>
    <w:p>
      <w:pPr>
        <w:jc w:val="both"/>
        <w:ind w:left="20" w:firstLine="706"/>
        <w:spacing w:after="0" w:line="273" w:lineRule="auto"/>
        <w:rPr>
          <w:sz w:val="20"/>
          <w:szCs w:val="20"/>
          <w:color w:val="auto"/>
        </w:rPr>
      </w:pPr>
      <w:r>
        <w:rPr>
          <w:rFonts w:ascii="Times New Roman" w:cs="Times New Roman" w:eastAsia="Times New Roman" w:hAnsi="Times New Roman"/>
          <w:sz w:val="18"/>
          <w:szCs w:val="18"/>
          <w:color w:val="auto"/>
        </w:rPr>
        <w:t>The Company operates in one reportable segment. The Company’s Chief Executive Officer, who is considered to be the chief operating decision maker ("CODM"), manages the Company’s operations as a whole and reviews financial information presented on a consolidated basis, accompanied by information about product revenue, for purposes of evaluating financial performance and allocating resources. Our CEO is the functional head of all operations and manufacturing. Our Board, in conjunction with our CODM, considers our consolidated performance and does not have individual financial or operating goals for each location, nor for any other subset of the Company's operations. As such, the Company has determined it operates as one reportable segment.</w:t>
      </w:r>
    </w:p>
    <w:p>
      <w:pPr>
        <w:spacing w:after="0" w:line="166" w:lineRule="exact"/>
        <w:rPr>
          <w:sz w:val="20"/>
          <w:szCs w:val="20"/>
          <w:color w:val="auto"/>
        </w:rPr>
      </w:pPr>
    </w:p>
    <w:p>
      <w:pPr>
        <w:jc w:val="both"/>
        <w:ind w:left="20" w:firstLine="706"/>
        <w:spacing w:after="0" w:line="321" w:lineRule="auto"/>
        <w:rPr>
          <w:sz w:val="20"/>
          <w:szCs w:val="20"/>
          <w:color w:val="auto"/>
        </w:rPr>
      </w:pPr>
      <w:r>
        <w:rPr>
          <w:rFonts w:ascii="Times New Roman" w:cs="Times New Roman" w:eastAsia="Times New Roman" w:hAnsi="Times New Roman"/>
          <w:sz w:val="18"/>
          <w:szCs w:val="18"/>
          <w:color w:val="auto"/>
        </w:rPr>
        <w:t>Our CODM uses net income or loss to allocate resources and assess performance. The CODM regularly reviews the consolidated net income or loss to make strategic decisions, such as capital expenditure plan, production plan and manpower allocation.</w:t>
      </w:r>
    </w:p>
    <w:p>
      <w:pPr>
        <w:sectPr>
          <w:pgSz w:w="11880" w:h="15480" w:orient="portrait"/>
          <w:cols w:equalWidth="0" w:num="1">
            <w:col w:w="10620"/>
          </w:cols>
          <w:pgMar w:left="620" w:top="410"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F-30</w:t>
      </w:r>
    </w:p>
    <w:p>
      <w:pPr>
        <w:sectPr>
          <w:pgSz w:w="11880" w:h="15480" w:orient="portrait"/>
          <w:cols w:equalWidth="0" w:num="1">
            <w:col w:w="10620"/>
          </w:cols>
          <w:pgMar w:left="620" w:top="410" w:right="640" w:bottom="0" w:gutter="0" w:footer="0" w:header="0"/>
          <w:type w:val="continuous"/>
        </w:sectPr>
      </w:pPr>
    </w:p>
    <w:bookmarkStart w:id="90" w:name="page91"/>
    <w:bookmarkEnd w:id="90"/>
    <w:tbl>
      <w:tblPr>
        <w:tblLayout w:type="fixed"/>
        <w:tblInd w:w="0" w:type="dxa"/>
        <w:tblCellMar>
          <w:top w:w="0" w:type="dxa"/>
          <w:left w:w="0" w:type="dxa"/>
          <w:bottom w:w="0" w:type="dxa"/>
          <w:right w:w="0" w:type="dxa"/>
        </w:tblCellMar>
      </w:tblPr>
      <w:tr>
        <w:trPr>
          <w:trHeight w:val="255"/>
        </w:trPr>
        <w:tc>
          <w:tcPr>
            <w:tcW w:w="4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8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20"/>
                <w:szCs w:val="20"/>
                <w:b w:val="1"/>
                <w:bCs w:val="1"/>
                <w:color w:val="auto"/>
              </w:rPr>
              <w:t>Years Ended December 31,</w:t>
            </w:r>
          </w:p>
        </w:tc>
        <w:tc>
          <w:tcPr>
            <w:tcW w:w="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spacing w:after="0"/>
              <w:rPr>
                <w:sz w:val="22"/>
                <w:szCs w:val="22"/>
                <w:color w:val="auto"/>
              </w:rPr>
            </w:pPr>
          </w:p>
        </w:tc>
      </w:tr>
      <w:tr>
        <w:trPr>
          <w:trHeight w:val="229"/>
        </w:trPr>
        <w:tc>
          <w:tcPr>
            <w:tcW w:w="4920" w:type="dxa"/>
            <w:vAlign w:val="bottom"/>
            <w:tcBorders>
              <w:bottom w:val="single" w:sz="8" w:color="DBDBDB"/>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20"/>
                <w:szCs w:val="20"/>
                <w:b w:val="1"/>
                <w:bCs w:val="1"/>
                <w:color w:val="auto"/>
              </w:rPr>
              <w:t>2025</w:t>
            </w:r>
          </w:p>
        </w:tc>
        <w:tc>
          <w:tcPr>
            <w:tcW w:w="200" w:type="dxa"/>
            <w:vAlign w:val="bottom"/>
            <w:tcBorders>
              <w:bottom w:val="single" w:sz="8" w:color="DBDBD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20"/>
                <w:szCs w:val="20"/>
                <w:b w:val="1"/>
                <w:bCs w:val="1"/>
                <w:color w:val="auto"/>
              </w:rPr>
              <w:t>2024</w:t>
            </w:r>
          </w:p>
        </w:tc>
        <w:tc>
          <w:tcPr>
            <w:tcW w:w="200" w:type="dxa"/>
            <w:vAlign w:val="bottom"/>
            <w:tcBorders>
              <w:bottom w:val="single" w:sz="8" w:color="DBDBD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2"/>
          </w:tcPr>
          <w:p>
            <w:pPr>
              <w:jc w:val="right"/>
              <w:ind w:right="582"/>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25"/>
        </w:trPr>
        <w:tc>
          <w:tcPr>
            <w:tcW w:w="4920" w:type="dxa"/>
            <w:vAlign w:val="bottom"/>
            <w:shd w:val="clear" w:color="auto" w:fill="DBDBDB"/>
          </w:tcPr>
          <w:p>
            <w:pPr>
              <w:ind w:left="20"/>
              <w:spacing w:after="0" w:line="220" w:lineRule="exact"/>
              <w:rPr>
                <w:sz w:val="20"/>
                <w:szCs w:val="20"/>
                <w:color w:val="auto"/>
              </w:rPr>
            </w:pPr>
            <w:r>
              <w:rPr>
                <w:rFonts w:ascii="Times New Roman" w:cs="Times New Roman" w:eastAsia="Times New Roman" w:hAnsi="Times New Roman"/>
                <w:sz w:val="20"/>
                <w:szCs w:val="20"/>
                <w:color w:val="auto"/>
              </w:rPr>
              <w:t>Revenue</w:t>
            </w:r>
          </w:p>
        </w:tc>
        <w:tc>
          <w:tcPr>
            <w:tcW w:w="100" w:type="dxa"/>
            <w:vAlign w:val="bottom"/>
            <w:tcBorders>
              <w:right w:val="single" w:sz="8" w:color="DBDBDB"/>
            </w:tcBorders>
            <w:shd w:val="clear" w:color="auto" w:fill="DBDBDB"/>
          </w:tcPr>
          <w:p>
            <w:pPr>
              <w:spacing w:after="0"/>
              <w:rPr>
                <w:sz w:val="19"/>
                <w:szCs w:val="19"/>
                <w:color w:val="auto"/>
              </w:rPr>
            </w:pPr>
          </w:p>
        </w:tc>
        <w:tc>
          <w:tcPr>
            <w:tcW w:w="120" w:type="dxa"/>
            <w:vAlign w:val="bottom"/>
            <w:shd w:val="clear" w:color="auto" w:fill="DBDBDB"/>
          </w:tcPr>
          <w:p>
            <w:pPr>
              <w:jc w:val="right"/>
              <w:spacing w:after="0" w:line="225"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600" w:type="dxa"/>
            <w:vAlign w:val="bottom"/>
            <w:shd w:val="clear" w:color="auto" w:fill="DBDBDB"/>
          </w:tcPr>
          <w:p>
            <w:pPr>
              <w:jc w:val="right"/>
              <w:spacing w:after="0" w:line="225" w:lineRule="exact"/>
              <w:rPr>
                <w:sz w:val="20"/>
                <w:szCs w:val="20"/>
                <w:color w:val="auto"/>
              </w:rPr>
            </w:pPr>
            <w:r>
              <w:rPr>
                <w:rFonts w:ascii="Times New Roman" w:cs="Times New Roman" w:eastAsia="Times New Roman" w:hAnsi="Times New Roman"/>
                <w:sz w:val="20"/>
                <w:szCs w:val="20"/>
                <w:color w:val="auto"/>
              </w:rPr>
              <w:t>455,715</w:t>
            </w:r>
          </w:p>
        </w:tc>
        <w:tc>
          <w:tcPr>
            <w:tcW w:w="200" w:type="dxa"/>
            <w:vAlign w:val="bottom"/>
            <w:tcBorders>
              <w:right w:val="single" w:sz="8" w:color="DBDBDB"/>
            </w:tcBorders>
            <w:shd w:val="clear" w:color="auto" w:fill="DBDBDB"/>
          </w:tcPr>
          <w:p>
            <w:pPr>
              <w:spacing w:after="0"/>
              <w:rPr>
                <w:sz w:val="19"/>
                <w:szCs w:val="19"/>
                <w:color w:val="auto"/>
              </w:rPr>
            </w:pPr>
          </w:p>
        </w:tc>
        <w:tc>
          <w:tcPr>
            <w:tcW w:w="120" w:type="dxa"/>
            <w:vAlign w:val="bottom"/>
            <w:shd w:val="clear" w:color="auto" w:fill="DBDBDB"/>
          </w:tcPr>
          <w:p>
            <w:pPr>
              <w:jc w:val="right"/>
              <w:spacing w:after="0" w:line="225"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600" w:type="dxa"/>
            <w:vAlign w:val="bottom"/>
            <w:shd w:val="clear" w:color="auto" w:fill="DBDBDB"/>
          </w:tcPr>
          <w:p>
            <w:pPr>
              <w:jc w:val="right"/>
              <w:spacing w:after="0" w:line="225" w:lineRule="exact"/>
              <w:rPr>
                <w:sz w:val="20"/>
                <w:szCs w:val="20"/>
                <w:color w:val="auto"/>
              </w:rPr>
            </w:pPr>
            <w:r>
              <w:rPr>
                <w:rFonts w:ascii="Times New Roman" w:cs="Times New Roman" w:eastAsia="Times New Roman" w:hAnsi="Times New Roman"/>
                <w:sz w:val="20"/>
                <w:szCs w:val="20"/>
                <w:color w:val="auto"/>
              </w:rPr>
              <w:t>249,365</w:t>
            </w:r>
          </w:p>
        </w:tc>
        <w:tc>
          <w:tcPr>
            <w:tcW w:w="200" w:type="dxa"/>
            <w:vAlign w:val="bottom"/>
            <w:shd w:val="clear" w:color="auto" w:fill="DBDBDB"/>
          </w:tcPr>
          <w:p>
            <w:pPr>
              <w:spacing w:after="0"/>
              <w:rPr>
                <w:sz w:val="19"/>
                <w:szCs w:val="19"/>
                <w:color w:val="auto"/>
              </w:rPr>
            </w:pPr>
          </w:p>
        </w:tc>
        <w:tc>
          <w:tcPr>
            <w:tcW w:w="120" w:type="dxa"/>
            <w:vAlign w:val="bottom"/>
            <w:shd w:val="clear" w:color="auto" w:fill="DBDBDB"/>
          </w:tcPr>
          <w:p>
            <w:pPr>
              <w:jc w:val="right"/>
              <w:spacing w:after="0" w:line="225"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20" w:type="dxa"/>
            <w:vAlign w:val="bottom"/>
            <w:shd w:val="clear" w:color="auto" w:fill="DBDBDB"/>
          </w:tcPr>
          <w:p>
            <w:pPr>
              <w:spacing w:after="0"/>
              <w:rPr>
                <w:sz w:val="19"/>
                <w:szCs w:val="19"/>
                <w:color w:val="auto"/>
              </w:rPr>
            </w:pPr>
          </w:p>
        </w:tc>
        <w:tc>
          <w:tcPr>
            <w:tcW w:w="1600" w:type="dxa"/>
            <w:vAlign w:val="bottom"/>
            <w:shd w:val="clear" w:color="auto" w:fill="DBDBDB"/>
          </w:tcPr>
          <w:p>
            <w:pPr>
              <w:jc w:val="right"/>
              <w:spacing w:after="0" w:line="225" w:lineRule="exact"/>
              <w:rPr>
                <w:sz w:val="20"/>
                <w:szCs w:val="20"/>
                <w:color w:val="auto"/>
              </w:rPr>
            </w:pPr>
            <w:r>
              <w:rPr>
                <w:rFonts w:ascii="Times New Roman" w:cs="Times New Roman" w:eastAsia="Times New Roman" w:hAnsi="Times New Roman"/>
                <w:sz w:val="20"/>
                <w:szCs w:val="20"/>
                <w:color w:val="auto"/>
              </w:rPr>
              <w:t>217,646</w:t>
            </w:r>
          </w:p>
        </w:tc>
      </w:tr>
      <w:tr>
        <w:trPr>
          <w:trHeight w:val="235"/>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Cost of goods sold</w:t>
            </w: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(318,802)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(187,565)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(158,725)</w:t>
            </w:r>
          </w:p>
        </w:tc>
      </w:tr>
      <w:tr>
        <w:trPr>
          <w:trHeight w:val="235"/>
        </w:trPr>
        <w:tc>
          <w:tcPr>
            <w:tcW w:w="4920" w:type="dxa"/>
            <w:vAlign w:val="bottom"/>
            <w:shd w:val="clear" w:color="auto" w:fill="DBDBDB"/>
          </w:tcPr>
          <w:p>
            <w:pPr>
              <w:ind w:left="20"/>
              <w:spacing w:after="0"/>
              <w:rPr>
                <w:sz w:val="20"/>
                <w:szCs w:val="20"/>
                <w:color w:val="auto"/>
              </w:rPr>
            </w:pPr>
            <w:r>
              <w:rPr>
                <w:rFonts w:ascii="Times New Roman" w:cs="Times New Roman" w:eastAsia="Times New Roman" w:hAnsi="Times New Roman"/>
                <w:sz w:val="20"/>
                <w:szCs w:val="20"/>
                <w:color w:val="auto"/>
              </w:rPr>
              <w:t>Adjusted research and development</w:t>
            </w:r>
          </w:p>
        </w:tc>
        <w:tc>
          <w:tcPr>
            <w:tcW w:w="100" w:type="dxa"/>
            <w:vAlign w:val="bottom"/>
            <w:tcBorders>
              <w:right w:val="single" w:sz="8" w:color="DBDBDB"/>
            </w:tcBorders>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6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(84,177)</w:t>
            </w:r>
          </w:p>
        </w:tc>
        <w:tc>
          <w:tcPr>
            <w:tcW w:w="200" w:type="dxa"/>
            <w:vAlign w:val="bottom"/>
            <w:tcBorders>
              <w:right w:val="single" w:sz="8" w:color="DBDBDB"/>
            </w:tcBorders>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6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(53,383)</w:t>
            </w:r>
          </w:p>
        </w:tc>
        <w:tc>
          <w:tcPr>
            <w:tcW w:w="20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20" w:type="dxa"/>
            <w:vAlign w:val="bottom"/>
            <w:shd w:val="clear" w:color="auto" w:fill="DBDBDB"/>
          </w:tcPr>
          <w:p>
            <w:pPr>
              <w:spacing w:after="0"/>
              <w:rPr>
                <w:sz w:val="20"/>
                <w:szCs w:val="20"/>
                <w:color w:val="auto"/>
              </w:rPr>
            </w:pPr>
          </w:p>
        </w:tc>
        <w:tc>
          <w:tcPr>
            <w:tcW w:w="16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(34,483)</w:t>
            </w:r>
          </w:p>
        </w:tc>
      </w:tr>
      <w:tr>
        <w:trPr>
          <w:trHeight w:val="235"/>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Adjusted sales and marketing</w:t>
            </w: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(28,723)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(15,805)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(9,959)</w:t>
            </w:r>
          </w:p>
        </w:tc>
      </w:tr>
      <w:tr>
        <w:trPr>
          <w:trHeight w:val="235"/>
        </w:trPr>
        <w:tc>
          <w:tcPr>
            <w:tcW w:w="4920" w:type="dxa"/>
            <w:vAlign w:val="bottom"/>
            <w:shd w:val="clear" w:color="auto" w:fill="DBDBDB"/>
          </w:tcPr>
          <w:p>
            <w:pPr>
              <w:ind w:left="20"/>
              <w:spacing w:after="0"/>
              <w:rPr>
                <w:sz w:val="20"/>
                <w:szCs w:val="20"/>
                <w:color w:val="auto"/>
              </w:rPr>
            </w:pPr>
            <w:r>
              <w:rPr>
                <w:rFonts w:ascii="Times New Roman" w:cs="Times New Roman" w:eastAsia="Times New Roman" w:hAnsi="Times New Roman"/>
                <w:sz w:val="20"/>
                <w:szCs w:val="20"/>
                <w:color w:val="auto"/>
              </w:rPr>
              <w:t>Adjusted general and admin</w:t>
            </w:r>
          </w:p>
        </w:tc>
        <w:tc>
          <w:tcPr>
            <w:tcW w:w="100" w:type="dxa"/>
            <w:vAlign w:val="bottom"/>
            <w:tcBorders>
              <w:right w:val="single" w:sz="8" w:color="DBDBDB"/>
            </w:tcBorders>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6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(60,934)</w:t>
            </w:r>
          </w:p>
        </w:tc>
        <w:tc>
          <w:tcPr>
            <w:tcW w:w="200" w:type="dxa"/>
            <w:vAlign w:val="bottom"/>
            <w:tcBorders>
              <w:right w:val="single" w:sz="8" w:color="DBDBDB"/>
            </w:tcBorders>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6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(41,037)</w:t>
            </w:r>
          </w:p>
        </w:tc>
        <w:tc>
          <w:tcPr>
            <w:tcW w:w="20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20" w:type="dxa"/>
            <w:vAlign w:val="bottom"/>
            <w:shd w:val="clear" w:color="auto" w:fill="DBDBDB"/>
          </w:tcPr>
          <w:p>
            <w:pPr>
              <w:spacing w:after="0"/>
              <w:rPr>
                <w:sz w:val="20"/>
                <w:szCs w:val="20"/>
                <w:color w:val="auto"/>
              </w:rPr>
            </w:pPr>
          </w:p>
        </w:tc>
        <w:tc>
          <w:tcPr>
            <w:tcW w:w="16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(37,118)</w:t>
            </w:r>
          </w:p>
        </w:tc>
      </w:tr>
      <w:tr>
        <w:trPr>
          <w:trHeight w:val="238"/>
        </w:trPr>
        <w:tc>
          <w:tcPr>
            <w:tcW w:w="5020" w:type="dxa"/>
            <w:vAlign w:val="bottom"/>
            <w:tcBorders>
              <w:bottom w:val="single" w:sz="8" w:color="DBDBDB"/>
            </w:tcBorders>
            <w:gridSpan w:val="2"/>
          </w:tcPr>
          <w:p>
            <w:pPr>
              <w:ind w:left="20"/>
              <w:spacing w:after="0"/>
              <w:rPr>
                <w:sz w:val="20"/>
                <w:szCs w:val="20"/>
                <w:color w:val="auto"/>
              </w:rPr>
            </w:pPr>
            <w:r>
              <w:rPr>
                <w:rFonts w:ascii="Times New Roman" w:cs="Times New Roman" w:eastAsia="Times New Roman" w:hAnsi="Times New Roman"/>
                <w:sz w:val="20"/>
                <w:szCs w:val="20"/>
                <w:color w:val="auto"/>
              </w:rPr>
              <w:t>Other segment items</w:t>
            </w:r>
          </w:p>
        </w:tc>
        <w:tc>
          <w:tcPr>
            <w:tcW w:w="1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(1,307)</w:t>
            </w:r>
          </w:p>
        </w:tc>
        <w:tc>
          <w:tcPr>
            <w:tcW w:w="200" w:type="dxa"/>
            <w:vAlign w:val="bottom"/>
            <w:tcBorders>
              <w:bottom w:val="single" w:sz="8" w:color="DBDBDB"/>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(138,308)</w:t>
            </w:r>
          </w:p>
        </w:tc>
        <w:tc>
          <w:tcPr>
            <w:tcW w:w="200" w:type="dxa"/>
            <w:vAlign w:val="bottom"/>
            <w:tcBorders>
              <w:bottom w:val="single" w:sz="8" w:color="DBDBDB"/>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(33,409)</w:t>
            </w:r>
          </w:p>
        </w:tc>
      </w:tr>
      <w:tr>
        <w:trPr>
          <w:trHeight w:val="267"/>
        </w:trPr>
        <w:tc>
          <w:tcPr>
            <w:tcW w:w="4920" w:type="dxa"/>
            <w:vAlign w:val="bottom"/>
            <w:tcBorders>
              <w:bottom w:val="single" w:sz="8" w:color="DBDBDB"/>
            </w:tcBorders>
            <w:shd w:val="clear" w:color="auto" w:fill="DBDBDB"/>
          </w:tcPr>
          <w:p>
            <w:pPr>
              <w:ind w:left="20"/>
              <w:spacing w:after="0" w:line="220" w:lineRule="exact"/>
              <w:rPr>
                <w:sz w:val="20"/>
                <w:szCs w:val="20"/>
                <w:color w:val="auto"/>
              </w:rPr>
            </w:pPr>
            <w:r>
              <w:rPr>
                <w:rFonts w:ascii="Times New Roman" w:cs="Times New Roman" w:eastAsia="Times New Roman" w:hAnsi="Times New Roman"/>
                <w:sz w:val="20"/>
                <w:szCs w:val="20"/>
                <w:color w:val="auto"/>
              </w:rPr>
              <w:t>Net loss</w:t>
            </w:r>
          </w:p>
        </w:tc>
        <w:tc>
          <w:tcPr>
            <w:tcW w:w="100" w:type="dxa"/>
            <w:vAlign w:val="bottom"/>
            <w:tcBorders>
              <w:bottom w:val="single" w:sz="8" w:color="DBDBDB"/>
              <w:right w:val="single" w:sz="8" w:color="DBDBDB"/>
            </w:tcBorders>
            <w:shd w:val="clear" w:color="auto" w:fill="DBDBDB"/>
          </w:tcPr>
          <w:p>
            <w:pPr>
              <w:spacing w:after="0"/>
              <w:rPr>
                <w:sz w:val="22"/>
                <w:szCs w:val="22"/>
                <w:color w:val="auto"/>
              </w:rPr>
            </w:pPr>
          </w:p>
        </w:tc>
        <w:tc>
          <w:tcPr>
            <w:tcW w:w="120" w:type="dxa"/>
            <w:vAlign w:val="bottom"/>
            <w:tcBorders>
              <w:bottom w:val="single" w:sz="8" w:color="DBDBDB"/>
            </w:tcBorders>
            <w:shd w:val="clear" w:color="auto" w:fill="DBDBDB"/>
          </w:tcPr>
          <w:p>
            <w:pPr>
              <w:spacing w:after="0"/>
              <w:rPr>
                <w:sz w:val="22"/>
                <w:szCs w:val="22"/>
                <w:color w:val="auto"/>
              </w:rPr>
            </w:pPr>
          </w:p>
        </w:tc>
        <w:tc>
          <w:tcPr>
            <w:tcW w:w="160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rPr>
              <w:t>(38,228)</w:t>
            </w:r>
          </w:p>
        </w:tc>
        <w:tc>
          <w:tcPr>
            <w:tcW w:w="200" w:type="dxa"/>
            <w:vAlign w:val="bottom"/>
            <w:tcBorders>
              <w:bottom w:val="single" w:sz="8" w:color="DBDBDB"/>
              <w:right w:val="single" w:sz="8" w:color="DBDBDB"/>
            </w:tcBorders>
            <w:shd w:val="clear" w:color="auto" w:fill="DBDBDB"/>
          </w:tcPr>
          <w:p>
            <w:pPr>
              <w:spacing w:after="0"/>
              <w:rPr>
                <w:sz w:val="22"/>
                <w:szCs w:val="22"/>
                <w:color w:val="auto"/>
              </w:rPr>
            </w:pPr>
          </w:p>
        </w:tc>
        <w:tc>
          <w:tcPr>
            <w:tcW w:w="120" w:type="dxa"/>
            <w:vAlign w:val="bottom"/>
            <w:tcBorders>
              <w:bottom w:val="single" w:sz="8" w:color="DBDBDB"/>
            </w:tcBorders>
            <w:shd w:val="clear" w:color="auto" w:fill="DBDBDB"/>
          </w:tcPr>
          <w:p>
            <w:pPr>
              <w:spacing w:after="0"/>
              <w:rPr>
                <w:sz w:val="22"/>
                <w:szCs w:val="22"/>
                <w:color w:val="auto"/>
              </w:rPr>
            </w:pPr>
          </w:p>
        </w:tc>
        <w:tc>
          <w:tcPr>
            <w:tcW w:w="160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rPr>
              <w:t>(186,733)</w:t>
            </w:r>
          </w:p>
        </w:tc>
        <w:tc>
          <w:tcPr>
            <w:tcW w:w="200" w:type="dxa"/>
            <w:vAlign w:val="bottom"/>
            <w:tcBorders>
              <w:bottom w:val="single" w:sz="8" w:color="DBDBDB"/>
            </w:tcBorders>
            <w:shd w:val="clear" w:color="auto" w:fill="DBDBDB"/>
          </w:tcPr>
          <w:p>
            <w:pPr>
              <w:spacing w:after="0"/>
              <w:rPr>
                <w:sz w:val="22"/>
                <w:szCs w:val="22"/>
                <w:color w:val="auto"/>
              </w:rPr>
            </w:pPr>
          </w:p>
        </w:tc>
        <w:tc>
          <w:tcPr>
            <w:tcW w:w="120" w:type="dxa"/>
            <w:vAlign w:val="bottom"/>
            <w:tcBorders>
              <w:bottom w:val="single" w:sz="8" w:color="DBDBDB"/>
            </w:tcBorders>
            <w:shd w:val="clear" w:color="auto" w:fill="DBDBDB"/>
          </w:tcPr>
          <w:p>
            <w:pPr>
              <w:spacing w:after="0"/>
              <w:rPr>
                <w:sz w:val="22"/>
                <w:szCs w:val="22"/>
                <w:color w:val="auto"/>
              </w:rPr>
            </w:pPr>
          </w:p>
        </w:tc>
        <w:tc>
          <w:tcPr>
            <w:tcW w:w="20" w:type="dxa"/>
            <w:vAlign w:val="bottom"/>
            <w:tcBorders>
              <w:bottom w:val="single" w:sz="8" w:color="DBDBDB"/>
            </w:tcBorders>
            <w:shd w:val="clear" w:color="auto" w:fill="DBDBDB"/>
          </w:tcPr>
          <w:p>
            <w:pPr>
              <w:spacing w:after="0"/>
              <w:rPr>
                <w:sz w:val="22"/>
                <w:szCs w:val="22"/>
                <w:color w:val="auto"/>
              </w:rPr>
            </w:pPr>
          </w:p>
        </w:tc>
        <w:tc>
          <w:tcPr>
            <w:tcW w:w="160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rPr>
              <w:t>(56,048)</w:t>
            </w:r>
          </w:p>
        </w:tc>
      </w:tr>
      <w:tr>
        <w:trPr>
          <w:trHeight w:val="20"/>
        </w:trPr>
        <w:tc>
          <w:tcPr>
            <w:tcW w:w="492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right w:val="single" w:sz="8" w:color="auto"/>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DBDBDB"/>
              <w:right w:val="single" w:sz="8" w:color="auto"/>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r>
    </w:tbl>
    <w:p>
      <w:pPr>
        <w:spacing w:after="0" w:line="206" w:lineRule="exact"/>
        <w:rPr>
          <w:sz w:val="20"/>
          <w:szCs w:val="20"/>
          <w:color w:val="auto"/>
        </w:rPr>
      </w:pPr>
    </w:p>
    <w:p>
      <w:pPr>
        <w:jc w:val="both"/>
        <w:ind w:right="20" w:firstLine="706"/>
        <w:spacing w:after="0" w:line="321" w:lineRule="auto"/>
        <w:rPr>
          <w:sz w:val="20"/>
          <w:szCs w:val="20"/>
          <w:color w:val="auto"/>
        </w:rPr>
      </w:pPr>
      <w:r>
        <w:rPr>
          <w:rFonts w:ascii="Times New Roman" w:cs="Times New Roman" w:eastAsia="Times New Roman" w:hAnsi="Times New Roman"/>
          <w:sz w:val="18"/>
          <w:szCs w:val="18"/>
          <w:color w:val="auto"/>
        </w:rPr>
        <w:t>We exclude share-based compensation and related expense, certain legal expenses associated with litigation and other one-time expenses from adjusted research and development, adjusted sales and marketing and adjusted general and administrative expenses.</w:t>
      </w:r>
    </w:p>
    <w:p>
      <w:pPr>
        <w:spacing w:after="0" w:line="122" w:lineRule="exact"/>
        <w:rPr>
          <w:sz w:val="20"/>
          <w:szCs w:val="20"/>
          <w:color w:val="auto"/>
        </w:rPr>
      </w:pPr>
    </w:p>
    <w:p>
      <w:pPr>
        <w:jc w:val="both"/>
        <w:ind w:firstLine="706"/>
        <w:spacing w:after="0" w:line="268" w:lineRule="auto"/>
        <w:rPr>
          <w:sz w:val="20"/>
          <w:szCs w:val="20"/>
          <w:color w:val="auto"/>
        </w:rPr>
      </w:pPr>
      <w:r>
        <w:rPr>
          <w:rFonts w:ascii="Times New Roman" w:cs="Times New Roman" w:eastAsia="Times New Roman" w:hAnsi="Times New Roman"/>
          <w:sz w:val="20"/>
          <w:szCs w:val="20"/>
          <w:color w:val="auto"/>
        </w:rPr>
        <w:t>Other segment items include share -based compensation expense, interest expense, interest income, certain legal expenses associated with litigation and other one-time items.</w:t>
      </w:r>
    </w:p>
    <w:p>
      <w:pPr>
        <w:spacing w:after="0" w:line="164" w:lineRule="exact"/>
        <w:rPr>
          <w:sz w:val="20"/>
          <w:szCs w:val="20"/>
          <w:color w:val="auto"/>
        </w:rPr>
      </w:pPr>
    </w:p>
    <w:p>
      <w:pPr>
        <w:jc w:val="both"/>
        <w:ind w:firstLine="706"/>
        <w:spacing w:after="0" w:line="250" w:lineRule="auto"/>
        <w:rPr>
          <w:sz w:val="20"/>
          <w:szCs w:val="20"/>
          <w:color w:val="auto"/>
        </w:rPr>
      </w:pPr>
      <w:r>
        <w:rPr>
          <w:rFonts w:ascii="Times New Roman" w:cs="Times New Roman" w:eastAsia="Times New Roman" w:hAnsi="Times New Roman"/>
          <w:sz w:val="20"/>
          <w:szCs w:val="20"/>
          <w:color w:val="auto"/>
        </w:rPr>
        <w:t>The following tables set forth the Company’s revenue and asset information by geographic region. Revenue is classified based on the location of where the product is manufactured. Long-lived assets in the tables below comprise only property, plant, equipment and intangible assets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870" w:type="dxa"/>
            <w:vAlign w:val="bottom"/>
          </w:tcPr>
          <w:p>
            <w:pPr>
              <w:spacing w:after="0"/>
              <w:rPr>
                <w:sz w:val="22"/>
                <w:szCs w:val="22"/>
                <w:color w:val="auto"/>
              </w:rPr>
            </w:pPr>
          </w:p>
        </w:tc>
        <w:tc>
          <w:tcPr>
            <w:tcW w:w="90" w:type="dxa"/>
            <w:vAlign w:val="bottom"/>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2880" w:type="dxa"/>
            <w:vAlign w:val="bottom"/>
            <w:tcBorders>
              <w:bottom w:val="single" w:sz="8" w:color="auto"/>
            </w:tcBorders>
            <w:gridSpan w:val="6"/>
          </w:tcPr>
          <w:p>
            <w:pPr>
              <w:jc w:val="right"/>
              <w:ind w:right="2"/>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1600" w:type="dxa"/>
            <w:vAlign w:val="bottom"/>
            <w:tcBorders>
              <w:bottom w:val="single" w:sz="8" w:color="auto"/>
            </w:tcBorders>
          </w:tcPr>
          <w:p>
            <w:pPr>
              <w:spacing w:after="0"/>
              <w:rPr>
                <w:sz w:val="22"/>
                <w:szCs w:val="22"/>
                <w:color w:val="auto"/>
              </w:rPr>
            </w:pPr>
          </w:p>
        </w:tc>
      </w:tr>
      <w:tr>
        <w:trPr>
          <w:trHeight w:val="229"/>
        </w:trPr>
        <w:tc>
          <w:tcPr>
            <w:tcW w:w="4870" w:type="dxa"/>
            <w:vAlign w:val="bottom"/>
            <w:tcBorders>
              <w:bottom w:val="single" w:sz="8" w:color="DBDBDB"/>
            </w:tcBorders>
          </w:tcPr>
          <w:p>
            <w:pPr>
              <w:spacing w:after="0"/>
              <w:rPr>
                <w:sz w:val="19"/>
                <w:szCs w:val="19"/>
                <w:color w:val="auto"/>
              </w:rPr>
            </w:pPr>
          </w:p>
        </w:tc>
        <w:tc>
          <w:tcPr>
            <w:tcW w:w="90" w:type="dxa"/>
            <w:vAlign w:val="bottom"/>
            <w:tcBorders>
              <w:bottom w:val="single" w:sz="8" w:color="DBDBDB"/>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660" w:type="dxa"/>
            <w:vAlign w:val="bottom"/>
            <w:tcBorders>
              <w:bottom w:val="single" w:sz="8" w:color="auto"/>
            </w:tcBorders>
          </w:tcPr>
          <w:p>
            <w:pPr>
              <w:spacing w:after="0"/>
              <w:rPr>
                <w:sz w:val="19"/>
                <w:szCs w:val="19"/>
                <w:color w:val="auto"/>
              </w:rPr>
            </w:pPr>
          </w:p>
        </w:tc>
        <w:tc>
          <w:tcPr>
            <w:tcW w:w="200" w:type="dxa"/>
            <w:vAlign w:val="bottom"/>
            <w:tcBorders>
              <w:bottom w:val="single" w:sz="8" w:color="DBDBD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20"/>
                <w:szCs w:val="20"/>
                <w:b w:val="1"/>
                <w:bCs w:val="1"/>
                <w:color w:val="auto"/>
              </w:rPr>
              <w:t>2024</w:t>
            </w:r>
          </w:p>
        </w:tc>
        <w:tc>
          <w:tcPr>
            <w:tcW w:w="200" w:type="dxa"/>
            <w:vAlign w:val="bottom"/>
            <w:tcBorders>
              <w:bottom w:val="single" w:sz="8" w:color="DBDBD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25"/>
        </w:trPr>
        <w:tc>
          <w:tcPr>
            <w:tcW w:w="4870" w:type="dxa"/>
            <w:vAlign w:val="bottom"/>
            <w:shd w:val="clear" w:color="auto" w:fill="DBDBDB"/>
          </w:tcPr>
          <w:p>
            <w:pPr>
              <w:ind w:left="20"/>
              <w:spacing w:after="0" w:line="220" w:lineRule="exact"/>
              <w:rPr>
                <w:sz w:val="20"/>
                <w:szCs w:val="20"/>
                <w:color w:val="auto"/>
              </w:rPr>
            </w:pPr>
            <w:r>
              <w:rPr>
                <w:rFonts w:ascii="Times New Roman" w:cs="Times New Roman" w:eastAsia="Times New Roman" w:hAnsi="Times New Roman"/>
                <w:sz w:val="20"/>
                <w:szCs w:val="20"/>
                <w:color w:val="auto"/>
              </w:rPr>
              <w:t>Revenues:</w:t>
            </w:r>
          </w:p>
        </w:tc>
        <w:tc>
          <w:tcPr>
            <w:tcW w:w="90" w:type="dxa"/>
            <w:vAlign w:val="bottom"/>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c>
          <w:tcPr>
            <w:tcW w:w="660" w:type="dxa"/>
            <w:vAlign w:val="bottom"/>
            <w:shd w:val="clear" w:color="auto" w:fill="DBDBDB"/>
          </w:tcPr>
          <w:p>
            <w:pPr>
              <w:spacing w:after="0"/>
              <w:rPr>
                <w:sz w:val="19"/>
                <w:szCs w:val="19"/>
                <w:color w:val="auto"/>
              </w:rPr>
            </w:pPr>
          </w:p>
        </w:tc>
        <w:tc>
          <w:tcPr>
            <w:tcW w:w="200" w:type="dxa"/>
            <w:vAlign w:val="bottom"/>
            <w:tcBorders>
              <w:right w:val="single" w:sz="8" w:color="DBDBDB"/>
            </w:tcBorders>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580" w:type="dxa"/>
            <w:vAlign w:val="bottom"/>
            <w:shd w:val="clear" w:color="auto" w:fill="DBDBDB"/>
          </w:tcPr>
          <w:p>
            <w:pPr>
              <w:spacing w:after="0"/>
              <w:rPr>
                <w:sz w:val="19"/>
                <w:szCs w:val="19"/>
                <w:color w:val="auto"/>
              </w:rPr>
            </w:pPr>
          </w:p>
        </w:tc>
        <w:tc>
          <w:tcPr>
            <w:tcW w:w="200" w:type="dxa"/>
            <w:vAlign w:val="bottom"/>
            <w:tcBorders>
              <w:right w:val="single" w:sz="8" w:color="DBDBDB"/>
            </w:tcBorders>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600" w:type="dxa"/>
            <w:vAlign w:val="bottom"/>
            <w:shd w:val="clear" w:color="auto" w:fill="DBDBDB"/>
          </w:tcPr>
          <w:p>
            <w:pPr>
              <w:spacing w:after="0"/>
              <w:rPr>
                <w:sz w:val="19"/>
                <w:szCs w:val="19"/>
                <w:color w:val="auto"/>
              </w:rPr>
            </w:pPr>
          </w:p>
        </w:tc>
      </w:tr>
      <w:tr>
        <w:trPr>
          <w:trHeight w:val="235"/>
        </w:trPr>
        <w:tc>
          <w:tcPr>
            <w:tcW w:w="4960" w:type="dxa"/>
            <w:vAlign w:val="bottom"/>
            <w:tcBorders>
              <w:bottom w:val="single" w:sz="8" w:color="DBDBDB"/>
            </w:tcBorders>
            <w:gridSpan w:val="2"/>
          </w:tcPr>
          <w:p>
            <w:pPr>
              <w:ind w:left="180"/>
              <w:spacing w:after="0"/>
              <w:rPr>
                <w:sz w:val="20"/>
                <w:szCs w:val="20"/>
                <w:color w:val="auto"/>
              </w:rPr>
            </w:pPr>
            <w:r>
              <w:rPr>
                <w:rFonts w:ascii="Times New Roman" w:cs="Times New Roman" w:eastAsia="Times New Roman" w:hAnsi="Times New Roman"/>
                <w:sz w:val="20"/>
                <w:szCs w:val="20"/>
                <w:color w:val="auto"/>
              </w:rPr>
              <w:t>United States</w:t>
            </w:r>
          </w:p>
        </w:tc>
        <w:tc>
          <w:tcPr>
            <w:tcW w:w="1060" w:type="dxa"/>
            <w:vAlign w:val="bottom"/>
            <w:tcBorders>
              <w:bottom w:val="single" w:sz="8" w:color="DBDBDB"/>
            </w:tcBorders>
          </w:tcPr>
          <w:p>
            <w:pPr>
              <w:jc w:val="right"/>
              <w:ind w:right="842"/>
              <w:spacing w:after="0"/>
              <w:rPr>
                <w:sz w:val="20"/>
                <w:szCs w:val="20"/>
                <w:color w:val="auto"/>
              </w:rPr>
            </w:pPr>
            <w:r>
              <w:rPr>
                <w:rFonts w:ascii="Times New Roman" w:cs="Times New Roman" w:eastAsia="Times New Roman" w:hAnsi="Times New Roman"/>
                <w:sz w:val="20"/>
                <w:szCs w:val="20"/>
                <w:color w:val="auto"/>
                <w:w w:val="99"/>
              </w:rPr>
              <w:t>$</w:t>
            </w:r>
          </w:p>
        </w:tc>
        <w:tc>
          <w:tcPr>
            <w:tcW w:w="660" w:type="dxa"/>
            <w:vAlign w:val="bottom"/>
            <w:tcBorders>
              <w:bottom w:val="single" w:sz="8" w:color="DBDBDB"/>
            </w:tcBorders>
          </w:tcPr>
          <w:p>
            <w:pPr>
              <w:jc w:val="right"/>
              <w:spacing w:after="0"/>
              <w:rPr>
                <w:sz w:val="20"/>
                <w:szCs w:val="20"/>
                <w:color w:val="auto"/>
              </w:rPr>
            </w:pPr>
            <w:r>
              <w:rPr>
                <w:rFonts w:ascii="Times New Roman" w:cs="Times New Roman" w:eastAsia="Times New Roman" w:hAnsi="Times New Roman"/>
                <w:sz w:val="20"/>
                <w:szCs w:val="20"/>
                <w:color w:val="auto"/>
              </w:rPr>
              <w:t>19,378</w:t>
            </w:r>
          </w:p>
        </w:tc>
        <w:tc>
          <w:tcPr>
            <w:tcW w:w="320" w:type="dxa"/>
            <w:vAlign w:val="bottom"/>
            <w:tcBorders>
              <w:bottom w:val="single" w:sz="8" w:color="DBDBDB"/>
            </w:tcBorders>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80" w:type="dxa"/>
            <w:vAlign w:val="bottom"/>
            <w:tcBorders>
              <w:bottom w:val="single" w:sz="8" w:color="DBDBDB"/>
            </w:tcBorders>
          </w:tcPr>
          <w:p>
            <w:pPr>
              <w:jc w:val="right"/>
              <w:spacing w:after="0"/>
              <w:rPr>
                <w:sz w:val="20"/>
                <w:szCs w:val="20"/>
                <w:color w:val="auto"/>
              </w:rPr>
            </w:pPr>
            <w:r>
              <w:rPr>
                <w:rFonts w:ascii="Times New Roman" w:cs="Times New Roman" w:eastAsia="Times New Roman" w:hAnsi="Times New Roman"/>
                <w:sz w:val="20"/>
                <w:szCs w:val="20"/>
                <w:color w:val="auto"/>
              </w:rPr>
              <w:t>10,921</w:t>
            </w:r>
          </w:p>
        </w:tc>
        <w:tc>
          <w:tcPr>
            <w:tcW w:w="200" w:type="dxa"/>
            <w:vAlign w:val="bottom"/>
            <w:tcBorders>
              <w:bottom w:val="single" w:sz="8" w:color="DBDBDB"/>
            </w:tcBorders>
          </w:tcPr>
          <w:p>
            <w:pPr>
              <w:spacing w:after="0"/>
              <w:rPr>
                <w:sz w:val="20"/>
                <w:szCs w:val="20"/>
                <w:color w:val="auto"/>
              </w:rPr>
            </w:pPr>
          </w:p>
        </w:tc>
        <w:tc>
          <w:tcPr>
            <w:tcW w:w="120" w:type="dxa"/>
            <w:vAlign w:val="bottom"/>
            <w:tcBorders>
              <w:bottom w:val="single" w:sz="8" w:color="DBDBDB"/>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600" w:type="dxa"/>
            <w:vAlign w:val="bottom"/>
            <w:tcBorders>
              <w:bottom w:val="single" w:sz="8" w:color="DBDBDB"/>
            </w:tcBorders>
          </w:tcPr>
          <w:p>
            <w:pPr>
              <w:jc w:val="right"/>
              <w:spacing w:after="0"/>
              <w:rPr>
                <w:sz w:val="20"/>
                <w:szCs w:val="20"/>
                <w:color w:val="auto"/>
              </w:rPr>
            </w:pPr>
            <w:r>
              <w:rPr>
                <w:rFonts w:ascii="Times New Roman" w:cs="Times New Roman" w:eastAsia="Times New Roman" w:hAnsi="Times New Roman"/>
                <w:sz w:val="20"/>
                <w:szCs w:val="20"/>
                <w:color w:val="auto"/>
              </w:rPr>
              <w:t>30,798</w:t>
            </w:r>
          </w:p>
        </w:tc>
      </w:tr>
      <w:tr>
        <w:trPr>
          <w:trHeight w:val="215"/>
        </w:trPr>
        <w:tc>
          <w:tcPr>
            <w:tcW w:w="4870" w:type="dxa"/>
            <w:vAlign w:val="bottom"/>
            <w:shd w:val="clear" w:color="auto" w:fill="DBDBDB"/>
          </w:tcPr>
          <w:p>
            <w:pPr>
              <w:ind w:left="180"/>
              <w:spacing w:after="0" w:line="210" w:lineRule="exact"/>
              <w:rPr>
                <w:sz w:val="20"/>
                <w:szCs w:val="20"/>
                <w:color w:val="auto"/>
              </w:rPr>
            </w:pPr>
            <w:r>
              <w:rPr>
                <w:rFonts w:ascii="Times New Roman" w:cs="Times New Roman" w:eastAsia="Times New Roman" w:hAnsi="Times New Roman"/>
                <w:sz w:val="20"/>
                <w:szCs w:val="20"/>
                <w:color w:val="auto"/>
              </w:rPr>
              <w:t>Taiwan</w:t>
            </w:r>
          </w:p>
        </w:tc>
        <w:tc>
          <w:tcPr>
            <w:tcW w:w="9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c>
          <w:tcPr>
            <w:tcW w:w="660" w:type="dxa"/>
            <w:vAlign w:val="bottom"/>
            <w:shd w:val="clear" w:color="auto" w:fill="DBDBDB"/>
          </w:tcPr>
          <w:p>
            <w:pPr>
              <w:jc w:val="right"/>
              <w:spacing w:after="0" w:line="210" w:lineRule="exact"/>
              <w:rPr>
                <w:sz w:val="20"/>
                <w:szCs w:val="20"/>
                <w:color w:val="auto"/>
              </w:rPr>
            </w:pPr>
            <w:r>
              <w:rPr>
                <w:rFonts w:ascii="Times New Roman" w:cs="Times New Roman" w:eastAsia="Times New Roman" w:hAnsi="Times New Roman"/>
                <w:sz w:val="20"/>
                <w:szCs w:val="20"/>
                <w:color w:val="auto"/>
                <w:w w:val="98"/>
              </w:rPr>
              <w:t>174,197</w:t>
            </w:r>
          </w:p>
        </w:tc>
        <w:tc>
          <w:tcPr>
            <w:tcW w:w="200" w:type="dxa"/>
            <w:vAlign w:val="bottom"/>
            <w:tcBorders>
              <w:right w:val="single" w:sz="8" w:color="DBDBDB"/>
            </w:tcBorders>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580" w:type="dxa"/>
            <w:vAlign w:val="bottom"/>
            <w:shd w:val="clear" w:color="auto" w:fill="DBDBDB"/>
          </w:tcPr>
          <w:p>
            <w:pPr>
              <w:jc w:val="right"/>
              <w:spacing w:after="0" w:line="210" w:lineRule="exact"/>
              <w:rPr>
                <w:sz w:val="20"/>
                <w:szCs w:val="20"/>
                <w:color w:val="auto"/>
              </w:rPr>
            </w:pPr>
            <w:r>
              <w:rPr>
                <w:rFonts w:ascii="Times New Roman" w:cs="Times New Roman" w:eastAsia="Times New Roman" w:hAnsi="Times New Roman"/>
                <w:sz w:val="20"/>
                <w:szCs w:val="20"/>
                <w:color w:val="auto"/>
              </w:rPr>
              <w:t>126,639</w:t>
            </w:r>
          </w:p>
        </w:tc>
        <w:tc>
          <w:tcPr>
            <w:tcW w:w="200" w:type="dxa"/>
            <w:vAlign w:val="bottom"/>
            <w:tcBorders>
              <w:right w:val="single" w:sz="8" w:color="DBDBDB"/>
            </w:tcBorders>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600" w:type="dxa"/>
            <w:vAlign w:val="bottom"/>
            <w:shd w:val="clear" w:color="auto" w:fill="DBDBDB"/>
          </w:tcPr>
          <w:p>
            <w:pPr>
              <w:jc w:val="right"/>
              <w:spacing w:after="0" w:line="210" w:lineRule="exact"/>
              <w:rPr>
                <w:sz w:val="20"/>
                <w:szCs w:val="20"/>
                <w:color w:val="auto"/>
              </w:rPr>
            </w:pPr>
            <w:r>
              <w:rPr>
                <w:rFonts w:ascii="Times New Roman" w:cs="Times New Roman" w:eastAsia="Times New Roman" w:hAnsi="Times New Roman"/>
                <w:sz w:val="20"/>
                <w:szCs w:val="20"/>
                <w:color w:val="auto"/>
              </w:rPr>
              <w:t>143,528</w:t>
            </w:r>
          </w:p>
        </w:tc>
      </w:tr>
      <w:tr>
        <w:trPr>
          <w:trHeight w:val="238"/>
        </w:trPr>
        <w:tc>
          <w:tcPr>
            <w:tcW w:w="4960" w:type="dxa"/>
            <w:vAlign w:val="bottom"/>
            <w:tcBorders>
              <w:bottom w:val="single" w:sz="8" w:color="DBDBDB"/>
            </w:tcBorders>
            <w:gridSpan w:val="2"/>
          </w:tcPr>
          <w:p>
            <w:pPr>
              <w:ind w:left="180"/>
              <w:spacing w:after="0"/>
              <w:rPr>
                <w:sz w:val="20"/>
                <w:szCs w:val="20"/>
                <w:color w:val="auto"/>
              </w:rPr>
            </w:pPr>
            <w:r>
              <w:rPr>
                <w:rFonts w:ascii="Times New Roman" w:cs="Times New Roman" w:eastAsia="Times New Roman" w:hAnsi="Times New Roman"/>
                <w:sz w:val="20"/>
                <w:szCs w:val="20"/>
                <w:color w:val="auto"/>
              </w:rPr>
              <w:t>China</w:t>
            </w:r>
          </w:p>
        </w:tc>
        <w:tc>
          <w:tcPr>
            <w:tcW w:w="10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8"/>
              </w:rPr>
              <w:t>262,140</w:t>
            </w:r>
          </w:p>
        </w:tc>
        <w:tc>
          <w:tcPr>
            <w:tcW w:w="200" w:type="dxa"/>
            <w:vAlign w:val="bottom"/>
            <w:tcBorders>
              <w:bottom w:val="single" w:sz="8" w:color="DBDBDB"/>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111,805</w:t>
            </w:r>
          </w:p>
        </w:tc>
        <w:tc>
          <w:tcPr>
            <w:tcW w:w="200" w:type="dxa"/>
            <w:vAlign w:val="bottom"/>
            <w:tcBorders>
              <w:bottom w:val="single" w:sz="8" w:color="DBDBDB"/>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43,320</w:t>
            </w:r>
          </w:p>
        </w:tc>
      </w:tr>
      <w:tr>
        <w:trPr>
          <w:trHeight w:val="268"/>
        </w:trPr>
        <w:tc>
          <w:tcPr>
            <w:tcW w:w="4870" w:type="dxa"/>
            <w:vAlign w:val="bottom"/>
            <w:tcBorders>
              <w:bottom w:val="single" w:sz="8" w:color="DBDBDB"/>
            </w:tcBorders>
            <w:shd w:val="clear" w:color="auto" w:fill="DBDBDB"/>
          </w:tcPr>
          <w:p>
            <w:pPr>
              <w:spacing w:after="0"/>
              <w:rPr>
                <w:sz w:val="22"/>
                <w:szCs w:val="22"/>
                <w:color w:val="auto"/>
              </w:rPr>
            </w:pPr>
          </w:p>
        </w:tc>
        <w:tc>
          <w:tcPr>
            <w:tcW w:w="90" w:type="dxa"/>
            <w:vAlign w:val="bottom"/>
            <w:tcBorders>
              <w:bottom w:val="single" w:sz="8" w:color="DBDBDB"/>
            </w:tcBorders>
            <w:shd w:val="clear" w:color="auto" w:fill="DBDBDB"/>
          </w:tcPr>
          <w:p>
            <w:pPr>
              <w:spacing w:after="0"/>
              <w:rPr>
                <w:sz w:val="22"/>
                <w:szCs w:val="22"/>
                <w:color w:val="auto"/>
              </w:rPr>
            </w:pPr>
          </w:p>
        </w:tc>
        <w:tc>
          <w:tcPr>
            <w:tcW w:w="1060" w:type="dxa"/>
            <w:vAlign w:val="bottom"/>
            <w:tcBorders>
              <w:bottom w:val="single" w:sz="8" w:color="DBDBDB"/>
            </w:tcBorders>
            <w:shd w:val="clear" w:color="auto" w:fill="DBDBDB"/>
          </w:tcPr>
          <w:p>
            <w:pPr>
              <w:jc w:val="right"/>
              <w:ind w:right="842"/>
              <w:spacing w:after="0" w:line="220" w:lineRule="exact"/>
              <w:rPr>
                <w:sz w:val="20"/>
                <w:szCs w:val="20"/>
                <w:color w:val="auto"/>
              </w:rPr>
            </w:pPr>
            <w:r>
              <w:rPr>
                <w:rFonts w:ascii="Times New Roman" w:cs="Times New Roman" w:eastAsia="Times New Roman" w:hAnsi="Times New Roman"/>
                <w:sz w:val="20"/>
                <w:szCs w:val="20"/>
                <w:color w:val="auto"/>
                <w:highlight w:val="lightGray"/>
                <w:w w:val="99"/>
              </w:rPr>
              <w:t>$</w:t>
            </w:r>
          </w:p>
        </w:tc>
        <w:tc>
          <w:tcPr>
            <w:tcW w:w="66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w w:val="98"/>
              </w:rPr>
              <w:t>455,715</w:t>
            </w:r>
          </w:p>
        </w:tc>
        <w:tc>
          <w:tcPr>
            <w:tcW w:w="200" w:type="dxa"/>
            <w:vAlign w:val="bottom"/>
            <w:tcBorders>
              <w:bottom w:val="single" w:sz="8" w:color="DBDBDB"/>
              <w:right w:val="single" w:sz="8" w:color="DBDBDB"/>
            </w:tcBorders>
            <w:shd w:val="clear" w:color="auto" w:fill="DBDBDB"/>
          </w:tcPr>
          <w:p>
            <w:pPr>
              <w:spacing w:after="0"/>
              <w:rPr>
                <w:sz w:val="22"/>
                <w:szCs w:val="22"/>
                <w:color w:val="auto"/>
              </w:rPr>
            </w:pPr>
          </w:p>
        </w:tc>
        <w:tc>
          <w:tcPr>
            <w:tcW w:w="12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58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rPr>
              <w:t>249,365</w:t>
            </w:r>
          </w:p>
        </w:tc>
        <w:tc>
          <w:tcPr>
            <w:tcW w:w="200" w:type="dxa"/>
            <w:vAlign w:val="bottom"/>
            <w:tcBorders>
              <w:bottom w:val="single" w:sz="8" w:color="DBDBDB"/>
              <w:right w:val="single" w:sz="8" w:color="DBDBDB"/>
            </w:tcBorders>
            <w:shd w:val="clear" w:color="auto" w:fill="DBDBDB"/>
          </w:tcPr>
          <w:p>
            <w:pPr>
              <w:spacing w:after="0"/>
              <w:rPr>
                <w:sz w:val="22"/>
                <w:szCs w:val="22"/>
                <w:color w:val="auto"/>
              </w:rPr>
            </w:pPr>
          </w:p>
        </w:tc>
        <w:tc>
          <w:tcPr>
            <w:tcW w:w="12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60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rPr>
              <w:t>217,646</w:t>
            </w:r>
          </w:p>
        </w:tc>
      </w:tr>
      <w:tr>
        <w:trPr>
          <w:trHeight w:val="20"/>
        </w:trPr>
        <w:tc>
          <w:tcPr>
            <w:tcW w:w="4870" w:type="dxa"/>
            <w:vAlign w:val="bottom"/>
            <w:tcBorders>
              <w:top w:val="single" w:sz="8" w:color="DBDBDB"/>
            </w:tcBorders>
          </w:tcPr>
          <w:p>
            <w:pPr>
              <w:spacing w:after="0" w:line="20" w:lineRule="exact"/>
              <w:rPr>
                <w:sz w:val="1"/>
                <w:szCs w:val="1"/>
                <w:color w:val="auto"/>
              </w:rPr>
            </w:pPr>
          </w:p>
        </w:tc>
        <w:tc>
          <w:tcPr>
            <w:tcW w:w="90" w:type="dxa"/>
            <w:vAlign w:val="bottom"/>
            <w:tcBorders>
              <w:top w:val="single" w:sz="8" w:color="DBDBDB"/>
            </w:tcBorders>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DBDBDB"/>
              <w:right w:val="single" w:sz="8" w:color="auto"/>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DBDBDB"/>
              <w:right w:val="single" w:sz="8" w:color="auto"/>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r>
    </w:tbl>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20"/>
                <w:szCs w:val="20"/>
                <w:b w:val="1"/>
                <w:bCs w:val="1"/>
                <w:color w:val="auto"/>
              </w:rPr>
              <w:t>As of December 31,</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spacing w:after="0"/>
              <w:rPr>
                <w:sz w:val="22"/>
                <w:szCs w:val="22"/>
                <w:color w:val="auto"/>
              </w:rPr>
            </w:pPr>
          </w:p>
        </w:tc>
      </w:tr>
      <w:tr>
        <w:trPr>
          <w:trHeight w:val="229"/>
        </w:trPr>
        <w:tc>
          <w:tcPr>
            <w:tcW w:w="4920" w:type="dxa"/>
            <w:vAlign w:val="bottom"/>
            <w:tcBorders>
              <w:bottom w:val="single" w:sz="8" w:color="DBDBDB"/>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660" w:type="dxa"/>
            <w:vAlign w:val="bottom"/>
            <w:tcBorders>
              <w:bottom w:val="single" w:sz="8" w:color="auto"/>
            </w:tcBorders>
          </w:tcPr>
          <w:p>
            <w:pPr>
              <w:spacing w:after="0"/>
              <w:rPr>
                <w:sz w:val="19"/>
                <w:szCs w:val="19"/>
                <w:color w:val="auto"/>
              </w:rPr>
            </w:pPr>
          </w:p>
        </w:tc>
        <w:tc>
          <w:tcPr>
            <w:tcW w:w="200" w:type="dxa"/>
            <w:vAlign w:val="bottom"/>
            <w:tcBorders>
              <w:bottom w:val="single" w:sz="8" w:color="DBDBD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20"/>
                <w:szCs w:val="20"/>
                <w:b w:val="1"/>
                <w:bCs w:val="1"/>
                <w:color w:val="auto"/>
              </w:rPr>
              <w:t>2024</w:t>
            </w:r>
          </w:p>
        </w:tc>
        <w:tc>
          <w:tcPr>
            <w:tcW w:w="100" w:type="dxa"/>
            <w:vAlign w:val="bottom"/>
            <w:tcBorders>
              <w:bottom w:val="single" w:sz="8" w:color="DBDBDB"/>
            </w:tcBorders>
          </w:tcPr>
          <w:p>
            <w:pPr>
              <w:spacing w:after="0"/>
              <w:rPr>
                <w:sz w:val="19"/>
                <w:szCs w:val="19"/>
                <w:color w:val="auto"/>
              </w:rPr>
            </w:pPr>
          </w:p>
        </w:tc>
        <w:tc>
          <w:tcPr>
            <w:tcW w:w="120" w:type="dxa"/>
            <w:vAlign w:val="bottom"/>
            <w:tcBorders>
              <w:bottom w:val="single" w:sz="8" w:color="DBDBD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25"/>
        </w:trPr>
        <w:tc>
          <w:tcPr>
            <w:tcW w:w="4920" w:type="dxa"/>
            <w:vAlign w:val="bottom"/>
            <w:shd w:val="clear" w:color="auto" w:fill="DBDBDB"/>
          </w:tcPr>
          <w:p>
            <w:pPr>
              <w:ind w:left="20"/>
              <w:spacing w:after="0" w:line="220" w:lineRule="exact"/>
              <w:rPr>
                <w:sz w:val="20"/>
                <w:szCs w:val="20"/>
                <w:color w:val="auto"/>
              </w:rPr>
            </w:pPr>
            <w:r>
              <w:rPr>
                <w:rFonts w:ascii="Times New Roman" w:cs="Times New Roman" w:eastAsia="Times New Roman" w:hAnsi="Times New Roman"/>
                <w:sz w:val="20"/>
                <w:szCs w:val="20"/>
                <w:color w:val="auto"/>
              </w:rPr>
              <w:t>Long-lived assets:</w:t>
            </w:r>
          </w:p>
        </w:tc>
        <w:tc>
          <w:tcPr>
            <w:tcW w:w="100" w:type="dxa"/>
            <w:vAlign w:val="bottom"/>
            <w:tcBorders>
              <w:right w:val="single" w:sz="8" w:color="DBDBDB"/>
            </w:tcBorders>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c>
          <w:tcPr>
            <w:tcW w:w="660" w:type="dxa"/>
            <w:vAlign w:val="bottom"/>
            <w:shd w:val="clear" w:color="auto" w:fill="DBDBDB"/>
          </w:tcPr>
          <w:p>
            <w:pPr>
              <w:spacing w:after="0"/>
              <w:rPr>
                <w:sz w:val="19"/>
                <w:szCs w:val="19"/>
                <w:color w:val="auto"/>
              </w:rPr>
            </w:pPr>
          </w:p>
        </w:tc>
        <w:tc>
          <w:tcPr>
            <w:tcW w:w="200" w:type="dxa"/>
            <w:vAlign w:val="bottom"/>
            <w:tcBorders>
              <w:right w:val="single" w:sz="8" w:color="DBDBDB"/>
            </w:tcBorders>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6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20" w:type="dxa"/>
            <w:vAlign w:val="bottom"/>
            <w:tcBorders>
              <w:right w:val="single" w:sz="8" w:color="DBDBDB"/>
            </w:tcBorders>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600" w:type="dxa"/>
            <w:vAlign w:val="bottom"/>
            <w:shd w:val="clear" w:color="auto" w:fill="DBDBDB"/>
          </w:tcPr>
          <w:p>
            <w:pPr>
              <w:spacing w:after="0"/>
              <w:rPr>
                <w:sz w:val="19"/>
                <w:szCs w:val="19"/>
                <w:color w:val="auto"/>
              </w:rPr>
            </w:pPr>
          </w:p>
        </w:tc>
      </w:tr>
      <w:tr>
        <w:trPr>
          <w:trHeight w:val="235"/>
        </w:trPr>
        <w:tc>
          <w:tcPr>
            <w:tcW w:w="50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United States</w:t>
            </w:r>
          </w:p>
        </w:tc>
        <w:tc>
          <w:tcPr>
            <w:tcW w:w="1060" w:type="dxa"/>
            <w:vAlign w:val="bottom"/>
          </w:tcPr>
          <w:p>
            <w:pPr>
              <w:jc w:val="right"/>
              <w:ind w:right="862"/>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123,677</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71,867</w:t>
            </w:r>
          </w:p>
        </w:tc>
        <w:tc>
          <w:tcPr>
            <w:tcW w:w="10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0" w:type="dxa"/>
            <w:vAlign w:val="bottom"/>
          </w:tcPr>
          <w:p>
            <w:pPr>
              <w:ind w:left="1040"/>
              <w:spacing w:after="0"/>
              <w:rPr>
                <w:sz w:val="20"/>
                <w:szCs w:val="20"/>
                <w:color w:val="auto"/>
              </w:rPr>
            </w:pPr>
            <w:r>
              <w:rPr>
                <w:rFonts w:ascii="Times New Roman" w:cs="Times New Roman" w:eastAsia="Times New Roman" w:hAnsi="Times New Roman"/>
                <w:sz w:val="20"/>
                <w:szCs w:val="20"/>
                <w:color w:val="auto"/>
                <w:w w:val="98"/>
              </w:rPr>
              <w:t>75,283</w:t>
            </w:r>
          </w:p>
        </w:tc>
      </w:tr>
      <w:tr>
        <w:trPr>
          <w:trHeight w:val="235"/>
        </w:trPr>
        <w:tc>
          <w:tcPr>
            <w:tcW w:w="4920" w:type="dxa"/>
            <w:vAlign w:val="bottom"/>
            <w:shd w:val="clear" w:color="auto" w:fill="DBDBDB"/>
          </w:tcPr>
          <w:p>
            <w:pPr>
              <w:ind w:left="180"/>
              <w:spacing w:after="0"/>
              <w:rPr>
                <w:sz w:val="20"/>
                <w:szCs w:val="20"/>
                <w:color w:val="auto"/>
              </w:rPr>
            </w:pPr>
            <w:r>
              <w:rPr>
                <w:rFonts w:ascii="Times New Roman" w:cs="Times New Roman" w:eastAsia="Times New Roman" w:hAnsi="Times New Roman"/>
                <w:sz w:val="20"/>
                <w:szCs w:val="20"/>
                <w:color w:val="auto"/>
              </w:rPr>
              <w:t>Taiwan</w:t>
            </w:r>
          </w:p>
        </w:tc>
        <w:tc>
          <w:tcPr>
            <w:tcW w:w="100" w:type="dxa"/>
            <w:vAlign w:val="bottom"/>
            <w:tcBorders>
              <w:right w:val="single" w:sz="8" w:color="DBDBDB"/>
            </w:tcBorders>
            <w:shd w:val="clear" w:color="auto" w:fill="DBDBDB"/>
          </w:tcPr>
          <w:p>
            <w:pPr>
              <w:spacing w:after="0"/>
              <w:rPr>
                <w:sz w:val="20"/>
                <w:szCs w:val="20"/>
                <w:color w:val="auto"/>
              </w:rPr>
            </w:pPr>
          </w:p>
        </w:tc>
        <w:tc>
          <w:tcPr>
            <w:tcW w:w="1060" w:type="dxa"/>
            <w:vAlign w:val="bottom"/>
            <w:shd w:val="clear" w:color="auto" w:fill="DBDBDB"/>
          </w:tcPr>
          <w:p>
            <w:pPr>
              <w:spacing w:after="0"/>
              <w:rPr>
                <w:sz w:val="20"/>
                <w:szCs w:val="20"/>
                <w:color w:val="auto"/>
              </w:rPr>
            </w:pPr>
          </w:p>
        </w:tc>
        <w:tc>
          <w:tcPr>
            <w:tcW w:w="6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w w:val="98"/>
              </w:rPr>
              <w:t>146,673</w:t>
            </w:r>
          </w:p>
        </w:tc>
        <w:tc>
          <w:tcPr>
            <w:tcW w:w="200" w:type="dxa"/>
            <w:vAlign w:val="bottom"/>
            <w:tcBorders>
              <w:right w:val="single" w:sz="8" w:color="DBDBDB"/>
            </w:tcBorders>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6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57,907</w:t>
            </w:r>
          </w:p>
        </w:tc>
        <w:tc>
          <w:tcPr>
            <w:tcW w:w="100" w:type="dxa"/>
            <w:vAlign w:val="bottom"/>
            <w:shd w:val="clear" w:color="auto" w:fill="DBDBDB"/>
          </w:tcPr>
          <w:p>
            <w:pPr>
              <w:spacing w:after="0"/>
              <w:rPr>
                <w:sz w:val="20"/>
                <w:szCs w:val="20"/>
                <w:color w:val="auto"/>
              </w:rPr>
            </w:pPr>
          </w:p>
        </w:tc>
        <w:tc>
          <w:tcPr>
            <w:tcW w:w="120" w:type="dxa"/>
            <w:vAlign w:val="bottom"/>
            <w:tcBorders>
              <w:right w:val="single" w:sz="8" w:color="DBDBDB"/>
            </w:tcBorders>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600" w:type="dxa"/>
            <w:vAlign w:val="bottom"/>
            <w:shd w:val="clear" w:color="auto" w:fill="DBDBDB"/>
          </w:tcPr>
          <w:p>
            <w:pPr>
              <w:ind w:left="1040"/>
              <w:spacing w:after="0"/>
              <w:rPr>
                <w:sz w:val="20"/>
                <w:szCs w:val="20"/>
                <w:color w:val="auto"/>
              </w:rPr>
            </w:pPr>
            <w:r>
              <w:rPr>
                <w:rFonts w:ascii="Times New Roman" w:cs="Times New Roman" w:eastAsia="Times New Roman" w:hAnsi="Times New Roman"/>
                <w:sz w:val="20"/>
                <w:szCs w:val="20"/>
                <w:color w:val="auto"/>
                <w:w w:val="98"/>
              </w:rPr>
              <w:t>47,668</w:t>
            </w:r>
          </w:p>
        </w:tc>
      </w:tr>
      <w:tr>
        <w:trPr>
          <w:trHeight w:val="238"/>
        </w:trPr>
        <w:tc>
          <w:tcPr>
            <w:tcW w:w="5020" w:type="dxa"/>
            <w:vAlign w:val="bottom"/>
            <w:tcBorders>
              <w:bottom w:val="single" w:sz="8" w:color="DBDBDB"/>
            </w:tcBorders>
            <w:gridSpan w:val="2"/>
          </w:tcPr>
          <w:p>
            <w:pPr>
              <w:ind w:left="180"/>
              <w:spacing w:after="0"/>
              <w:rPr>
                <w:sz w:val="20"/>
                <w:szCs w:val="20"/>
                <w:color w:val="auto"/>
              </w:rPr>
            </w:pPr>
            <w:r>
              <w:rPr>
                <w:rFonts w:ascii="Times New Roman" w:cs="Times New Roman" w:eastAsia="Times New Roman" w:hAnsi="Times New Roman"/>
                <w:sz w:val="20"/>
                <w:szCs w:val="20"/>
                <w:color w:val="auto"/>
              </w:rPr>
              <w:t>China</w:t>
            </w:r>
          </w:p>
        </w:tc>
        <w:tc>
          <w:tcPr>
            <w:tcW w:w="10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8"/>
              </w:rPr>
              <w:t>162,322</w:t>
            </w:r>
          </w:p>
        </w:tc>
        <w:tc>
          <w:tcPr>
            <w:tcW w:w="200" w:type="dxa"/>
            <w:vAlign w:val="bottom"/>
            <w:tcBorders>
              <w:bottom w:val="single" w:sz="8" w:color="DBDBDB"/>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107,624</w:t>
            </w:r>
          </w:p>
        </w:tc>
        <w:tc>
          <w:tcPr>
            <w:tcW w:w="100" w:type="dxa"/>
            <w:vAlign w:val="bottom"/>
            <w:tcBorders>
              <w:bottom w:val="single" w:sz="8" w:color="DBDBDB"/>
            </w:tcBorders>
          </w:tcPr>
          <w:p>
            <w:pPr>
              <w:spacing w:after="0"/>
              <w:rPr>
                <w:sz w:val="20"/>
                <w:szCs w:val="20"/>
                <w:color w:val="auto"/>
              </w:rPr>
            </w:pPr>
          </w:p>
        </w:tc>
        <w:tc>
          <w:tcPr>
            <w:tcW w:w="120" w:type="dxa"/>
            <w:vAlign w:val="bottom"/>
            <w:tcBorders>
              <w:bottom w:val="single" w:sz="8" w:color="DBDBDB"/>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20"/>
                <w:szCs w:val="20"/>
                <w:color w:val="auto"/>
                <w:w w:val="98"/>
              </w:rPr>
              <w:t>91,050</w:t>
            </w:r>
          </w:p>
        </w:tc>
      </w:tr>
      <w:tr>
        <w:trPr>
          <w:trHeight w:val="267"/>
        </w:trPr>
        <w:tc>
          <w:tcPr>
            <w:tcW w:w="4920" w:type="dxa"/>
            <w:vAlign w:val="bottom"/>
            <w:tcBorders>
              <w:bottom w:val="single" w:sz="8" w:color="DBDBDB"/>
            </w:tcBorders>
            <w:shd w:val="clear" w:color="auto" w:fill="DBDBDB"/>
          </w:tcPr>
          <w:p>
            <w:pPr>
              <w:spacing w:after="0"/>
              <w:rPr>
                <w:sz w:val="22"/>
                <w:szCs w:val="22"/>
                <w:color w:val="auto"/>
              </w:rPr>
            </w:pPr>
          </w:p>
        </w:tc>
        <w:tc>
          <w:tcPr>
            <w:tcW w:w="100" w:type="dxa"/>
            <w:vAlign w:val="bottom"/>
            <w:tcBorders>
              <w:bottom w:val="single" w:sz="8" w:color="DBDBDB"/>
              <w:right w:val="single" w:sz="8" w:color="DBDBDB"/>
            </w:tcBorders>
            <w:shd w:val="clear" w:color="auto" w:fill="DBDBDB"/>
          </w:tcPr>
          <w:p>
            <w:pPr>
              <w:spacing w:after="0"/>
              <w:rPr>
                <w:sz w:val="22"/>
                <w:szCs w:val="22"/>
                <w:color w:val="auto"/>
              </w:rPr>
            </w:pPr>
          </w:p>
        </w:tc>
        <w:tc>
          <w:tcPr>
            <w:tcW w:w="1060" w:type="dxa"/>
            <w:vAlign w:val="bottom"/>
            <w:tcBorders>
              <w:bottom w:val="single" w:sz="8" w:color="DBDBDB"/>
            </w:tcBorders>
            <w:shd w:val="clear" w:color="auto" w:fill="DBDBDB"/>
          </w:tcPr>
          <w:p>
            <w:pPr>
              <w:jc w:val="right"/>
              <w:ind w:right="862"/>
              <w:spacing w:after="0" w:line="220"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66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w w:val="98"/>
              </w:rPr>
              <w:t>432,672</w:t>
            </w:r>
          </w:p>
        </w:tc>
        <w:tc>
          <w:tcPr>
            <w:tcW w:w="200" w:type="dxa"/>
            <w:vAlign w:val="bottom"/>
            <w:tcBorders>
              <w:bottom w:val="single" w:sz="8" w:color="DBDBDB"/>
              <w:right w:val="single" w:sz="8" w:color="DBDBDB"/>
            </w:tcBorders>
            <w:shd w:val="clear" w:color="auto" w:fill="DBDBDB"/>
          </w:tcPr>
          <w:p>
            <w:pPr>
              <w:spacing w:after="0"/>
              <w:rPr>
                <w:sz w:val="22"/>
                <w:szCs w:val="22"/>
                <w:color w:val="auto"/>
              </w:rPr>
            </w:pPr>
          </w:p>
        </w:tc>
        <w:tc>
          <w:tcPr>
            <w:tcW w:w="12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60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rPr>
              <w:t>237,398</w:t>
            </w:r>
          </w:p>
        </w:tc>
        <w:tc>
          <w:tcPr>
            <w:tcW w:w="100" w:type="dxa"/>
            <w:vAlign w:val="bottom"/>
            <w:tcBorders>
              <w:bottom w:val="single" w:sz="8" w:color="DBDBDB"/>
            </w:tcBorders>
            <w:shd w:val="clear" w:color="auto" w:fill="DBDBDB"/>
          </w:tcPr>
          <w:p>
            <w:pPr>
              <w:spacing w:after="0"/>
              <w:rPr>
                <w:sz w:val="22"/>
                <w:szCs w:val="22"/>
                <w:color w:val="auto"/>
              </w:rPr>
            </w:pPr>
          </w:p>
        </w:tc>
        <w:tc>
          <w:tcPr>
            <w:tcW w:w="120" w:type="dxa"/>
            <w:vAlign w:val="bottom"/>
            <w:tcBorders>
              <w:bottom w:val="single" w:sz="8" w:color="DBDBDB"/>
              <w:right w:val="single" w:sz="8" w:color="DBDBDB"/>
            </w:tcBorders>
            <w:shd w:val="clear" w:color="auto" w:fill="DBDBDB"/>
          </w:tcPr>
          <w:p>
            <w:pPr>
              <w:spacing w:after="0"/>
              <w:rPr>
                <w:sz w:val="22"/>
                <w:szCs w:val="22"/>
                <w:color w:val="auto"/>
              </w:rPr>
            </w:pPr>
          </w:p>
        </w:tc>
        <w:tc>
          <w:tcPr>
            <w:tcW w:w="12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600" w:type="dxa"/>
            <w:vAlign w:val="bottom"/>
            <w:tcBorders>
              <w:bottom w:val="single" w:sz="8" w:color="DBDBDB"/>
            </w:tcBorders>
            <w:shd w:val="clear" w:color="auto" w:fill="DBDBDB"/>
          </w:tcPr>
          <w:p>
            <w:pPr>
              <w:jc w:val="right"/>
              <w:spacing w:after="0" w:line="220" w:lineRule="exact"/>
              <w:rPr>
                <w:sz w:val="20"/>
                <w:szCs w:val="20"/>
                <w:color w:val="auto"/>
              </w:rPr>
            </w:pPr>
            <w:r>
              <w:rPr>
                <w:rFonts w:ascii="Times New Roman" w:cs="Times New Roman" w:eastAsia="Times New Roman" w:hAnsi="Times New Roman"/>
                <w:sz w:val="20"/>
                <w:szCs w:val="20"/>
                <w:color w:val="auto"/>
              </w:rPr>
              <w:t>214,001</w:t>
            </w:r>
          </w:p>
        </w:tc>
      </w:tr>
      <w:tr>
        <w:trPr>
          <w:trHeight w:val="20"/>
        </w:trPr>
        <w:tc>
          <w:tcPr>
            <w:tcW w:w="492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right w:val="single" w:sz="8" w:color="auto"/>
            </w:tcBorders>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DBDBDB"/>
              <w:right w:val="single" w:sz="8" w:color="auto"/>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right w:val="single" w:sz="8" w:color="auto"/>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r>
    </w:tbl>
    <w:p>
      <w:pPr>
        <w:spacing w:after="0" w:line="251" w:lineRule="exact"/>
        <w:rPr>
          <w:sz w:val="20"/>
          <w:szCs w:val="20"/>
          <w:color w:val="auto"/>
        </w:rPr>
      </w:pPr>
    </w:p>
    <w:p>
      <w:pPr>
        <w:jc w:val="both"/>
        <w:ind w:firstLine="706"/>
        <w:spacing w:after="0"/>
        <w:rPr>
          <w:sz w:val="20"/>
          <w:szCs w:val="20"/>
          <w:color w:val="auto"/>
        </w:rPr>
      </w:pPr>
      <w:r>
        <w:rPr>
          <w:rFonts w:ascii="Times New Roman" w:cs="Times New Roman" w:eastAsia="Times New Roman" w:hAnsi="Times New Roman"/>
          <w:sz w:val="20"/>
          <w:szCs w:val="20"/>
          <w:color w:val="auto"/>
        </w:rPr>
        <w:t>The Company serves four primary markets, the internet data center, CATV, telecom and FTTH markets. Of the Company’s total revenues in 2025, the Company earned $245.1 million, or 53.8%, from the CATV market, $195.7 million, or 42.9%, from the internet data center market, $13.7 million, or 3.0%, from the telecom market and $1.2 million, or 0.3%, from the FTTH and other markets. Of the Company’s total revenues in 2024, the Company earned $148.5 million, or 59.5%, from the internet data center market, $87.7 million, or 35.2%, from the CATV market, $11.0 million, or 4.4%, from the telecom market and $2.1 million, or 0.9%, from the FTTH and other markets. Of the Company’s total revenues in 2023, the Company earned $ 141.2 million, or 64.9%, from the internet data center market, $59.9 million, or 27.5%, from the CATV market, $13.8 million, or 6.4%, from the telecom market and $0.1 million, or 0.0%, from the FTTH market.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S—EMPLOYEE BENEFIT PLANS</w:t>
      </w:r>
    </w:p>
    <w:p>
      <w:pPr>
        <w:spacing w:after="0" w:line="225" w:lineRule="exact"/>
        <w:rPr>
          <w:sz w:val="20"/>
          <w:szCs w:val="20"/>
          <w:color w:val="auto"/>
        </w:rPr>
      </w:pPr>
    </w:p>
    <w:p>
      <w:pPr>
        <w:jc w:val="both"/>
        <w:ind w:firstLine="706"/>
        <w:spacing w:after="0" w:line="243" w:lineRule="auto"/>
        <w:rPr>
          <w:sz w:val="20"/>
          <w:szCs w:val="20"/>
          <w:color w:val="auto"/>
        </w:rPr>
      </w:pPr>
      <w:r>
        <w:rPr>
          <w:rFonts w:ascii="Times New Roman" w:cs="Times New Roman" w:eastAsia="Times New Roman" w:hAnsi="Times New Roman"/>
          <w:sz w:val="20"/>
          <w:szCs w:val="20"/>
          <w:color w:val="auto"/>
        </w:rPr>
        <w:t>Employees of Global participate in a state-mandated social security program in China. Under this program, pension costs are recorded on the basis of required monthly contributions to employees’ individual accounts during their service periods. Under the regulations of the People’s Republic of China, Global is required to make fixed contributions to a fund, which is under the administration of the local labor departments. Pension expense for Global was $2.5 million, $1.7 million and $1.7 million for the years ended December 31, 2025, 2024 and 2023, respectively.</w:t>
      </w:r>
    </w:p>
    <w:p>
      <w:pPr>
        <w:spacing w:after="0" w:line="188" w:lineRule="exact"/>
        <w:rPr>
          <w:sz w:val="20"/>
          <w:szCs w:val="20"/>
          <w:color w:val="auto"/>
        </w:rPr>
      </w:pPr>
    </w:p>
    <w:p>
      <w:pPr>
        <w:jc w:val="both"/>
        <w:ind w:firstLine="706"/>
        <w:spacing w:after="0" w:line="250" w:lineRule="auto"/>
        <w:rPr>
          <w:sz w:val="20"/>
          <w:szCs w:val="20"/>
          <w:color w:val="auto"/>
        </w:rPr>
      </w:pPr>
      <w:r>
        <w:rPr>
          <w:rFonts w:ascii="Times New Roman" w:cs="Times New Roman" w:eastAsia="Times New Roman" w:hAnsi="Times New Roman"/>
          <w:sz w:val="20"/>
          <w:szCs w:val="20"/>
          <w:color w:val="auto"/>
        </w:rPr>
        <w:t>Employees of Prime World’s Taiwan branch participate in a pension program under the Taiwan Labor Pension Act. Pension expense for the Prime World’s Taiwan branch was $0.7 million, $0.5 million, and $0.5 million for the years ended December 31, 2025, 2024 and 2023, respectively.</w:t>
      </w:r>
    </w:p>
    <w:p>
      <w:pPr>
        <w:sectPr>
          <w:pgSz w:w="11880" w:h="15480" w:orient="portrait"/>
          <w:cols w:equalWidth="0" w:num="1">
            <w:col w:w="10600"/>
          </w:cols>
          <w:pgMar w:left="640" w:top="413"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ectPr>
          <w:pgSz w:w="11880" w:h="15480" w:orient="portrait"/>
          <w:cols w:equalWidth="0" w:num="1">
            <w:col w:w="10600"/>
          </w:cols>
          <w:pgMar w:left="640" w:top="413" w:right="640" w:bottom="0" w:gutter="0" w:footer="0" w:header="0"/>
          <w:type w:val="continuous"/>
        </w:sectPr>
      </w:pPr>
    </w:p>
    <w:bookmarkStart w:id="91" w:name="page92"/>
    <w:bookmarkEnd w:id="91"/>
    <w:p>
      <w:pPr>
        <w:ind w:left="20"/>
        <w:spacing w:after="0"/>
        <w:rPr>
          <w:sz w:val="20"/>
          <w:szCs w:val="20"/>
          <w:color w:val="auto"/>
        </w:rPr>
      </w:pPr>
      <w:r>
        <w:rPr>
          <w:rFonts w:ascii="Times New Roman" w:cs="Times New Roman" w:eastAsia="Times New Roman" w:hAnsi="Times New Roman"/>
          <w:sz w:val="20"/>
          <w:szCs w:val="20"/>
          <w:b w:val="1"/>
          <w:bCs w:val="1"/>
          <w:color w:val="auto"/>
        </w:rPr>
        <w:t>NOTE T—COMMITMENTS AND CONTINGENCIES</w:t>
      </w:r>
    </w:p>
    <w:p>
      <w:pPr>
        <w:spacing w:after="0" w:line="2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i w:val="1"/>
          <w:iCs w:val="1"/>
          <w:color w:val="auto"/>
        </w:rPr>
        <w:t>Employment Agreements and Consultancy Agreements</w:t>
      </w:r>
    </w:p>
    <w:p>
      <w:pPr>
        <w:spacing w:after="0" w:line="218" w:lineRule="exact"/>
        <w:rPr>
          <w:sz w:val="20"/>
          <w:szCs w:val="20"/>
          <w:color w:val="auto"/>
        </w:rPr>
      </w:pPr>
    </w:p>
    <w:p>
      <w:pPr>
        <w:jc w:val="both"/>
        <w:ind w:left="20" w:firstLine="706"/>
        <w:spacing w:after="0" w:line="246" w:lineRule="auto"/>
        <w:rPr>
          <w:sz w:val="20"/>
          <w:szCs w:val="20"/>
          <w:color w:val="auto"/>
        </w:rPr>
      </w:pPr>
      <w:r>
        <w:rPr>
          <w:rFonts w:ascii="Times New Roman" w:cs="Times New Roman" w:eastAsia="Times New Roman" w:hAnsi="Times New Roman"/>
          <w:sz w:val="20"/>
          <w:szCs w:val="20"/>
          <w:color w:val="auto"/>
        </w:rPr>
        <w:t>The Company has entered into employment and indemnification agreements with our CEO. The agreement provides that if his employment is terminated as a result of a change of control of the Company, or if his employment is terminated for certain other reasons set forth in the agreements, the Company will be required to pay a severance payment in an amount equal to his annual base salary, and other additional compensation due under the terms of the agreements.</w:t>
      </w:r>
    </w:p>
    <w:p>
      <w:pPr>
        <w:spacing w:after="0" w:line="184" w:lineRule="exact"/>
        <w:rPr>
          <w:sz w:val="20"/>
          <w:szCs w:val="20"/>
          <w:color w:val="auto"/>
        </w:rPr>
      </w:pPr>
    </w:p>
    <w:p>
      <w:pPr>
        <w:jc w:val="both"/>
        <w:ind w:left="20" w:firstLine="706"/>
        <w:spacing w:after="0" w:line="246" w:lineRule="auto"/>
        <w:rPr>
          <w:sz w:val="20"/>
          <w:szCs w:val="20"/>
          <w:color w:val="auto"/>
        </w:rPr>
      </w:pPr>
      <w:r>
        <w:rPr>
          <w:rFonts w:ascii="Times New Roman" w:cs="Times New Roman" w:eastAsia="Times New Roman" w:hAnsi="Times New Roman"/>
          <w:sz w:val="20"/>
          <w:szCs w:val="20"/>
          <w:color w:val="auto"/>
        </w:rPr>
        <w:t>The Company has also entered into employment and indemnification agreements with four other named executive officers. These agreements provide that if their employment is terminated as a result of a change of control of the Company, the Company will be required to pay a severance payment in an amount equal to their annual base salary and other additional compensation due under the terms of the agreements.</w:t>
      </w:r>
    </w:p>
    <w:p>
      <w:pPr>
        <w:spacing w:after="0" w:line="1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i w:val="1"/>
          <w:iCs w:val="1"/>
          <w:color w:val="auto"/>
        </w:rPr>
        <w:t>Contingencies</w:t>
      </w:r>
    </w:p>
    <w:p>
      <w:pPr>
        <w:spacing w:after="0" w:line="218" w:lineRule="exact"/>
        <w:rPr>
          <w:sz w:val="20"/>
          <w:szCs w:val="20"/>
          <w:color w:val="auto"/>
        </w:rPr>
      </w:pPr>
    </w:p>
    <w:p>
      <w:pPr>
        <w:jc w:val="both"/>
        <w:ind w:left="20" w:firstLine="706"/>
        <w:spacing w:after="0" w:line="243" w:lineRule="auto"/>
        <w:rPr>
          <w:sz w:val="20"/>
          <w:szCs w:val="20"/>
          <w:color w:val="auto"/>
        </w:rPr>
      </w:pPr>
      <w:r>
        <w:rPr>
          <w:rFonts w:ascii="Times New Roman" w:cs="Times New Roman" w:eastAsia="Times New Roman" w:hAnsi="Times New Roman"/>
          <w:sz w:val="20"/>
          <w:szCs w:val="20"/>
          <w:color w:val="auto"/>
        </w:rPr>
        <w:t>From time to time, the Company may be subject to legal proceedings and litigation arising in the ordinary course of business, including, but not limited to, inquiries, investigations, audits and other regulatory proceedings, such as described below. The Company records a loss provision when it believes it is both probable that a liability has been incurred and the amount can be reasonably estimated. Unless otherwise disclosed, the Company is unable to estimate the possible loss or range of loss for the legal proceeding described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Arbitration filed by Yuhan Optoelectronic Technology (Shanghai) Co., Ltd.</w:t>
      </w:r>
    </w:p>
    <w:p>
      <w:pPr>
        <w:spacing w:after="0" w:line="225" w:lineRule="exact"/>
        <w:rPr>
          <w:sz w:val="20"/>
          <w:szCs w:val="20"/>
          <w:color w:val="auto"/>
        </w:rPr>
      </w:pPr>
    </w:p>
    <w:p>
      <w:pPr>
        <w:jc w:val="both"/>
        <w:ind w:firstLine="706"/>
        <w:spacing w:after="0" w:line="238" w:lineRule="auto"/>
        <w:rPr>
          <w:sz w:val="20"/>
          <w:szCs w:val="20"/>
          <w:color w:val="auto"/>
        </w:rPr>
      </w:pPr>
      <w:r>
        <w:rPr>
          <w:rFonts w:ascii="Times New Roman" w:cs="Times New Roman" w:eastAsia="Times New Roman" w:hAnsi="Times New Roman"/>
          <w:sz w:val="20"/>
          <w:szCs w:val="20"/>
          <w:color w:val="auto"/>
        </w:rPr>
        <w:t>On September 12, 2023, the Company delivered notice of termination with respect to that certain Agreement for the Sale and Purchase of a New Company to be Established in Hong Kong Special Administrative Region of the People’s Republic of China (the "Purchase Agreement"), dated September 15, 2022, with Prime World International Holdings Ltd. (the "Seller") and Yuhan Optoelectronic Technology (Shanghai) Co., Ltd. (the "Purchaser"), pursuant to which the Seller would divest its manufacturing facilities located in the People's Republic of China and certain assets related to its transceiver business and multichannel optical sub-assembly products for the internet data center, FTTH and telecom markets. The termination, in accordance with the terms of the Purchase Agreement, was a result of the Purchaser's failure to satisfy certain of its material obligations under the Purchase Agreement. In terminating the Purchase Agreement, we also asserted the right to recover a break-up fee from the Purchaser. On December 22, 2023, the Purchaser filed for arbitration in Hong Kong with the Hong Kong International Arbitration Centre ("HKIAC") challenging the validity of our termination notice and seeking specific performance with respect to the transactions contemplated in the Purchase Agreement, which in any case remain subject to regulatory approvals. On January 22, 2024, the Company filed its response, generally denying the Purchaser’s allegations and asserting counterclaims for recovery of a break-up fee. This matter was settled on January 27, 2025, with the Company paying only its own legal fees and expenses.</w:t>
      </w:r>
    </w:p>
    <w:p>
      <w:pPr>
        <w:spacing w:after="0" w:line="1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i w:val="1"/>
          <w:iCs w:val="1"/>
          <w:color w:val="auto"/>
        </w:rPr>
        <w:t>Other Contingencies</w:t>
      </w:r>
    </w:p>
    <w:p>
      <w:pPr>
        <w:spacing w:after="0" w:line="218" w:lineRule="exact"/>
        <w:rPr>
          <w:sz w:val="20"/>
          <w:szCs w:val="20"/>
          <w:color w:val="auto"/>
        </w:rPr>
      </w:pPr>
    </w:p>
    <w:p>
      <w:pPr>
        <w:jc w:val="both"/>
        <w:ind w:firstLine="706"/>
        <w:spacing w:after="0"/>
        <w:rPr>
          <w:sz w:val="20"/>
          <w:szCs w:val="20"/>
          <w:color w:val="auto"/>
        </w:rPr>
      </w:pPr>
      <w:r>
        <w:rPr>
          <w:rFonts w:ascii="Times New Roman" w:cs="Times New Roman" w:eastAsia="Times New Roman" w:hAnsi="Times New Roman"/>
          <w:sz w:val="20"/>
          <w:szCs w:val="20"/>
          <w:color w:val="auto"/>
        </w:rPr>
        <w:t>On August 9, 2021, the Company received a Taxes Notification of Audit Result ("Notice") from the Texas Comptroller’s Office (the "Comptroller"), for fiscal years between 2016 and 2019, informing the Company that the Comptroller believes the Company did not qualify for certain sales and use tax exemptions on various Research and Development purchases and accordingly the Company is liable for Sale and Use Tax in the amount of approximately $1.0 million including interest charges. The Company paid $0.4 million for the tax notice in May 2021, but challenged the remaining tax assessments and vigorously defended its position. The Comptroller’s office exhausted its redetermination period and therefore moved AOI’s case to the hearing process. No hearing date has yet been scheduled, and as a result the Company is not able to determine the outcome of this sales tax dispute or the likelihood or amount of the Company’s loss, if any, arising from this matter.</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NOTE U—SUBSEQUENT EVENTS</w:t>
      </w:r>
    </w:p>
    <w:p>
      <w:pPr>
        <w:spacing w:after="0" w:line="225" w:lineRule="exact"/>
        <w:rPr>
          <w:sz w:val="20"/>
          <w:szCs w:val="20"/>
          <w:color w:val="auto"/>
        </w:rPr>
      </w:pPr>
    </w:p>
    <w:p>
      <w:pPr>
        <w:jc w:val="both"/>
        <w:ind w:firstLine="706"/>
        <w:spacing w:after="0" w:line="276" w:lineRule="auto"/>
        <w:rPr>
          <w:sz w:val="20"/>
          <w:szCs w:val="20"/>
          <w:color w:val="auto"/>
        </w:rPr>
      </w:pPr>
      <w:r>
        <w:rPr>
          <w:rFonts w:ascii="Times New Roman" w:cs="Times New Roman" w:eastAsia="Times New Roman" w:hAnsi="Times New Roman"/>
          <w:sz w:val="18"/>
          <w:szCs w:val="18"/>
          <w:color w:val="auto"/>
        </w:rPr>
        <w:t>On February 13, 2026, the Compensation Committee of the Board of Directors of the Company approved an amendment to each of the Employment Agreements, dated as of August 5, 2016, by and between the Company and (i) Stefan J. Murry, Chief Financial Officer and Chief Strategy Officer, (ii) Hung-Lun (Fred) Chang, Senior Vice President and North America General Manager, (iii) Shu-Hua (Joshua) Yeh, Senior Vice President and Asia General Manager, and (iv) David C. Kuo, Senior Vice President, Chief Legal Officer, Chief Compliance Officer and Corporate Secretary to provide for enhanced severance payments and benefits.</w:t>
      </w:r>
    </w:p>
    <w:p>
      <w:pPr>
        <w:spacing w:after="0" w:line="163" w:lineRule="exact"/>
        <w:rPr>
          <w:sz w:val="20"/>
          <w:szCs w:val="20"/>
          <w:color w:val="auto"/>
        </w:rPr>
      </w:pPr>
    </w:p>
    <w:p>
      <w:pPr>
        <w:jc w:val="both"/>
        <w:ind w:firstLine="706"/>
        <w:spacing w:after="0" w:line="251" w:lineRule="auto"/>
        <w:rPr>
          <w:sz w:val="20"/>
          <w:szCs w:val="20"/>
          <w:color w:val="auto"/>
        </w:rPr>
      </w:pPr>
      <w:r>
        <w:rPr>
          <w:rFonts w:ascii="Times New Roman" w:cs="Times New Roman" w:eastAsia="Times New Roman" w:hAnsi="Times New Roman"/>
          <w:sz w:val="20"/>
          <w:szCs w:val="20"/>
          <w:color w:val="auto"/>
        </w:rPr>
        <w:t>On February 23, 2026, the Company entered into a Lease Agreement with Blue Ridge Commerce Center West LLC to lease approximately 153,928 rentable square feet of space in Building #3, located at 16851 Blue Ridge Commerce Dr., Houston, Texas 77489. The premises may be used for office, warehouse, and light manufacturing and assembly.</w:t>
      </w:r>
    </w:p>
    <w:p>
      <w:pPr>
        <w:sectPr>
          <w:pgSz w:w="11880" w:h="15480" w:orient="portrait"/>
          <w:cols w:equalWidth="0" w:num="1">
            <w:col w:w="10620"/>
          </w:cols>
          <w:pgMar w:left="620" w:top="407"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F-32</w:t>
      </w:r>
    </w:p>
    <w:p>
      <w:pPr>
        <w:sectPr>
          <w:pgSz w:w="11880" w:h="15480" w:orient="portrait"/>
          <w:cols w:equalWidth="0" w:num="1">
            <w:col w:w="10620"/>
          </w:cols>
          <w:pgMar w:left="620" w:top="407" w:right="640" w:bottom="0" w:gutter="0" w:footer="0" w:header="0"/>
          <w:type w:val="continuous"/>
        </w:sectPr>
      </w:pPr>
    </w:p>
    <w:bookmarkStart w:id="92" w:name="page93"/>
    <w:bookmarkEnd w:id="92"/>
    <w:p>
      <w:pPr>
        <w:jc w:val="center"/>
        <w:spacing w:after="0"/>
        <w:rPr>
          <w:sz w:val="20"/>
          <w:szCs w:val="20"/>
          <w:color w:val="auto"/>
        </w:rPr>
      </w:pPr>
    </w:p>
    <w:p>
      <w:pPr>
        <w:sectPr>
          <w:pgSz w:w="11880" w:h="15480" w:orient="portrait"/>
          <w:cols w:equalWidth="1" w:num="1" w:space="0"/>
          <w:pgMar w:left="1440" w:top="1440" w:right="1440" w:bottom="875" w:gutter="0" w:footer="0" w:header="0"/>
        </w:sectPr>
      </w:pPr>
    </w:p>
    <w:bookmarkStart w:id="93" w:name="page94"/>
    <w:bookmarkEnd w:id="93"/>
    <w:p>
      <w:pPr>
        <w:jc w:val="center"/>
        <w:spacing w:after="0"/>
        <w:rPr>
          <w:sz w:val="20"/>
          <w:szCs w:val="20"/>
          <w:color w:val="auto"/>
        </w:rPr>
      </w:pPr>
    </w:p>
    <w:p>
      <w:pPr>
        <w:sectPr>
          <w:pgSz w:w="11880" w:h="15480" w:orient="portrait"/>
          <w:cols w:equalWidth="1" w:num="1" w:space="0"/>
          <w:pgMar w:left="1440" w:top="1440" w:right="1440" w:bottom="875" w:gutter="0" w:footer="0" w:header="0"/>
        </w:sectPr>
      </w:pPr>
    </w:p>
    <w:bookmarkStart w:id="94" w:name="page95"/>
    <w:bookmarkEnd w:id="9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685165</wp:posOffset>
            </wp:positionH>
            <wp:positionV relativeFrom="page">
              <wp:posOffset>1858645</wp:posOffset>
            </wp:positionV>
            <wp:extent cx="1232535" cy="1644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2">
                      <a:extLst>
                        <a:ext uri="{28A0092B-C50C-407E-A947-70E740481C1C}"/>
                      </a:extLst>
                    </a:blip>
                    <a:srcRect/>
                    <a:stretch>
                      <a:fillRect/>
                    </a:stretch>
                  </pic:blipFill>
                  <pic:spPr bwMode="auto">
                    <a:xfrm>
                      <a:off x="0" y="0"/>
                      <a:ext cx="1232535" cy="164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 w:right="120"/>
        <w:spacing w:after="0" w:line="286" w:lineRule="auto"/>
        <w:rPr>
          <w:sz w:val="20"/>
          <w:szCs w:val="20"/>
          <w:color w:val="auto"/>
        </w:rPr>
      </w:pPr>
      <w:r>
        <w:rPr>
          <w:rFonts w:ascii="Arial" w:cs="Arial" w:eastAsia="Arial" w:hAnsi="Arial"/>
          <w:sz w:val="18"/>
          <w:szCs w:val="18"/>
          <w:color w:val="auto"/>
        </w:rPr>
        <w:t>Applied Optoelectronics, Inc. is a leading, vertically integrated provider of fiber-optic networking products, primarily for four net-working end-markets: internet data center, cable television broadband or CATV, telecom-munications, and fiber-to-the-home, or FTTH. Applied Optoelectronics, Inc. designs and manufactures a range of optical communica-tions products at varying levels of integration, from components, subassemblies and mod-ules to complete turn-key equiment.</w:t>
      </w:r>
    </w:p>
    <w:p>
      <w:pPr>
        <w:spacing w:after="0" w:line="215" w:lineRule="exact"/>
        <w:rPr>
          <w:sz w:val="20"/>
          <w:szCs w:val="20"/>
          <w:color w:val="auto"/>
        </w:rPr>
      </w:pPr>
    </w:p>
    <w:p>
      <w:pPr>
        <w:jc w:val="both"/>
        <w:ind w:left="20" w:right="100"/>
        <w:spacing w:after="0" w:line="268" w:lineRule="auto"/>
        <w:rPr>
          <w:sz w:val="20"/>
          <w:szCs w:val="20"/>
          <w:color w:val="auto"/>
        </w:rPr>
      </w:pPr>
      <w:r>
        <w:rPr>
          <w:rFonts w:ascii="Arial" w:cs="Arial" w:eastAsia="Arial" w:hAnsi="Arial"/>
          <w:sz w:val="19"/>
          <w:szCs w:val="19"/>
          <w:color w:val="auto"/>
          <w:highlight w:val="black"/>
        </w:rPr>
        <w:t>In designing products for its customers, Applied Optoelectronics, Inc. begins with the fundamental building blocks of lasers and laser components. From these foundation</w:t>
      </w:r>
      <w:r>
        <w:rPr>
          <w:rFonts w:ascii="Arial" w:cs="Arial" w:eastAsia="Arial" w:hAnsi="Arial"/>
          <w:sz w:val="19"/>
          <w:szCs w:val="19"/>
          <w:color w:val="auto"/>
        </w:rPr>
        <w:t>-</w:t>
      </w:r>
      <w:r>
        <w:rPr>
          <w:rFonts w:ascii="Arial" w:cs="Arial" w:eastAsia="Arial" w:hAnsi="Arial"/>
          <w:sz w:val="19"/>
          <w:szCs w:val="19"/>
          <w:color w:val="auto"/>
          <w:highlight w:val="black"/>
        </w:rPr>
        <w:t>al products, Applied Optoelectronics, Inc. designs and manufactures a wide range of products to meet each customers’ needs and specifications. Applied Optoelectronics, Inc. is primarily focused on the higher</w:t>
      </w:r>
      <w:r>
        <w:rPr>
          <w:rFonts w:ascii="Arial" w:cs="Arial" w:eastAsia="Arial" w:hAnsi="Arial"/>
          <w:sz w:val="19"/>
          <w:szCs w:val="19"/>
          <w:color w:val="auto"/>
        </w:rPr>
        <w:t>-</w:t>
      </w:r>
      <w:r>
        <w:rPr>
          <w:rFonts w:ascii="Arial" w:cs="Arial" w:eastAsia="Arial" w:hAnsi="Arial"/>
          <w:sz w:val="19"/>
          <w:szCs w:val="19"/>
          <w:color w:val="auto"/>
          <w:highlight w:val="black"/>
        </w:rPr>
        <w:t>performance segments within all four of its target markets where increasing demand for faster connectiv</w:t>
      </w:r>
      <w:r>
        <w:rPr>
          <w:rFonts w:ascii="Arial" w:cs="Arial" w:eastAsia="Arial" w:hAnsi="Arial"/>
          <w:sz w:val="19"/>
          <w:szCs w:val="19"/>
          <w:color w:val="auto"/>
        </w:rPr>
        <w:t>-</w:t>
      </w:r>
      <w:r>
        <w:rPr>
          <w:rFonts w:ascii="Arial" w:cs="Arial" w:eastAsia="Arial" w:hAnsi="Arial"/>
          <w:sz w:val="19"/>
          <w:szCs w:val="19"/>
          <w:color w:val="auto"/>
          <w:highlight w:val="black"/>
        </w:rPr>
        <w:t>ity drives innovation.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263525</wp:posOffset>
            </wp:positionV>
            <wp:extent cx="631825" cy="133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3">
                      <a:extLst>
                        <a:ext uri="{28A0092B-C50C-407E-A947-70E740481C1C}"/>
                      </a:extLst>
                    </a:blip>
                    <a:srcRect/>
                    <a:stretch>
                      <a:fillRect/>
                    </a:stretch>
                  </pic:blipFill>
                  <pic:spPr bwMode="auto">
                    <a:xfrm>
                      <a:off x="0" y="0"/>
                      <a:ext cx="631825" cy="13335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468630</wp:posOffset>
            </wp:positionV>
            <wp:extent cx="1156335" cy="1403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4">
                      <a:extLst>
                        <a:ext uri="{28A0092B-C50C-407E-A947-70E740481C1C}"/>
                      </a:extLst>
                    </a:blip>
                    <a:srcRect/>
                    <a:stretch>
                      <a:fillRect/>
                    </a:stretch>
                  </pic:blipFill>
                  <pic:spPr bwMode="auto">
                    <a:xfrm>
                      <a:off x="0" y="0"/>
                      <a:ext cx="1156335" cy="14033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894715</wp:posOffset>
            </wp:positionV>
            <wp:extent cx="1074420" cy="165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5">
                      <a:extLst>
                        <a:ext uri="{28A0092B-C50C-407E-A947-70E740481C1C}"/>
                      </a:extLst>
                    </a:blip>
                    <a:srcRect/>
                    <a:stretch>
                      <a:fillRect/>
                    </a:stretch>
                  </pic:blipFill>
                  <pic:spPr bwMode="auto">
                    <a:xfrm>
                      <a:off x="0" y="0"/>
                      <a:ext cx="1074420" cy="16573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1097280</wp:posOffset>
            </wp:positionV>
            <wp:extent cx="1523365" cy="1225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6">
                      <a:extLst>
                        <a:ext uri="{28A0092B-C50C-407E-A947-70E740481C1C}"/>
                      </a:extLst>
                    </a:blip>
                    <a:srcRect/>
                    <a:stretch>
                      <a:fillRect/>
                    </a:stretch>
                  </pic:blipFill>
                  <pic:spPr bwMode="auto">
                    <a:xfrm>
                      <a:off x="0" y="0"/>
                      <a:ext cx="1523365" cy="12255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1524635</wp:posOffset>
            </wp:positionV>
            <wp:extent cx="1298575" cy="1333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7">
                      <a:extLst>
                        <a:ext uri="{28A0092B-C50C-407E-A947-70E740481C1C}"/>
                      </a:extLst>
                    </a:blip>
                    <a:srcRect/>
                    <a:stretch>
                      <a:fillRect/>
                    </a:stretch>
                  </pic:blipFill>
                  <pic:spPr bwMode="auto">
                    <a:xfrm>
                      <a:off x="0" y="0"/>
                      <a:ext cx="1298575" cy="133350"/>
                    </a:xfrm>
                    <a:prstGeom prst="rect">
                      <a:avLst/>
                    </a:prstGeom>
                    <a:noFill/>
                  </pic:spPr>
                </pic:pic>
              </a:graphicData>
            </a:graphic>
          </wp:anchor>
        </w:drawing>
        <w:drawing>
          <wp:anchor simplePos="0" relativeHeight="251657728" behindDoc="1" locked="0" layoutInCell="0" allowOverlap="1">
            <wp:simplePos x="0" y="0"/>
            <wp:positionH relativeFrom="column">
              <wp:posOffset>652145</wp:posOffset>
            </wp:positionH>
            <wp:positionV relativeFrom="paragraph">
              <wp:posOffset>-1810385</wp:posOffset>
            </wp:positionV>
            <wp:extent cx="78105" cy="1079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8">
                      <a:extLst>
                        <a:ext uri="{28A0092B-C50C-407E-A947-70E740481C1C}"/>
                      </a:extLst>
                    </a:blip>
                    <a:srcRect/>
                    <a:stretch>
                      <a:fillRect/>
                    </a:stretch>
                  </pic:blipFill>
                  <pic:spPr bwMode="auto">
                    <a:xfrm>
                      <a:off x="0" y="0"/>
                      <a:ext cx="78105" cy="107950"/>
                    </a:xfrm>
                    <a:prstGeom prst="rect">
                      <a:avLst/>
                    </a:prstGeom>
                    <a:noFill/>
                  </pic:spPr>
                </pic:pic>
              </a:graphicData>
            </a:graphic>
          </wp:anchor>
        </w:drawing>
        <w:drawing>
          <wp:anchor simplePos="0" relativeHeight="251657728" behindDoc="1" locked="0" layoutInCell="0" allowOverlap="1">
            <wp:simplePos x="0" y="0"/>
            <wp:positionH relativeFrom="column">
              <wp:posOffset>1231900</wp:posOffset>
            </wp:positionH>
            <wp:positionV relativeFrom="paragraph">
              <wp:posOffset>-1811020</wp:posOffset>
            </wp:positionV>
            <wp:extent cx="64770" cy="863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9">
                      <a:extLst>
                        <a:ext uri="{28A0092B-C50C-407E-A947-70E740481C1C}"/>
                      </a:extLst>
                    </a:blip>
                    <a:srcRect/>
                    <a:stretch>
                      <a:fillRect/>
                    </a:stretch>
                  </pic:blipFill>
                  <pic:spPr bwMode="auto">
                    <a:xfrm>
                      <a:off x="0" y="0"/>
                      <a:ext cx="64770" cy="86360"/>
                    </a:xfrm>
                    <a:prstGeom prst="rect">
                      <a:avLst/>
                    </a:prstGeom>
                    <a:noFill/>
                  </pic:spPr>
                </pic:pic>
              </a:graphicData>
            </a:graphic>
          </wp:anchor>
        </w:drawing>
        <w:drawing>
          <wp:anchor simplePos="0" relativeHeight="251657728" behindDoc="1" locked="0" layoutInCell="0" allowOverlap="1">
            <wp:simplePos x="0" y="0"/>
            <wp:positionH relativeFrom="column">
              <wp:posOffset>1678305</wp:posOffset>
            </wp:positionH>
            <wp:positionV relativeFrom="paragraph">
              <wp:posOffset>-1811020</wp:posOffset>
            </wp:positionV>
            <wp:extent cx="64770" cy="863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0">
                      <a:extLst>
                        <a:ext uri="{28A0092B-C50C-407E-A947-70E740481C1C}"/>
                      </a:extLst>
                    </a:blip>
                    <a:srcRect/>
                    <a:stretch>
                      <a:fillRect/>
                    </a:stretch>
                  </pic:blipFill>
                  <pic:spPr bwMode="auto">
                    <a:xfrm>
                      <a:off x="0" y="0"/>
                      <a:ext cx="64770" cy="86360"/>
                    </a:xfrm>
                    <a:prstGeom prst="rect">
                      <a:avLst/>
                    </a:prstGeom>
                    <a:noFill/>
                  </pic:spPr>
                </pic:pic>
              </a:graphicData>
            </a:graphic>
          </wp:anchor>
        </w:drawing>
        <w:drawing>
          <wp:anchor simplePos="0" relativeHeight="251657728" behindDoc="1" locked="0" layoutInCell="0" allowOverlap="1">
            <wp:simplePos x="0" y="0"/>
            <wp:positionH relativeFrom="column">
              <wp:posOffset>2381250</wp:posOffset>
            </wp:positionH>
            <wp:positionV relativeFrom="paragraph">
              <wp:posOffset>-1764665</wp:posOffset>
            </wp:positionV>
            <wp:extent cx="45720" cy="571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1">
                      <a:extLst>
                        <a:ext uri="{28A0092B-C50C-407E-A947-70E740481C1C}"/>
                      </a:extLst>
                    </a:blip>
                    <a:srcRect/>
                    <a:stretch>
                      <a:fillRect/>
                    </a:stretch>
                  </pic:blipFill>
                  <pic:spPr bwMode="auto">
                    <a:xfrm>
                      <a:off x="0" y="0"/>
                      <a:ext cx="45720" cy="57150"/>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-1609725</wp:posOffset>
            </wp:positionV>
            <wp:extent cx="45720" cy="571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2">
                      <a:extLst>
                        <a:ext uri="{28A0092B-C50C-407E-A947-70E740481C1C}"/>
                      </a:extLst>
                    </a:blip>
                    <a:srcRect/>
                    <a:stretch>
                      <a:fillRect/>
                    </a:stretch>
                  </pic:blipFill>
                  <pic:spPr bwMode="auto">
                    <a:xfrm>
                      <a:off x="0" y="0"/>
                      <a:ext cx="45720" cy="57150"/>
                    </a:xfrm>
                    <a:prstGeom prst="rect">
                      <a:avLst/>
                    </a:prstGeom>
                    <a:noFill/>
                  </pic:spPr>
                </pic:pic>
              </a:graphicData>
            </a:graphic>
          </wp:anchor>
        </w:drawing>
        <w:drawing>
          <wp:anchor simplePos="0" relativeHeight="251657728" behindDoc="1" locked="0" layoutInCell="0" allowOverlap="1">
            <wp:simplePos x="0" y="0"/>
            <wp:positionH relativeFrom="column">
              <wp:posOffset>1877060</wp:posOffset>
            </wp:positionH>
            <wp:positionV relativeFrom="paragraph">
              <wp:posOffset>-1656080</wp:posOffset>
            </wp:positionV>
            <wp:extent cx="64770" cy="863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3">
                      <a:extLst>
                        <a:ext uri="{28A0092B-C50C-407E-A947-70E740481C1C}"/>
                      </a:extLst>
                    </a:blip>
                    <a:srcRect/>
                    <a:stretch>
                      <a:fillRect/>
                    </a:stretch>
                  </pic:blipFill>
                  <pic:spPr bwMode="auto">
                    <a:xfrm>
                      <a:off x="0" y="0"/>
                      <a:ext cx="64770" cy="86360"/>
                    </a:xfrm>
                    <a:prstGeom prst="rect">
                      <a:avLst/>
                    </a:prstGeom>
                    <a:noFill/>
                  </pic:spPr>
                </pic:pic>
              </a:graphicData>
            </a:graphic>
          </wp:anchor>
        </w:drawing>
        <w:drawing>
          <wp:anchor simplePos="0" relativeHeight="251657728" behindDoc="1" locked="0" layoutInCell="0" allowOverlap="1">
            <wp:simplePos x="0" y="0"/>
            <wp:positionH relativeFrom="column">
              <wp:posOffset>1109980</wp:posOffset>
            </wp:positionH>
            <wp:positionV relativeFrom="paragraph">
              <wp:posOffset>-1500505</wp:posOffset>
            </wp:positionV>
            <wp:extent cx="78105" cy="1079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4">
                      <a:extLst>
                        <a:ext uri="{28A0092B-C50C-407E-A947-70E740481C1C}"/>
                      </a:extLst>
                    </a:blip>
                    <a:srcRect/>
                    <a:stretch>
                      <a:fillRect/>
                    </a:stretch>
                  </pic:blipFill>
                  <pic:spPr bwMode="auto">
                    <a:xfrm>
                      <a:off x="0" y="0"/>
                      <a:ext cx="78105" cy="107950"/>
                    </a:xfrm>
                    <a:prstGeom prst="rect">
                      <a:avLst/>
                    </a:prstGeom>
                    <a:noFill/>
                  </pic:spPr>
                </pic:pic>
              </a:graphicData>
            </a:graphic>
          </wp:anchor>
        </w:drawing>
        <w:drawing>
          <wp:anchor simplePos="0" relativeHeight="251657728" behindDoc="1" locked="0" layoutInCell="0" allowOverlap="1">
            <wp:simplePos x="0" y="0"/>
            <wp:positionH relativeFrom="column">
              <wp:posOffset>1527810</wp:posOffset>
            </wp:positionH>
            <wp:positionV relativeFrom="paragraph">
              <wp:posOffset>-1501140</wp:posOffset>
            </wp:positionV>
            <wp:extent cx="64770" cy="863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5">
                      <a:extLst>
                        <a:ext uri="{28A0092B-C50C-407E-A947-70E740481C1C}"/>
                      </a:extLst>
                    </a:blip>
                    <a:srcRect/>
                    <a:stretch>
                      <a:fillRect/>
                    </a:stretch>
                  </pic:blipFill>
                  <pic:spPr bwMode="auto">
                    <a:xfrm>
                      <a:off x="0" y="0"/>
                      <a:ext cx="64770" cy="86360"/>
                    </a:xfrm>
                    <a:prstGeom prst="rect">
                      <a:avLst/>
                    </a:prstGeom>
                    <a:noFill/>
                  </pic:spPr>
                </pic:pic>
              </a:graphicData>
            </a:graphic>
          </wp:anchor>
        </w:drawing>
        <w:drawing>
          <wp:anchor simplePos="0" relativeHeight="251657728" behindDoc="1" locked="0" layoutInCell="0" allowOverlap="1">
            <wp:simplePos x="0" y="0"/>
            <wp:positionH relativeFrom="column">
              <wp:posOffset>1720850</wp:posOffset>
            </wp:positionH>
            <wp:positionV relativeFrom="paragraph">
              <wp:posOffset>-1527810</wp:posOffset>
            </wp:positionV>
            <wp:extent cx="62865" cy="1123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6">
                      <a:extLst>
                        <a:ext uri="{28A0092B-C50C-407E-A947-70E740481C1C}"/>
                      </a:extLst>
                    </a:blip>
                    <a:srcRect/>
                    <a:stretch>
                      <a:fillRect/>
                    </a:stretch>
                  </pic:blipFill>
                  <pic:spPr bwMode="auto">
                    <a:xfrm>
                      <a:off x="0" y="0"/>
                      <a:ext cx="62865" cy="112395"/>
                    </a:xfrm>
                    <a:prstGeom prst="rect">
                      <a:avLst/>
                    </a:prstGeom>
                    <a:noFill/>
                  </pic:spPr>
                </pic:pic>
              </a:graphicData>
            </a:graphic>
          </wp:anchor>
        </w:drawing>
        <w:drawing>
          <wp:anchor simplePos="0" relativeHeight="251657728" behindDoc="1" locked="0" layoutInCell="0" allowOverlap="1">
            <wp:simplePos x="0" y="0"/>
            <wp:positionH relativeFrom="column">
              <wp:posOffset>2091055</wp:posOffset>
            </wp:positionH>
            <wp:positionV relativeFrom="paragraph">
              <wp:posOffset>-1501140</wp:posOffset>
            </wp:positionV>
            <wp:extent cx="64770" cy="863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7">
                      <a:extLst>
                        <a:ext uri="{28A0092B-C50C-407E-A947-70E740481C1C}"/>
                      </a:extLst>
                    </a:blip>
                    <a:srcRect/>
                    <a:stretch>
                      <a:fillRect/>
                    </a:stretch>
                  </pic:blipFill>
                  <pic:spPr bwMode="auto">
                    <a:xfrm>
                      <a:off x="0" y="0"/>
                      <a:ext cx="64770" cy="86360"/>
                    </a:xfrm>
                    <a:prstGeom prst="rect">
                      <a:avLst/>
                    </a:prstGeom>
                    <a:noFill/>
                  </pic:spPr>
                </pic:pic>
              </a:graphicData>
            </a:graphic>
          </wp:anchor>
        </w:drawing>
        <w:drawing>
          <wp:anchor simplePos="0" relativeHeight="251657728" behindDoc="1" locked="0" layoutInCell="0" allowOverlap="1">
            <wp:simplePos x="0" y="0"/>
            <wp:positionH relativeFrom="column">
              <wp:posOffset>929640</wp:posOffset>
            </wp:positionH>
            <wp:positionV relativeFrom="paragraph">
              <wp:posOffset>-1346200</wp:posOffset>
            </wp:positionV>
            <wp:extent cx="64770" cy="863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8">
                      <a:extLst>
                        <a:ext uri="{28A0092B-C50C-407E-A947-70E740481C1C}"/>
                      </a:extLst>
                    </a:blip>
                    <a:srcRect/>
                    <a:stretch>
                      <a:fillRect/>
                    </a:stretch>
                  </pic:blipFill>
                  <pic:spPr bwMode="auto">
                    <a:xfrm>
                      <a:off x="0" y="0"/>
                      <a:ext cx="64770" cy="86360"/>
                    </a:xfrm>
                    <a:prstGeom prst="rect">
                      <a:avLst/>
                    </a:prstGeom>
                    <a:noFill/>
                  </pic:spPr>
                </pic:pic>
              </a:graphicData>
            </a:graphic>
          </wp:anchor>
        </w:drawing>
        <w:drawing>
          <wp:anchor simplePos="0" relativeHeight="251657728" behindDoc="1" locked="0" layoutInCell="0" allowOverlap="1">
            <wp:simplePos x="0" y="0"/>
            <wp:positionH relativeFrom="column">
              <wp:posOffset>2376170</wp:posOffset>
            </wp:positionH>
            <wp:positionV relativeFrom="paragraph">
              <wp:posOffset>-1321435</wp:posOffset>
            </wp:positionV>
            <wp:extent cx="55880" cy="336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9">
                      <a:extLst>
                        <a:ext uri="{28A0092B-C50C-407E-A947-70E740481C1C}"/>
                      </a:extLst>
                    </a:blip>
                    <a:srcRect/>
                    <a:stretch>
                      <a:fillRect/>
                    </a:stretch>
                  </pic:blipFill>
                  <pic:spPr bwMode="auto">
                    <a:xfrm>
                      <a:off x="0" y="0"/>
                      <a:ext cx="55880" cy="33655"/>
                    </a:xfrm>
                    <a:prstGeom prst="rect">
                      <a:avLst/>
                    </a:prstGeom>
                    <a:noFill/>
                  </pic:spPr>
                </pic:pic>
              </a:graphicData>
            </a:graphic>
          </wp:anchor>
        </w:drawing>
        <w:drawing>
          <wp:anchor simplePos="0" relativeHeight="251657728" behindDoc="1" locked="0" layoutInCell="0" allowOverlap="1">
            <wp:simplePos x="0" y="0"/>
            <wp:positionH relativeFrom="column">
              <wp:posOffset>646430</wp:posOffset>
            </wp:positionH>
            <wp:positionV relativeFrom="paragraph">
              <wp:posOffset>-1144905</wp:posOffset>
            </wp:positionV>
            <wp:extent cx="45720" cy="571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0">
                      <a:extLst>
                        <a:ext uri="{28A0092B-C50C-407E-A947-70E740481C1C}"/>
                      </a:extLst>
                    </a:blip>
                    <a:srcRect/>
                    <a:stretch>
                      <a:fillRect/>
                    </a:stretch>
                  </pic:blipFill>
                  <pic:spPr bwMode="auto">
                    <a:xfrm>
                      <a:off x="0" y="0"/>
                      <a:ext cx="45720" cy="57150"/>
                    </a:xfrm>
                    <a:prstGeom prst="rect">
                      <a:avLst/>
                    </a:prstGeom>
                    <a:noFill/>
                  </pic:spPr>
                </pic:pic>
              </a:graphicData>
            </a:graphic>
          </wp:anchor>
        </w:drawing>
        <w:drawing>
          <wp:anchor simplePos="0" relativeHeight="251657728" behindDoc="1" locked="0" layoutInCell="0" allowOverlap="1">
            <wp:simplePos x="0" y="0"/>
            <wp:positionH relativeFrom="column">
              <wp:posOffset>2099945</wp:posOffset>
            </wp:positionH>
            <wp:positionV relativeFrom="paragraph">
              <wp:posOffset>-1144905</wp:posOffset>
            </wp:positionV>
            <wp:extent cx="45720" cy="571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31">
                      <a:extLst>
                        <a:ext uri="{28A0092B-C50C-407E-A947-70E740481C1C}"/>
                      </a:extLst>
                    </a:blip>
                    <a:srcRect/>
                    <a:stretch>
                      <a:fillRect/>
                    </a:stretch>
                  </pic:blipFill>
                  <pic:spPr bwMode="auto">
                    <a:xfrm>
                      <a:off x="0" y="0"/>
                      <a:ext cx="45720" cy="57150"/>
                    </a:xfrm>
                    <a:prstGeom prst="rect">
                      <a:avLst/>
                    </a:prstGeom>
                    <a:noFill/>
                  </pic:spPr>
                </pic:pic>
              </a:graphicData>
            </a:graphic>
          </wp:anchor>
        </w:drawing>
        <w:drawing>
          <wp:anchor simplePos="0" relativeHeight="251657728" behindDoc="1" locked="0" layoutInCell="0" allowOverlap="1">
            <wp:simplePos x="0" y="0"/>
            <wp:positionH relativeFrom="column">
              <wp:posOffset>342900</wp:posOffset>
            </wp:positionH>
            <wp:positionV relativeFrom="paragraph">
              <wp:posOffset>-1036320</wp:posOffset>
            </wp:positionV>
            <wp:extent cx="64770" cy="863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2">
                      <a:extLst>
                        <a:ext uri="{28A0092B-C50C-407E-A947-70E740481C1C}"/>
                      </a:extLst>
                    </a:blip>
                    <a:srcRect/>
                    <a:stretch>
                      <a:fillRect/>
                    </a:stretch>
                  </pic:blipFill>
                  <pic:spPr bwMode="auto">
                    <a:xfrm>
                      <a:off x="0" y="0"/>
                      <a:ext cx="64770" cy="86360"/>
                    </a:xfrm>
                    <a:prstGeom prst="rect">
                      <a:avLst/>
                    </a:prstGeom>
                    <a:noFill/>
                  </pic:spPr>
                </pic:pic>
              </a:graphicData>
            </a:graphic>
          </wp:anchor>
        </w:drawing>
        <w:drawing>
          <wp:anchor simplePos="0" relativeHeight="251657728" behindDoc="1" locked="0" layoutInCell="0" allowOverlap="1">
            <wp:simplePos x="0" y="0"/>
            <wp:positionH relativeFrom="column">
              <wp:posOffset>1391285</wp:posOffset>
            </wp:positionH>
            <wp:positionV relativeFrom="paragraph">
              <wp:posOffset>-1036320</wp:posOffset>
            </wp:positionV>
            <wp:extent cx="64770" cy="863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33">
                      <a:extLst>
                        <a:ext uri="{28A0092B-C50C-407E-A947-70E740481C1C}"/>
                      </a:extLst>
                    </a:blip>
                    <a:srcRect/>
                    <a:stretch>
                      <a:fillRect/>
                    </a:stretch>
                  </pic:blipFill>
                  <pic:spPr bwMode="auto">
                    <a:xfrm>
                      <a:off x="0" y="0"/>
                      <a:ext cx="64770" cy="86360"/>
                    </a:xfrm>
                    <a:prstGeom prst="rect">
                      <a:avLst/>
                    </a:prstGeom>
                    <a:noFill/>
                  </pic:spPr>
                </pic:pic>
              </a:graphicData>
            </a:graphic>
          </wp:anchor>
        </w:drawing>
        <w:drawing>
          <wp:anchor simplePos="0" relativeHeight="251657728" behindDoc="1" locked="0" layoutInCell="0" allowOverlap="1">
            <wp:simplePos x="0" y="0"/>
            <wp:positionH relativeFrom="column">
              <wp:posOffset>2373630</wp:posOffset>
            </wp:positionH>
            <wp:positionV relativeFrom="paragraph">
              <wp:posOffset>-1062990</wp:posOffset>
            </wp:positionV>
            <wp:extent cx="62865" cy="1123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4">
                      <a:extLst>
                        <a:ext uri="{28A0092B-C50C-407E-A947-70E740481C1C}"/>
                      </a:extLst>
                    </a:blip>
                    <a:srcRect/>
                    <a:stretch>
                      <a:fillRect/>
                    </a:stretch>
                  </pic:blipFill>
                  <pic:spPr bwMode="auto">
                    <a:xfrm>
                      <a:off x="0" y="0"/>
                      <a:ext cx="62865" cy="112395"/>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-881380</wp:posOffset>
            </wp:positionV>
            <wp:extent cx="64770" cy="863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5">
                      <a:extLst>
                        <a:ext uri="{28A0092B-C50C-407E-A947-70E740481C1C}"/>
                      </a:extLst>
                    </a:blip>
                    <a:srcRect/>
                    <a:stretch>
                      <a:fillRect/>
                    </a:stretch>
                  </pic:blipFill>
                  <pic:spPr bwMode="auto">
                    <a:xfrm>
                      <a:off x="0" y="0"/>
                      <a:ext cx="64770" cy="86360"/>
                    </a:xfrm>
                    <a:prstGeom prst="rect">
                      <a:avLst/>
                    </a:prstGeom>
                    <a:noFill/>
                  </pic:spPr>
                </pic:pic>
              </a:graphicData>
            </a:graphic>
          </wp:anchor>
        </w:drawing>
        <w:drawing>
          <wp:anchor simplePos="0" relativeHeight="251657728" behindDoc="1" locked="0" layoutInCell="0" allowOverlap="1">
            <wp:simplePos x="0" y="0"/>
            <wp:positionH relativeFrom="column">
              <wp:posOffset>879475</wp:posOffset>
            </wp:positionH>
            <wp:positionV relativeFrom="paragraph">
              <wp:posOffset>-895350</wp:posOffset>
            </wp:positionV>
            <wp:extent cx="61595" cy="1003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6">
                      <a:extLst>
                        <a:ext uri="{28A0092B-C50C-407E-A947-70E740481C1C}"/>
                      </a:extLst>
                    </a:blip>
                    <a:srcRect/>
                    <a:stretch>
                      <a:fillRect/>
                    </a:stretch>
                  </pic:blipFill>
                  <pic:spPr bwMode="auto">
                    <a:xfrm>
                      <a:off x="0" y="0"/>
                      <a:ext cx="61595" cy="100330"/>
                    </a:xfrm>
                    <a:prstGeom prst="rect">
                      <a:avLst/>
                    </a:prstGeom>
                    <a:noFill/>
                  </pic:spPr>
                </pic:pic>
              </a:graphicData>
            </a:graphic>
          </wp:anchor>
        </w:drawing>
        <w:drawing>
          <wp:anchor simplePos="0" relativeHeight="251657728" behindDoc="1" locked="0" layoutInCell="0" allowOverlap="1">
            <wp:simplePos x="0" y="0"/>
            <wp:positionH relativeFrom="column">
              <wp:posOffset>1791970</wp:posOffset>
            </wp:positionH>
            <wp:positionV relativeFrom="paragraph">
              <wp:posOffset>-908050</wp:posOffset>
            </wp:positionV>
            <wp:extent cx="45720" cy="571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37">
                      <a:extLst>
                        <a:ext uri="{28A0092B-C50C-407E-A947-70E740481C1C}"/>
                      </a:extLst>
                    </a:blip>
                    <a:srcRect/>
                    <a:stretch>
                      <a:fillRect/>
                    </a:stretch>
                  </pic:blipFill>
                  <pic:spPr bwMode="auto">
                    <a:xfrm>
                      <a:off x="0" y="0"/>
                      <a:ext cx="45720" cy="57150"/>
                    </a:xfrm>
                    <a:prstGeom prst="rect">
                      <a:avLst/>
                    </a:prstGeom>
                    <a:noFill/>
                  </pic:spPr>
                </pic:pic>
              </a:graphicData>
            </a:graphic>
          </wp:anchor>
        </w:drawing>
        <w:drawing>
          <wp:anchor simplePos="0" relativeHeight="251657728" behindDoc="1" locked="0" layoutInCell="0" allowOverlap="1">
            <wp:simplePos x="0" y="0"/>
            <wp:positionH relativeFrom="column">
              <wp:posOffset>2129790</wp:posOffset>
            </wp:positionH>
            <wp:positionV relativeFrom="paragraph">
              <wp:posOffset>-881380</wp:posOffset>
            </wp:positionV>
            <wp:extent cx="64770" cy="863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38">
                      <a:extLst>
                        <a:ext uri="{28A0092B-C50C-407E-A947-70E740481C1C}"/>
                      </a:extLst>
                    </a:blip>
                    <a:srcRect/>
                    <a:stretch>
                      <a:fillRect/>
                    </a:stretch>
                  </pic:blipFill>
                  <pic:spPr bwMode="auto">
                    <a:xfrm>
                      <a:off x="0" y="0"/>
                      <a:ext cx="64770" cy="86360"/>
                    </a:xfrm>
                    <a:prstGeom prst="rect">
                      <a:avLst/>
                    </a:prstGeom>
                    <a:noFill/>
                  </pic:spPr>
                </pic:pic>
              </a:graphicData>
            </a:graphic>
          </wp:anchor>
        </w:drawing>
        <w:drawing>
          <wp:anchor simplePos="0" relativeHeight="251657728" behindDoc="1" locked="0" layoutInCell="0" allowOverlap="1">
            <wp:simplePos x="0" y="0"/>
            <wp:positionH relativeFrom="column">
              <wp:posOffset>659130</wp:posOffset>
            </wp:positionH>
            <wp:positionV relativeFrom="paragraph">
              <wp:posOffset>-726440</wp:posOffset>
            </wp:positionV>
            <wp:extent cx="93980" cy="863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39">
                      <a:extLst>
                        <a:ext uri="{28A0092B-C50C-407E-A947-70E740481C1C}"/>
                      </a:extLst>
                    </a:blip>
                    <a:srcRect/>
                    <a:stretch>
                      <a:fillRect/>
                    </a:stretch>
                  </pic:blipFill>
                  <pic:spPr bwMode="auto">
                    <a:xfrm>
                      <a:off x="0" y="0"/>
                      <a:ext cx="93980" cy="86360"/>
                    </a:xfrm>
                    <a:prstGeom prst="rect">
                      <a:avLst/>
                    </a:prstGeom>
                    <a:noFill/>
                  </pic:spPr>
                </pic:pic>
              </a:graphicData>
            </a:graphic>
          </wp:anchor>
        </w:drawing>
        <w:drawing>
          <wp:anchor simplePos="0" relativeHeight="251657728" behindDoc="1" locked="0" layoutInCell="0" allowOverlap="1">
            <wp:simplePos x="0" y="0"/>
            <wp:positionH relativeFrom="column">
              <wp:posOffset>2057400</wp:posOffset>
            </wp:positionH>
            <wp:positionV relativeFrom="paragraph">
              <wp:posOffset>-680085</wp:posOffset>
            </wp:positionV>
            <wp:extent cx="45720" cy="571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40">
                      <a:extLst>
                        <a:ext uri="{28A0092B-C50C-407E-A947-70E740481C1C}"/>
                      </a:extLst>
                    </a:blip>
                    <a:srcRect/>
                    <a:stretch>
                      <a:fillRect/>
                    </a:stretch>
                  </pic:blipFill>
                  <pic:spPr bwMode="auto">
                    <a:xfrm>
                      <a:off x="0" y="0"/>
                      <a:ext cx="45720" cy="57150"/>
                    </a:xfrm>
                    <a:prstGeom prst="rect">
                      <a:avLst/>
                    </a:prstGeom>
                    <a:noFill/>
                  </pic:spPr>
                </pic:pic>
              </a:graphicData>
            </a:graphic>
          </wp:anchor>
        </w:drawing>
        <w:drawing>
          <wp:anchor simplePos="0" relativeHeight="251657728" behindDoc="1" locked="0" layoutInCell="0" allowOverlap="1">
            <wp:simplePos x="0" y="0"/>
            <wp:positionH relativeFrom="column">
              <wp:posOffset>2220595</wp:posOffset>
            </wp:positionH>
            <wp:positionV relativeFrom="paragraph">
              <wp:posOffset>-726440</wp:posOffset>
            </wp:positionV>
            <wp:extent cx="208915" cy="863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41">
                      <a:extLst>
                        <a:ext uri="{28A0092B-C50C-407E-A947-70E740481C1C}"/>
                      </a:extLst>
                    </a:blip>
                    <a:srcRect/>
                    <a:stretch>
                      <a:fillRect/>
                    </a:stretch>
                  </pic:blipFill>
                  <pic:spPr bwMode="auto">
                    <a:xfrm>
                      <a:off x="0" y="0"/>
                      <a:ext cx="208915" cy="86360"/>
                    </a:xfrm>
                    <a:prstGeom prst="rect">
                      <a:avLst/>
                    </a:prstGeom>
                    <a:noFill/>
                  </pic:spPr>
                </pic:pic>
              </a:graphicData>
            </a:graphic>
          </wp:anchor>
        </w:drawing>
        <w:drawing>
          <wp:anchor simplePos="0" relativeHeight="251657728" behindDoc="1" locked="0" layoutInCell="0" allowOverlap="1">
            <wp:simplePos x="0" y="0"/>
            <wp:positionH relativeFrom="column">
              <wp:posOffset>412115</wp:posOffset>
            </wp:positionH>
            <wp:positionV relativeFrom="paragraph">
              <wp:posOffset>-570230</wp:posOffset>
            </wp:positionV>
            <wp:extent cx="78105" cy="1066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42">
                      <a:extLst>
                        <a:ext uri="{28A0092B-C50C-407E-A947-70E740481C1C}"/>
                      </a:extLst>
                    </a:blip>
                    <a:srcRect/>
                    <a:stretch>
                      <a:fillRect/>
                    </a:stretch>
                  </pic:blipFill>
                  <pic:spPr bwMode="auto">
                    <a:xfrm>
                      <a:off x="0" y="0"/>
                      <a:ext cx="78105" cy="106680"/>
                    </a:xfrm>
                    <a:prstGeom prst="rect">
                      <a:avLst/>
                    </a:prstGeom>
                    <a:noFill/>
                  </pic:spPr>
                </pic:pic>
              </a:graphicData>
            </a:graphic>
          </wp:anchor>
        </w:drawing>
        <w:drawing>
          <wp:anchor simplePos="0" relativeHeight="251657728" behindDoc="1" locked="0" layoutInCell="0" allowOverlap="1">
            <wp:simplePos x="0" y="0"/>
            <wp:positionH relativeFrom="column">
              <wp:posOffset>1696720</wp:posOffset>
            </wp:positionH>
            <wp:positionV relativeFrom="paragraph">
              <wp:posOffset>-546735</wp:posOffset>
            </wp:positionV>
            <wp:extent cx="55880" cy="336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43">
                      <a:extLst>
                        <a:ext uri="{28A0092B-C50C-407E-A947-70E740481C1C}"/>
                      </a:extLst>
                    </a:blip>
                    <a:srcRect/>
                    <a:stretch>
                      <a:fillRect/>
                    </a:stretch>
                  </pic:blipFill>
                  <pic:spPr bwMode="auto">
                    <a:xfrm>
                      <a:off x="0" y="0"/>
                      <a:ext cx="55880" cy="33655"/>
                    </a:xfrm>
                    <a:prstGeom prst="rect">
                      <a:avLst/>
                    </a:prstGeom>
                    <a:noFill/>
                  </pic:spPr>
                </pic:pic>
              </a:graphicData>
            </a:graphic>
          </wp:anchor>
        </w:drawing>
        <w:drawing>
          <wp:anchor simplePos="0" relativeHeight="251657728" behindDoc="1" locked="0" layoutInCell="0" allowOverlap="1">
            <wp:simplePos x="0" y="0"/>
            <wp:positionH relativeFrom="column">
              <wp:posOffset>454025</wp:posOffset>
            </wp:positionH>
            <wp:positionV relativeFrom="paragraph">
              <wp:posOffset>-416560</wp:posOffset>
            </wp:positionV>
            <wp:extent cx="64770" cy="863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44">
                      <a:extLst>
                        <a:ext uri="{28A0092B-C50C-407E-A947-70E740481C1C}"/>
                      </a:extLst>
                    </a:blip>
                    <a:srcRect/>
                    <a:stretch>
                      <a:fillRect/>
                    </a:stretch>
                  </pic:blipFill>
                  <pic:spPr bwMode="auto">
                    <a:xfrm>
                      <a:off x="0" y="0"/>
                      <a:ext cx="64770" cy="86360"/>
                    </a:xfrm>
                    <a:prstGeom prst="rect">
                      <a:avLst/>
                    </a:prstGeom>
                    <a:noFill/>
                  </pic:spPr>
                </pic:pic>
              </a:graphicData>
            </a:graphic>
          </wp:anchor>
        </w:drawing>
        <w:drawing>
          <wp:anchor simplePos="0" relativeHeight="251657728" behindDoc="1" locked="0" layoutInCell="0" allowOverlap="1">
            <wp:simplePos x="0" y="0"/>
            <wp:positionH relativeFrom="column">
              <wp:posOffset>1396365</wp:posOffset>
            </wp:positionH>
            <wp:positionV relativeFrom="paragraph">
              <wp:posOffset>-443230</wp:posOffset>
            </wp:positionV>
            <wp:extent cx="62865" cy="1123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45">
                      <a:extLst>
                        <a:ext uri="{28A0092B-C50C-407E-A947-70E740481C1C}"/>
                      </a:extLst>
                    </a:blip>
                    <a:srcRect/>
                    <a:stretch>
                      <a:fillRect/>
                    </a:stretch>
                  </pic:blipFill>
                  <pic:spPr bwMode="auto">
                    <a:xfrm>
                      <a:off x="0" y="0"/>
                      <a:ext cx="62865" cy="112395"/>
                    </a:xfrm>
                    <a:prstGeom prst="rect">
                      <a:avLst/>
                    </a:prstGeom>
                    <a:noFill/>
                  </pic:spPr>
                </pic:pic>
              </a:graphicData>
            </a:graphic>
          </wp:anchor>
        </w:drawing>
        <w:drawing>
          <wp:anchor simplePos="0" relativeHeight="251657728" behindDoc="1" locked="0" layoutInCell="0" allowOverlap="1">
            <wp:simplePos x="0" y="0"/>
            <wp:positionH relativeFrom="column">
              <wp:posOffset>1551940</wp:posOffset>
            </wp:positionH>
            <wp:positionV relativeFrom="paragraph">
              <wp:posOffset>-416560</wp:posOffset>
            </wp:positionV>
            <wp:extent cx="64770" cy="863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46">
                      <a:extLst>
                        <a:ext uri="{28A0092B-C50C-407E-A947-70E740481C1C}"/>
                      </a:extLst>
                    </a:blip>
                    <a:srcRect/>
                    <a:stretch>
                      <a:fillRect/>
                    </a:stretch>
                  </pic:blipFill>
                  <pic:spPr bwMode="auto">
                    <a:xfrm>
                      <a:off x="0" y="0"/>
                      <a:ext cx="64770" cy="86360"/>
                    </a:xfrm>
                    <a:prstGeom prst="rect">
                      <a:avLst/>
                    </a:prstGeom>
                    <a:noFill/>
                  </pic:spPr>
                </pic:pic>
              </a:graphicData>
            </a:graphic>
          </wp:anchor>
        </w:drawing>
        <w:drawing>
          <wp:anchor simplePos="0" relativeHeight="251657728" behindDoc="1" locked="0" layoutInCell="0" allowOverlap="1">
            <wp:simplePos x="0" y="0"/>
            <wp:positionH relativeFrom="column">
              <wp:posOffset>1908810</wp:posOffset>
            </wp:positionH>
            <wp:positionV relativeFrom="paragraph">
              <wp:posOffset>-430530</wp:posOffset>
            </wp:positionV>
            <wp:extent cx="61595" cy="1003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47">
                      <a:extLst>
                        <a:ext uri="{28A0092B-C50C-407E-A947-70E740481C1C}"/>
                      </a:extLst>
                    </a:blip>
                    <a:srcRect/>
                    <a:stretch>
                      <a:fillRect/>
                    </a:stretch>
                  </pic:blipFill>
                  <pic:spPr bwMode="auto">
                    <a:xfrm>
                      <a:off x="0" y="0"/>
                      <a:ext cx="61595" cy="100330"/>
                    </a:xfrm>
                    <a:prstGeom prst="rect">
                      <a:avLst/>
                    </a:prstGeom>
                    <a:noFill/>
                  </pic:spPr>
                </pic:pic>
              </a:graphicData>
            </a:graphic>
          </wp:anchor>
        </w:drawing>
        <w:drawing>
          <wp:anchor simplePos="0" relativeHeight="251657728" behindDoc="1" locked="0" layoutInCell="0" allowOverlap="1">
            <wp:simplePos x="0" y="0"/>
            <wp:positionH relativeFrom="column">
              <wp:posOffset>2366010</wp:posOffset>
            </wp:positionH>
            <wp:positionV relativeFrom="paragraph">
              <wp:posOffset>-416560</wp:posOffset>
            </wp:positionV>
            <wp:extent cx="64770" cy="863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48">
                      <a:extLst>
                        <a:ext uri="{28A0092B-C50C-407E-A947-70E740481C1C}"/>
                      </a:extLst>
                    </a:blip>
                    <a:srcRect/>
                    <a:stretch>
                      <a:fillRect/>
                    </a:stretch>
                  </pic:blipFill>
                  <pic:spPr bwMode="auto">
                    <a:xfrm>
                      <a:off x="0" y="0"/>
                      <a:ext cx="64770" cy="86360"/>
                    </a:xfrm>
                    <a:prstGeom prst="rect">
                      <a:avLst/>
                    </a:prstGeom>
                    <a:noFill/>
                  </pic:spPr>
                </pic:pic>
              </a:graphicData>
            </a:graphic>
          </wp:anchor>
        </w:drawing>
        <w:drawing>
          <wp:anchor simplePos="0" relativeHeight="251657728" behindDoc="1" locked="0" layoutInCell="0" allowOverlap="1">
            <wp:simplePos x="0" y="0"/>
            <wp:positionH relativeFrom="column">
              <wp:posOffset>827405</wp:posOffset>
            </wp:positionH>
            <wp:positionV relativeFrom="paragraph">
              <wp:posOffset>-260985</wp:posOffset>
            </wp:positionV>
            <wp:extent cx="78105" cy="1079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49">
                      <a:extLst>
                        <a:ext uri="{28A0092B-C50C-407E-A947-70E740481C1C}"/>
                      </a:extLst>
                    </a:blip>
                    <a:srcRect/>
                    <a:stretch>
                      <a:fillRect/>
                    </a:stretch>
                  </pic:blipFill>
                  <pic:spPr bwMode="auto">
                    <a:xfrm>
                      <a:off x="0" y="0"/>
                      <a:ext cx="78105" cy="107950"/>
                    </a:xfrm>
                    <a:prstGeom prst="rect">
                      <a:avLst/>
                    </a:prstGeom>
                    <a:noFill/>
                  </pic:spPr>
                </pic:pic>
              </a:graphicData>
            </a:graphic>
          </wp:anchor>
        </w:drawing>
        <w:drawing>
          <wp:anchor simplePos="0" relativeHeight="251657728" behindDoc="1" locked="0" layoutInCell="0" allowOverlap="1">
            <wp:simplePos x="0" y="0"/>
            <wp:positionH relativeFrom="column">
              <wp:posOffset>2317750</wp:posOffset>
            </wp:positionH>
            <wp:positionV relativeFrom="paragraph">
              <wp:posOffset>-260350</wp:posOffset>
            </wp:positionV>
            <wp:extent cx="113665" cy="850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50">
                      <a:extLst>
                        <a:ext uri="{28A0092B-C50C-407E-A947-70E740481C1C}"/>
                      </a:extLst>
                    </a:blip>
                    <a:srcRect/>
                    <a:stretch>
                      <a:fillRect/>
                    </a:stretch>
                  </pic:blipFill>
                  <pic:spPr bwMode="auto">
                    <a:xfrm>
                      <a:off x="0" y="0"/>
                      <a:ext cx="113665" cy="8509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-105410</wp:posOffset>
            </wp:positionV>
            <wp:extent cx="78105" cy="1066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51">
                      <a:extLst>
                        <a:ext uri="{28A0092B-C50C-407E-A947-70E740481C1C}"/>
                      </a:extLst>
                    </a:blip>
                    <a:srcRect/>
                    <a:stretch>
                      <a:fillRect/>
                    </a:stretch>
                  </pic:blipFill>
                  <pic:spPr bwMode="auto">
                    <a:xfrm>
                      <a:off x="0" y="0"/>
                      <a:ext cx="78105" cy="106680"/>
                    </a:xfrm>
                    <a:prstGeom prst="rect">
                      <a:avLst/>
                    </a:prstGeom>
                    <a:noFill/>
                  </pic:spPr>
                </pic:pic>
              </a:graphicData>
            </a:graphic>
          </wp:anchor>
        </w:drawing>
        <w:drawing>
          <wp:anchor simplePos="0" relativeHeight="251657728" behindDoc="1" locked="0" layoutInCell="0" allowOverlap="1">
            <wp:simplePos x="0" y="0"/>
            <wp:positionH relativeFrom="column">
              <wp:posOffset>428625</wp:posOffset>
            </wp:positionH>
            <wp:positionV relativeFrom="paragraph">
              <wp:posOffset>-106680</wp:posOffset>
            </wp:positionV>
            <wp:extent cx="64770" cy="863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52">
                      <a:extLst>
                        <a:ext uri="{28A0092B-C50C-407E-A947-70E740481C1C}"/>
                      </a:extLst>
                    </a:blip>
                    <a:srcRect/>
                    <a:stretch>
                      <a:fillRect/>
                    </a:stretch>
                  </pic:blipFill>
                  <pic:spPr bwMode="auto">
                    <a:xfrm>
                      <a:off x="0" y="0"/>
                      <a:ext cx="64770" cy="86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1"/>
          <w:szCs w:val="21"/>
          <w:color w:val="auto"/>
          <w:highlight w:val="black"/>
        </w:rPr>
        <w:t>The Blueshirt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-125095</wp:posOffset>
            </wp:positionV>
            <wp:extent cx="1409700" cy="5854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53">
                      <a:extLst>
                        <a:ext uri="{28A0092B-C50C-407E-A947-70E740481C1C}"/>
                      </a:extLst>
                    </a:blip>
                    <a:srcRect/>
                    <a:stretch>
                      <a:fillRect/>
                    </a:stretch>
                  </pic:blipFill>
                  <pic:spPr bwMode="auto">
                    <a:xfrm>
                      <a:off x="0" y="0"/>
                      <a:ext cx="1409700" cy="585470"/>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21"/>
          <w:szCs w:val="21"/>
          <w:color w:val="auto"/>
          <w:highlight w:val="black"/>
        </w:rPr>
        <w:t>Lindsay Savarese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highlight w:val="black"/>
        </w:rPr>
        <w:t>Mr. William H. Yeh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-1153795</wp:posOffset>
            </wp:positionV>
            <wp:extent cx="1305560" cy="133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54">
                      <a:extLst>
                        <a:ext uri="{28A0092B-C50C-407E-A947-70E740481C1C}"/>
                      </a:extLst>
                    </a:blip>
                    <a:srcRect/>
                    <a:stretch>
                      <a:fillRect/>
                    </a:stretch>
                  </pic:blipFill>
                  <pic:spPr bwMode="auto">
                    <a:xfrm>
                      <a:off x="0" y="0"/>
                      <a:ext cx="1305560" cy="133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-723265</wp:posOffset>
            </wp:positionV>
            <wp:extent cx="1815465" cy="147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55">
                      <a:extLst>
                        <a:ext uri="{28A0092B-C50C-407E-A947-70E740481C1C}"/>
                      </a:extLst>
                    </a:blip>
                    <a:srcRect/>
                    <a:stretch>
                      <a:fillRect/>
                    </a:stretch>
                  </pic:blipFill>
                  <pic:spPr bwMode="auto">
                    <a:xfrm>
                      <a:off x="0" y="0"/>
                      <a:ext cx="1815465" cy="147955"/>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-3010535</wp:posOffset>
            </wp:positionV>
            <wp:extent cx="7543800" cy="37445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56">
                      <a:extLst>
                        <a:ext uri="{28A0092B-C50C-407E-A947-70E740481C1C}"/>
                      </a:extLst>
                    </a:blip>
                    <a:srcRect/>
                    <a:stretch>
                      <a:fillRect/>
                    </a:stretch>
                  </pic:blipFill>
                  <pic:spPr bwMode="auto">
                    <a:xfrm>
                      <a:off x="0" y="0"/>
                      <a:ext cx="7543800" cy="3744595"/>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-3010535</wp:posOffset>
            </wp:positionV>
            <wp:extent cx="7543800" cy="37445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57">
                      <a:extLst>
                        <a:ext uri="{28A0092B-C50C-407E-A947-70E740481C1C}"/>
                      </a:extLst>
                    </a:blip>
                    <a:srcRect/>
                    <a:stretch>
                      <a:fillRect/>
                    </a:stretch>
                  </pic:blipFill>
                  <pic:spPr bwMode="auto">
                    <a:xfrm>
                      <a:off x="0" y="0"/>
                      <a:ext cx="7543800" cy="3744595"/>
                    </a:xfrm>
                    <a:prstGeom prst="rect">
                      <a:avLst/>
                    </a:prstGeom>
                    <a:noFill/>
                  </pic:spPr>
                </pic:pic>
              </a:graphicData>
            </a:graphic>
          </wp:anchor>
        </w:drawing>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color w:val="auto"/>
          <w:highlight w:val="black"/>
        </w:rPr>
        <w:t>Chairman of the Compensation Committee and</w:t>
      </w: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auto"/>
          <w:highlight w:val="black"/>
        </w:rPr>
        <w:t>Member of the Corporate Governance Committee</w:t>
      </w: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auto"/>
          <w:highlight w:val="black"/>
        </w:rPr>
        <w:t>Lead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307975</wp:posOffset>
            </wp:positionV>
            <wp:extent cx="1188720" cy="1225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58">
                      <a:extLst>
                        <a:ext uri="{28A0092B-C50C-407E-A947-70E740481C1C}"/>
                      </a:extLst>
                    </a:blip>
                    <a:srcRect/>
                    <a:stretch>
                      <a:fillRect/>
                    </a:stretch>
                  </pic:blipFill>
                  <pic:spPr bwMode="auto">
                    <a:xfrm>
                      <a:off x="0" y="0"/>
                      <a:ext cx="1188720" cy="1225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510540</wp:posOffset>
            </wp:positionV>
            <wp:extent cx="2179955" cy="1225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59">
                      <a:extLst>
                        <a:ext uri="{28A0092B-C50C-407E-A947-70E740481C1C}"/>
                      </a:extLst>
                    </a:blip>
                    <a:srcRect/>
                    <a:stretch>
                      <a:fillRect/>
                    </a:stretch>
                  </pic:blipFill>
                  <pic:spPr bwMode="auto">
                    <a:xfrm>
                      <a:off x="0" y="0"/>
                      <a:ext cx="2179955" cy="122555"/>
                    </a:xfrm>
                    <a:prstGeom prst="rect">
                      <a:avLst/>
                    </a:prstGeom>
                    <a:noFill/>
                  </pic:spPr>
                </pic:pic>
              </a:graphicData>
            </a:graphic>
          </wp:anchor>
        </w:drawing>
        <w:drawing>
          <wp:anchor simplePos="0" relativeHeight="251657728" behindDoc="1" locked="0" layoutInCell="0" allowOverlap="1">
            <wp:simplePos x="0" y="0"/>
            <wp:positionH relativeFrom="column">
              <wp:posOffset>-123190</wp:posOffset>
            </wp:positionH>
            <wp:positionV relativeFrom="paragraph">
              <wp:posOffset>707390</wp:posOffset>
            </wp:positionV>
            <wp:extent cx="3596640" cy="31407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60">
                      <a:extLst>
                        <a:ext uri="{28A0092B-C50C-407E-A947-70E740481C1C}"/>
                      </a:extLst>
                    </a:blip>
                    <a:srcRect/>
                    <a:stretch>
                      <a:fillRect/>
                    </a:stretch>
                  </pic:blipFill>
                  <pic:spPr bwMode="auto">
                    <a:xfrm>
                      <a:off x="0" y="0"/>
                      <a:ext cx="3596640" cy="3140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auto"/>
          <w:highlight w:val="black"/>
        </w:rPr>
        <w:t>Member of the Compensation Committee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0"/>
        <w:spacing w:after="0" w:line="283" w:lineRule="auto"/>
        <w:rPr>
          <w:sz w:val="20"/>
          <w:szCs w:val="20"/>
          <w:color w:val="auto"/>
        </w:rPr>
      </w:pPr>
      <w:r>
        <w:rPr>
          <w:rFonts w:ascii="Arial" w:cs="Arial" w:eastAsia="Arial" w:hAnsi="Arial"/>
          <w:sz w:val="22"/>
          <w:szCs w:val="22"/>
          <w:color w:val="auto"/>
          <w:highlight w:val="black"/>
        </w:rPr>
        <w:t>Chairman of the Corporate Governance Committee and Member of the 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highlight w:val="black"/>
        </w:rPr>
        <w:t xml:space="preserve">Member of the Audit Committee </w:t>
      </w:r>
      <w:r>
        <w:rPr>
          <w:sz w:val="1"/>
          <w:szCs w:val="1"/>
          <w:color w:val="auto"/>
        </w:rPr>
        <w:drawing>
          <wp:inline distT="0" distB="0" distL="0" distR="0">
            <wp:extent cx="228600" cy="94615"/>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61">
                      <a:extLst>
                        <a:ext uri="{28A0092B-C50C-407E-A947-70E740481C1C}"/>
                      </a:extLst>
                    </a:blip>
                    <a:srcRect/>
                    <a:stretch>
                      <a:fillRect/>
                    </a:stretch>
                  </pic:blipFill>
                  <pic:spPr bwMode="auto">
                    <a:xfrm>
                      <a:off x="0" y="0"/>
                      <a:ext cx="228600" cy="94615"/>
                    </a:xfrm>
                    <a:prstGeom prst="rect">
                      <a:avLst/>
                    </a:prstGeom>
                    <a:noFill/>
                    <a:ln>
                      <a:noFill/>
                    </a:ln>
                  </pic:spPr>
                </pic:pic>
              </a:graphicData>
            </a:graphic>
          </wp:inline>
        </w:drawing>
        <w:drawing>
          <wp:inline distT="0" distB="0" distL="0" distR="0">
            <wp:extent cx="132715" cy="12001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62">
                      <a:extLst>
                        <a:ext uri="{28A0092B-C50C-407E-A947-70E740481C1C}"/>
                      </a:extLst>
                    </a:blip>
                    <a:srcRect/>
                    <a:stretch>
                      <a:fillRect/>
                    </a:stretch>
                  </pic:blipFill>
                  <pic:spPr bwMode="auto">
                    <a:xfrm>
                      <a:off x="0" y="0"/>
                      <a:ext cx="132715" cy="120015"/>
                    </a:xfrm>
                    <a:prstGeom prst="rect">
                      <a:avLst/>
                    </a:prstGeom>
                    <a:noFill/>
                    <a:ln>
                      <a:noFill/>
                    </a:ln>
                  </pic:spPr>
                </pic:pic>
              </a:graphicData>
            </a:graphic>
          </wp:inline>
        </w:drawing>
        <w:drawing>
          <wp:inline distT="0" distB="0" distL="0" distR="0">
            <wp:extent cx="133350" cy="111125"/>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63">
                      <a:extLst>
                        <a:ext uri="{28A0092B-C50C-407E-A947-70E740481C1C}"/>
                      </a:extLst>
                    </a:blip>
                    <a:srcRect/>
                    <a:stretch>
                      <a:fillRect/>
                    </a:stretch>
                  </pic:blipFill>
                  <pic:spPr bwMode="auto">
                    <a:xfrm>
                      <a:off x="0" y="0"/>
                      <a:ext cx="133350" cy="111125"/>
                    </a:xfrm>
                    <a:prstGeom prst="rect">
                      <a:avLst/>
                    </a:prstGeom>
                    <a:noFill/>
                    <a:ln>
                      <a:noFill/>
                    </a:ln>
                  </pic:spPr>
                </pic:pic>
              </a:graphicData>
            </a:graphic>
          </wp:inline>
        </w:drawing>
        <w:drawing>
          <wp:inline distT="0" distB="0" distL="0" distR="0">
            <wp:extent cx="89535" cy="95250"/>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64">
                      <a:extLst>
                        <a:ext uri="{28A0092B-C50C-407E-A947-70E740481C1C}"/>
                      </a:extLst>
                    </a:blip>
                    <a:srcRect/>
                    <a:stretch>
                      <a:fillRect/>
                    </a:stretch>
                  </pic:blipFill>
                  <pic:spPr bwMode="auto">
                    <a:xfrm>
                      <a:off x="0" y="0"/>
                      <a:ext cx="89535" cy="9525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723900</wp:posOffset>
            </wp:positionV>
            <wp:extent cx="909320" cy="165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65">
                      <a:extLst>
                        <a:ext uri="{28A0092B-C50C-407E-A947-70E740481C1C}"/>
                      </a:extLst>
                    </a:blip>
                    <a:srcRect/>
                    <a:stretch>
                      <a:fillRect/>
                    </a:stretch>
                  </pic:blipFill>
                  <pic:spPr bwMode="auto">
                    <a:xfrm>
                      <a:off x="0" y="0"/>
                      <a:ext cx="909320" cy="16510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927735</wp:posOffset>
            </wp:positionV>
            <wp:extent cx="3215005" cy="146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66">
                      <a:extLst>
                        <a:ext uri="{28A0092B-C50C-407E-A947-70E740481C1C}"/>
                      </a:extLst>
                    </a:blip>
                    <a:srcRect/>
                    <a:stretch>
                      <a:fillRect/>
                    </a:stretch>
                  </pic:blipFill>
                  <pic:spPr bwMode="auto">
                    <a:xfrm>
                      <a:off x="0" y="0"/>
                      <a:ext cx="3215005" cy="14605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1125220</wp:posOffset>
            </wp:positionV>
            <wp:extent cx="2780665" cy="146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67">
                      <a:extLst>
                        <a:ext uri="{28A0092B-C50C-407E-A947-70E740481C1C}"/>
                      </a:extLst>
                    </a:blip>
                    <a:srcRect/>
                    <a:stretch>
                      <a:fillRect/>
                    </a:stretch>
                  </pic:blipFill>
                  <pic:spPr bwMode="auto">
                    <a:xfrm>
                      <a:off x="0" y="0"/>
                      <a:ext cx="2780665" cy="146050"/>
                    </a:xfrm>
                    <a:prstGeom prst="rect">
                      <a:avLst/>
                    </a:prstGeom>
                    <a:noFill/>
                  </pic:spPr>
                </pic:pic>
              </a:graphicData>
            </a:graphic>
          </wp:anchor>
        </w:drawing>
      </w:r>
    </w:p>
    <w:p>
      <w:pPr>
        <w:spacing w:after="0" w:line="1572" w:lineRule="exact"/>
        <w:rPr>
          <w:sz w:val="20"/>
          <w:szCs w:val="20"/>
          <w:color w:val="auto"/>
        </w:rPr>
      </w:pPr>
    </w:p>
    <w:p>
      <w:pPr>
        <w:sectPr>
          <w:pgSz w:w="11880" w:h="15480" w:orient="portrait"/>
          <w:cols w:equalWidth="0" w:num="2">
            <w:col w:w="3920" w:space="720"/>
            <w:col w:w="4980"/>
          </w:cols>
          <w:pgMar w:left="1080" w:top="1440" w:right="1180" w:bottom="9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highlight w:val="black"/>
        </w:rPr>
        <w:t>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-99060</wp:posOffset>
            </wp:positionV>
            <wp:extent cx="6018530" cy="283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68">
                      <a:extLst>
                        <a:ext uri="{28A0092B-C50C-407E-A947-70E740481C1C}"/>
                      </a:extLst>
                    </a:blip>
                    <a:srcRect/>
                    <a:stretch>
                      <a:fillRect/>
                    </a:stretch>
                  </pic:blipFill>
                  <pic:spPr bwMode="auto">
                    <a:xfrm>
                      <a:off x="0" y="0"/>
                      <a:ext cx="6018530" cy="283845"/>
                    </a:xfrm>
                    <a:prstGeom prst="rect">
                      <a:avLst/>
                    </a:prstGeom>
                    <a:noFill/>
                  </pic:spPr>
                </pic:pic>
              </a:graphicData>
            </a:graphic>
          </wp:anchor>
        </w:drawing>
      </w:r>
    </w:p>
    <w:p>
      <w:pPr>
        <w:sectPr>
          <w:pgSz w:w="11880" w:h="15480" w:orient="portrait"/>
          <w:cols w:equalWidth="0" w:num="1">
            <w:col w:w="9620"/>
          </w:cols>
          <w:pgMar w:left="1080" w:top="1440" w:right="1180" w:bottom="94" w:gutter="0" w:footer="0" w:header="0"/>
          <w:type w:val="continuous"/>
        </w:sectPr>
      </w:pPr>
    </w:p>
    <w:bookmarkStart w:id="95" w:name="page96"/>
    <w:bookmarkEnd w:id="9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841375</wp:posOffset>
            </wp:positionH>
            <wp:positionV relativeFrom="page">
              <wp:posOffset>1879600</wp:posOffset>
            </wp:positionV>
            <wp:extent cx="3750945" cy="8521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69">
                      <a:extLst>
                        <a:ext uri="{28A0092B-C50C-407E-A947-70E740481C1C}"/>
                      </a:extLst>
                    </a:blip>
                    <a:srcRect/>
                    <a:stretch>
                      <a:fillRect/>
                    </a:stretch>
                  </pic:blipFill>
                  <pic:spPr bwMode="auto">
                    <a:xfrm>
                      <a:off x="0" y="0"/>
                      <a:ext cx="3750945" cy="852170"/>
                    </a:xfrm>
                    <a:prstGeom prst="rect">
                      <a:avLst/>
                    </a:prstGeom>
                    <a:noFill/>
                  </pic:spPr>
                </pic:pic>
              </a:graphicData>
            </a:graphic>
          </wp:anchor>
        </w:drawing>
        <w:drawing>
          <wp:anchor simplePos="0" relativeHeight="251657728" behindDoc="1" locked="0" layoutInCell="0" allowOverlap="1">
            <wp:simplePos x="0" y="0"/>
            <wp:positionH relativeFrom="page">
              <wp:posOffset>838835</wp:posOffset>
            </wp:positionH>
            <wp:positionV relativeFrom="page">
              <wp:posOffset>3634740</wp:posOffset>
            </wp:positionV>
            <wp:extent cx="1606550" cy="165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70">
                      <a:extLst>
                        <a:ext uri="{28A0092B-C50C-407E-A947-70E740481C1C}"/>
                      </a:extLst>
                    </a:blip>
                    <a:srcRect/>
                    <a:stretch>
                      <a:fillRect/>
                    </a:stretch>
                  </pic:blipFill>
                  <pic:spPr bwMode="auto">
                    <a:xfrm>
                      <a:off x="0" y="0"/>
                      <a:ext cx="1606550" cy="165735"/>
                    </a:xfrm>
                    <a:prstGeom prst="rect">
                      <a:avLst/>
                    </a:prstGeom>
                    <a:noFill/>
                  </pic:spPr>
                </pic:pic>
              </a:graphicData>
            </a:graphic>
          </wp:anchor>
        </w:drawing>
        <w:drawing>
          <wp:anchor simplePos="0" relativeHeight="251657728" behindDoc="1" locked="0" layoutInCell="0" allowOverlap="1">
            <wp:simplePos x="0" y="0"/>
            <wp:positionH relativeFrom="page">
              <wp:posOffset>3129915</wp:posOffset>
            </wp:positionH>
            <wp:positionV relativeFrom="page">
              <wp:posOffset>3380740</wp:posOffset>
            </wp:positionV>
            <wp:extent cx="2542540" cy="1024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71">
                      <a:extLst>
                        <a:ext uri="{28A0092B-C50C-407E-A947-70E740481C1C}"/>
                      </a:extLst>
                    </a:blip>
                    <a:srcRect/>
                    <a:stretch>
                      <a:fillRect/>
                    </a:stretch>
                  </pic:blipFill>
                  <pic:spPr bwMode="auto">
                    <a:xfrm>
                      <a:off x="0" y="0"/>
                      <a:ext cx="2542540" cy="1024255"/>
                    </a:xfrm>
                    <a:prstGeom prst="rect">
                      <a:avLst/>
                    </a:prstGeom>
                    <a:noFill/>
                  </pic:spPr>
                </pic:pic>
              </a:graphicData>
            </a:graphic>
          </wp:anchor>
        </w:drawing>
        <w:drawing>
          <wp:anchor simplePos="0" relativeHeight="251657728" behindDoc="1" locked="0" layoutInCell="0" allowOverlap="1">
            <wp:simplePos x="0" y="0"/>
            <wp:positionH relativeFrom="page">
              <wp:posOffset>841375</wp:posOffset>
            </wp:positionH>
            <wp:positionV relativeFrom="page">
              <wp:posOffset>5305425</wp:posOffset>
            </wp:positionV>
            <wp:extent cx="1481455" cy="165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72">
                      <a:extLst>
                        <a:ext uri="{28A0092B-C50C-407E-A947-70E740481C1C}"/>
                      </a:extLst>
                    </a:blip>
                    <a:srcRect/>
                    <a:stretch>
                      <a:fillRect/>
                    </a:stretch>
                  </pic:blipFill>
                  <pic:spPr bwMode="auto">
                    <a:xfrm>
                      <a:off x="0" y="0"/>
                      <a:ext cx="1481455" cy="165735"/>
                    </a:xfrm>
                    <a:prstGeom prst="rect">
                      <a:avLst/>
                    </a:prstGeom>
                    <a:noFill/>
                  </pic:spPr>
                </pic:pic>
              </a:graphicData>
            </a:graphic>
          </wp:anchor>
        </w:drawing>
        <w:drawing>
          <wp:anchor simplePos="0" relativeHeight="251657728" behindDoc="1" locked="0" layoutInCell="0" allowOverlap="1">
            <wp:simplePos x="0" y="0"/>
            <wp:positionH relativeFrom="page">
              <wp:posOffset>3129915</wp:posOffset>
            </wp:positionH>
            <wp:positionV relativeFrom="page">
              <wp:posOffset>5052060</wp:posOffset>
            </wp:positionV>
            <wp:extent cx="1656715" cy="1022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73">
                      <a:extLst>
                        <a:ext uri="{28A0092B-C50C-407E-A947-70E740481C1C}"/>
                      </a:extLst>
                    </a:blip>
                    <a:srcRect/>
                    <a:stretch>
                      <a:fillRect/>
                    </a:stretch>
                  </pic:blipFill>
                  <pic:spPr bwMode="auto">
                    <a:xfrm>
                      <a:off x="0" y="0"/>
                      <a:ext cx="1656715" cy="1022350"/>
                    </a:xfrm>
                    <a:prstGeom prst="rect">
                      <a:avLst/>
                    </a:prstGeom>
                    <a:noFill/>
                  </pic:spPr>
                </pic:pic>
              </a:graphicData>
            </a:graphic>
          </wp:anchor>
        </w:drawing>
        <w:drawing>
          <wp:anchor simplePos="0" relativeHeight="251657728" behindDoc="1" locked="0" layoutInCell="0" allowOverlap="1">
            <wp:simplePos x="0" y="0"/>
            <wp:positionH relativeFrom="page">
              <wp:posOffset>3118485</wp:posOffset>
            </wp:positionH>
            <wp:positionV relativeFrom="page">
              <wp:posOffset>6722110</wp:posOffset>
            </wp:positionV>
            <wp:extent cx="6350" cy="1022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74">
                      <a:extLst>
                        <a:ext uri="{28A0092B-C50C-407E-A947-70E740481C1C}"/>
                      </a:extLst>
                    </a:blip>
                    <a:srcRect/>
                    <a:stretch>
                      <a:fillRect/>
                    </a:stretch>
                  </pic:blipFill>
                  <pic:spPr bwMode="auto">
                    <a:xfrm>
                      <a:off x="0" y="0"/>
                      <a:ext cx="6350" cy="1022350"/>
                    </a:xfrm>
                    <a:prstGeom prst="rect">
                      <a:avLst/>
                    </a:prstGeom>
                    <a:noFill/>
                  </pic:spPr>
                </pic:pic>
              </a:graphicData>
            </a:graphic>
          </wp:anchor>
        </w:drawing>
        <w:drawing>
          <wp:anchor simplePos="0" relativeHeight="251657728" behindDoc="1" locked="0" layoutInCell="0" allowOverlap="1">
            <wp:simplePos x="0" y="0"/>
            <wp:positionH relativeFrom="page">
              <wp:posOffset>0</wp:posOffset>
            </wp:positionH>
            <wp:positionV relativeFrom="page">
              <wp:posOffset>0</wp:posOffset>
            </wp:positionV>
            <wp:extent cx="7543800" cy="13011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75">
                      <a:extLst>
                        <a:ext uri="{28A0092B-C50C-407E-A947-70E740481C1C}"/>
                      </a:extLst>
                    </a:blip>
                    <a:srcRect/>
                    <a:stretch>
                      <a:fillRect/>
                    </a:stretch>
                  </pic:blipFill>
                  <pic:spPr bwMode="auto">
                    <a:xfrm>
                      <a:off x="0" y="0"/>
                      <a:ext cx="7543800" cy="1301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780"/>
        <w:spacing w:after="0"/>
        <w:rPr>
          <w:sz w:val="20"/>
          <w:szCs w:val="20"/>
          <w:color w:val="auto"/>
        </w:rPr>
      </w:pPr>
      <w:r>
        <w:rPr>
          <w:rFonts w:ascii="Arial" w:cs="Arial" w:eastAsia="Arial" w:hAnsi="Arial"/>
          <w:sz w:val="1"/>
          <w:szCs w:val="1"/>
          <w:color w:val="auto"/>
        </w:rPr>
        <w:t xml:space="preserve">2885 </w:t>
      </w:r>
      <w:r>
        <w:rPr>
          <w:sz w:val="1"/>
          <w:szCs w:val="1"/>
          <w:color w:val="auto"/>
        </w:rPr>
        <w:drawing>
          <wp:inline distT="0" distB="0" distL="0" distR="0">
            <wp:extent cx="142875" cy="122555"/>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76">
                      <a:extLst>
                        <a:ext uri="{28A0092B-C50C-407E-A947-70E740481C1C}"/>
                      </a:extLst>
                    </a:blip>
                    <a:srcRect/>
                    <a:stretch>
                      <a:fillRect/>
                    </a:stretch>
                  </pic:blipFill>
                  <pic:spPr bwMode="auto">
                    <a:xfrm>
                      <a:off x="0" y="0"/>
                      <a:ext cx="142875" cy="122555"/>
                    </a:xfrm>
                    <a:prstGeom prst="rect">
                      <a:avLst/>
                    </a:prstGeom>
                    <a:noFill/>
                    <a:ln>
                      <a:noFill/>
                    </a:ln>
                  </pic:spPr>
                </pic:pic>
              </a:graphicData>
            </a:graphic>
          </wp:inline>
        </w:drawing>
        <w:drawing>
          <wp:inline distT="0" distB="0" distL="0" distR="0">
            <wp:extent cx="150495" cy="101600"/>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77">
                      <a:extLst>
                        <a:ext uri="{28A0092B-C50C-407E-A947-70E740481C1C}"/>
                      </a:extLst>
                    </a:blip>
                    <a:srcRect/>
                    <a:stretch>
                      <a:fillRect/>
                    </a:stretch>
                  </pic:blipFill>
                  <pic:spPr bwMode="auto">
                    <a:xfrm>
                      <a:off x="0" y="0"/>
                      <a:ext cx="150495" cy="101600"/>
                    </a:xfrm>
                    <a:prstGeom prst="rect">
                      <a:avLst/>
                    </a:prstGeom>
                    <a:noFill/>
                    <a:ln>
                      <a:noFill/>
                    </a:ln>
                  </pic:spPr>
                </pic:pic>
              </a:graphicData>
            </a:graphic>
          </wp:inline>
        </w:drawing>
        <w:drawing>
          <wp:inline distT="0" distB="0" distL="0" distR="0">
            <wp:extent cx="111760" cy="128905"/>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78">
                      <a:extLst>
                        <a:ext uri="{28A0092B-C50C-407E-A947-70E740481C1C}"/>
                      </a:extLst>
                    </a:blip>
                    <a:srcRect/>
                    <a:stretch>
                      <a:fillRect/>
                    </a:stretch>
                  </pic:blipFill>
                  <pic:spPr bwMode="auto">
                    <a:xfrm>
                      <a:off x="0" y="0"/>
                      <a:ext cx="111760" cy="128905"/>
                    </a:xfrm>
                    <a:prstGeom prst="rect">
                      <a:avLst/>
                    </a:prstGeom>
                    <a:noFill/>
                    <a:ln>
                      <a:noFill/>
                    </a:ln>
                  </pic:spPr>
                </pic:pic>
              </a:graphicData>
            </a:graphic>
          </wp:inline>
        </w:drawing>
        <w:drawing>
          <wp:inline distT="0" distB="0" distL="0" distR="0">
            <wp:extent cx="135255" cy="100965"/>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79">
                      <a:extLst>
                        <a:ext uri="{28A0092B-C50C-407E-A947-70E740481C1C}"/>
                      </a:extLst>
                    </a:blip>
                    <a:srcRect/>
                    <a:stretch>
                      <a:fillRect/>
                    </a:stretch>
                  </pic:blipFill>
                  <pic:spPr bwMode="auto">
                    <a:xfrm>
                      <a:off x="0" y="0"/>
                      <a:ext cx="135255" cy="100965"/>
                    </a:xfrm>
                    <a:prstGeom prst="rect">
                      <a:avLst/>
                    </a:prstGeom>
                    <a:noFill/>
                    <a:ln>
                      <a:noFill/>
                    </a:ln>
                  </pic:spPr>
                </pic:pic>
              </a:graphicData>
            </a:graphic>
          </wp:inline>
        </w:drawing>
        <w:drawing>
          <wp:inline distT="0" distB="0" distL="0" distR="0">
            <wp:extent cx="88265" cy="124460"/>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80">
                      <a:extLst>
                        <a:ext uri="{28A0092B-C50C-407E-A947-70E740481C1C}"/>
                      </a:extLst>
                    </a:blip>
                    <a:srcRect/>
                    <a:stretch>
                      <a:fillRect/>
                    </a:stretch>
                  </pic:blipFill>
                  <pic:spPr bwMode="auto">
                    <a:xfrm>
                      <a:off x="0" y="0"/>
                      <a:ext cx="88265" cy="124460"/>
                    </a:xfrm>
                    <a:prstGeom prst="rect">
                      <a:avLst/>
                    </a:prstGeom>
                    <a:noFill/>
                    <a:ln>
                      <a:noFill/>
                    </a:ln>
                  </pic:spPr>
                </pic:pic>
              </a:graphicData>
            </a:graphic>
          </wp:inline>
        </w:drawing>
        <w:drawing>
          <wp:inline distT="0" distB="0" distL="0" distR="0">
            <wp:extent cx="154305" cy="153035"/>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81">
                      <a:extLst>
                        <a:ext uri="{28A0092B-C50C-407E-A947-70E740481C1C}"/>
                      </a:extLst>
                    </a:blip>
                    <a:srcRect/>
                    <a:stretch>
                      <a:fillRect/>
                    </a:stretch>
                  </pic:blipFill>
                  <pic:spPr bwMode="auto">
                    <a:xfrm>
                      <a:off x="0" y="0"/>
                      <a:ext cx="154305" cy="153035"/>
                    </a:xfrm>
                    <a:prstGeom prst="rect">
                      <a:avLst/>
                    </a:prstGeom>
                    <a:noFill/>
                    <a:ln>
                      <a:noFill/>
                    </a:ln>
                  </pic:spPr>
                </pic:pic>
              </a:graphicData>
            </a:graphic>
          </wp:inline>
        </w:drawing>
        <w:drawing>
          <wp:inline distT="0" distB="0" distL="0" distR="0">
            <wp:extent cx="149225" cy="11430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82">
                      <a:extLst>
                        <a:ext uri="{28A0092B-C50C-407E-A947-70E740481C1C}"/>
                      </a:extLst>
                    </a:blip>
                    <a:srcRect/>
                    <a:stretch>
                      <a:fillRect/>
                    </a:stretch>
                  </pic:blipFill>
                  <pic:spPr bwMode="auto">
                    <a:xfrm>
                      <a:off x="0" y="0"/>
                      <a:ext cx="149225" cy="114300"/>
                    </a:xfrm>
                    <a:prstGeom prst="rect">
                      <a:avLst/>
                    </a:prstGeom>
                    <a:noFill/>
                    <a:ln>
                      <a:noFill/>
                    </a:ln>
                  </pic:spPr>
                </pic:pic>
              </a:graphicData>
            </a:graphic>
          </wp:inline>
        </w:drawing>
        <w:drawing>
          <wp:inline distT="0" distB="0" distL="0" distR="0">
            <wp:extent cx="111760" cy="12827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83">
                      <a:extLst>
                        <a:ext uri="{28A0092B-C50C-407E-A947-70E740481C1C}"/>
                      </a:extLst>
                    </a:blip>
                    <a:srcRect/>
                    <a:stretch>
                      <a:fillRect/>
                    </a:stretch>
                  </pic:blipFill>
                  <pic:spPr bwMode="auto">
                    <a:xfrm>
                      <a:off x="0" y="0"/>
                      <a:ext cx="111760" cy="128270"/>
                    </a:xfrm>
                    <a:prstGeom prst="rect">
                      <a:avLst/>
                    </a:prstGeom>
                    <a:noFill/>
                    <a:ln>
                      <a:noFill/>
                    </a:ln>
                  </pic:spPr>
                </pic:pic>
              </a:graphicData>
            </a:graphic>
          </wp:inline>
        </w:drawing>
        <w:drawing>
          <wp:inline distT="0" distB="0" distL="0" distR="0">
            <wp:extent cx="107950" cy="121285"/>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84">
                      <a:extLst>
                        <a:ext uri="{28A0092B-C50C-407E-A947-70E740481C1C}"/>
                      </a:extLst>
                    </a:blip>
                    <a:srcRect/>
                    <a:stretch>
                      <a:fillRect/>
                    </a:stretch>
                  </pic:blipFill>
                  <pic:spPr bwMode="auto">
                    <a:xfrm>
                      <a:off x="0" y="0"/>
                      <a:ext cx="107950" cy="121285"/>
                    </a:xfrm>
                    <a:prstGeom prst="rect">
                      <a:avLst/>
                    </a:prstGeom>
                    <a:noFill/>
                    <a:ln>
                      <a:noFill/>
                    </a:ln>
                  </pic:spPr>
                </pic:pic>
              </a:graphicData>
            </a:graphic>
          </wp:inline>
        </w:drawing>
        <w:drawing>
          <wp:inline distT="0" distB="0" distL="0" distR="0">
            <wp:extent cx="117475" cy="12954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85">
                      <a:extLst>
                        <a:ext uri="{28A0092B-C50C-407E-A947-70E740481C1C}"/>
                      </a:extLst>
                    </a:blip>
                    <a:srcRect/>
                    <a:stretch>
                      <a:fillRect/>
                    </a:stretch>
                  </pic:blipFill>
                  <pic:spPr bwMode="auto">
                    <a:xfrm>
                      <a:off x="0" y="0"/>
                      <a:ext cx="117475" cy="12954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-262890</wp:posOffset>
            </wp:positionV>
            <wp:extent cx="3852545" cy="5175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86">
                      <a:extLst>
                        <a:ext uri="{28A0092B-C50C-407E-A947-70E740481C1C}"/>
                      </a:extLst>
                    </a:blip>
                    <a:srcRect/>
                    <a:stretch>
                      <a:fillRect/>
                    </a:stretch>
                  </pic:blipFill>
                  <pic:spPr bwMode="auto">
                    <a:xfrm>
                      <a:off x="0" y="0"/>
                      <a:ext cx="3852545" cy="517525"/>
                    </a:xfrm>
                    <a:prstGeom prst="rect">
                      <a:avLst/>
                    </a:prstGeom>
                    <a:noFill/>
                  </pic:spPr>
                </pic:pic>
              </a:graphicData>
            </a:graphic>
          </wp:anchor>
        </w:drawing>
      </w:r>
    </w:p>
    <w:p>
      <w:pPr>
        <w:ind w:left="4300"/>
        <w:spacing w:after="0"/>
        <w:rPr>
          <w:sz w:val="20"/>
          <w:szCs w:val="20"/>
          <w:color w:val="auto"/>
        </w:rPr>
      </w:pPr>
      <w:r>
        <w:rPr>
          <w:rFonts w:ascii="Arial" w:cs="Arial" w:eastAsia="Arial" w:hAnsi="Arial"/>
          <w:sz w:val="20"/>
          <w:szCs w:val="20"/>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1061720</wp:posOffset>
            </wp:positionV>
            <wp:extent cx="1820545" cy="1816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87">
                      <a:extLst>
                        <a:ext uri="{28A0092B-C50C-407E-A947-70E740481C1C}"/>
                      </a:extLst>
                    </a:blip>
                    <a:srcRect/>
                    <a:stretch>
                      <a:fillRect/>
                    </a:stretch>
                  </pic:blipFill>
                  <pic:spPr bwMode="auto">
                    <a:xfrm>
                      <a:off x="0" y="0"/>
                      <a:ext cx="1820545" cy="181610"/>
                    </a:xfrm>
                    <a:prstGeom prst="rect">
                      <a:avLst/>
                    </a:prstGeom>
                    <a:noFill/>
                  </pic:spPr>
                </pic:pic>
              </a:graphicData>
            </a:graphic>
          </wp:anchor>
        </w:drawing>
      </w:r>
    </w:p>
    <w:p>
      <w:pPr>
        <w:sectPr>
          <w:pgSz w:w="11880" w:h="15480" w:orient="portrait"/>
          <w:cols w:equalWidth="0" w:num="1">
            <w:col w:w="9180"/>
          </w:cols>
          <w:pgMar w:left="1260" w:top="1440" w:right="1440" w:bottom="9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highlight w:val="black"/>
        </w:rPr>
        <w:t>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6018530" cy="283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88">
                      <a:extLst>
                        <a:ext uri="{28A0092B-C50C-407E-A947-70E740481C1C}"/>
                      </a:extLst>
                    </a:blip>
                    <a:srcRect/>
                    <a:stretch>
                      <a:fillRect/>
                    </a:stretch>
                  </pic:blipFill>
                  <pic:spPr bwMode="auto">
                    <a:xfrm>
                      <a:off x="0" y="0"/>
                      <a:ext cx="6018530" cy="283845"/>
                    </a:xfrm>
                    <a:prstGeom prst="rect">
                      <a:avLst/>
                    </a:prstGeom>
                    <a:noFill/>
                  </pic:spPr>
                </pic:pic>
              </a:graphicData>
            </a:graphic>
          </wp:anchor>
        </w:drawing>
      </w:r>
    </w:p>
    <w:sectPr>
      <w:pgSz w:w="11880" w:h="15480" w:orient="portrait"/>
      <w:cols w:equalWidth="0" w:num="1">
        <w:col w:w="9180"/>
      </w:cols>
      <w:pgMar w:left="1260" w:top="1440" w:right="1440" w:bottom="9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1)"/>
      <w:numFmt w:val="decimal"/>
      <w:start w:val="281"/>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
      <w:numFmt w:val="bullet"/>
      <w:start w:val="1"/>
    </w:lvl>
  </w:abstractNum>
  <w:abstractNum w:abstractNumId="19">
    <w:nsid w:val="6A2342EC"/>
    <w:multiLevelType w:val="hybridMultilevel"/>
    <w:lvl w:ilvl="0">
      <w:lvlJc w:val="left"/>
      <w:lvlText w:val="·"/>
      <w:numFmt w:val="bullet"/>
      <w:start w:val="1"/>
    </w:lvl>
  </w:abstractNum>
  <w:abstractNum w:abstractNumId="20">
    <w:nsid w:val="2A487CB0"/>
    <w:multiLevelType w:val="hybridMultilevel"/>
    <w:lvl w:ilvl="0">
      <w:lvlJc w:val="left"/>
      <w:lvlText w:val="·"/>
      <w:numFmt w:val="bullet"/>
      <w:start w:val="1"/>
    </w:lvl>
  </w:abstractNum>
  <w:abstractNum w:abstractNumId="21">
    <w:nsid w:val="1D4ED43B"/>
    <w:multiLevelType w:val="hybridMultilevel"/>
    <w:lvl w:ilvl="0">
      <w:lvlJc w:val="left"/>
      <w:lvlText w:val="·"/>
      <w:numFmt w:val="bullet"/>
      <w:start w:val="1"/>
    </w:lvl>
  </w:abstractNum>
  <w:abstractNum w:abstractNumId="22">
    <w:nsid w:val="725A06FB"/>
    <w:multiLevelType w:val="hybridMultilevel"/>
    <w:lvl w:ilvl="0">
      <w:lvlJc w:val="left"/>
      <w:lvlText w:val="·"/>
      <w:numFmt w:val="bullet"/>
      <w:start w:val="1"/>
    </w:lvl>
  </w:abstractNum>
  <w:abstractNum w:abstractNumId="23">
    <w:nsid w:val="2CD89A32"/>
    <w:multiLevelType w:val="hybridMultilevel"/>
    <w:lvl w:ilvl="0">
      <w:lvlJc w:val="left"/>
      <w:lvlText w:val="-"/>
      <w:numFmt w:val="bullet"/>
      <w:start w:val="1"/>
    </w:lvl>
  </w:abstractNum>
  <w:abstractNum w:abstractNumId="24">
    <w:nsid w:val="57E4CCAF"/>
    <w:multiLevelType w:val="hybridMultilevel"/>
    <w:lvl w:ilvl="0">
      <w:lvlJc w:val="left"/>
      <w:lvlText w:val="-"/>
      <w:numFmt w:val="bullet"/>
      <w:start w:val="1"/>
    </w:lvl>
  </w:abstractNum>
  <w:abstractNum w:abstractNumId="25">
    <w:nsid w:val="7A6D8D3C"/>
    <w:multiLevelType w:val="hybridMultilevel"/>
    <w:lvl w:ilvl="0">
      <w:lvlJc w:val="left"/>
      <w:lvlText w:val="-"/>
      <w:numFmt w:val="bullet"/>
      <w:start w:val="1"/>
    </w:lvl>
  </w:abstractNum>
  <w:abstractNum w:abstractNumId="26">
    <w:nsid w:val="4B588F54"/>
    <w:multiLevelType w:val="hybridMultilevel"/>
    <w:lvl w:ilvl="0">
      <w:lvlJc w:val="left"/>
      <w:lvlText w:val="-"/>
      <w:numFmt w:val="bullet"/>
      <w:start w:val="1"/>
    </w:lvl>
  </w:abstractNum>
  <w:abstractNum w:abstractNumId="27">
    <w:nsid w:val="542289EC"/>
    <w:multiLevelType w:val="hybridMultilevel"/>
    <w:lvl w:ilvl="0">
      <w:lvlJc w:val="left"/>
      <w:lvlText w:val="-"/>
      <w:numFmt w:val="bullet"/>
      <w:start w:val="1"/>
    </w:lvl>
  </w:abstractNum>
  <w:abstractNum w:abstractNumId="28">
    <w:nsid w:val="6DE91B18"/>
    <w:multiLevelType w:val="hybridMultilevel"/>
    <w:lvl w:ilvl="0">
      <w:lvlJc w:val="left"/>
      <w:lvlText w:val="-"/>
      <w:numFmt w:val="bullet"/>
      <w:start w:val="1"/>
    </w:lvl>
  </w:abstractNum>
  <w:abstractNum w:abstractNumId="29">
    <w:nsid w:val="38437FDB"/>
    <w:multiLevelType w:val="hybridMultilevel"/>
    <w:lvl w:ilvl="0">
      <w:lvlJc w:val="left"/>
      <w:lvlText w:val="-"/>
      <w:numFmt w:val="bullet"/>
      <w:start w:val="1"/>
    </w:lvl>
  </w:abstractNum>
  <w:abstractNum w:abstractNumId="30">
    <w:nsid w:val="7644A45C"/>
    <w:multiLevelType w:val="hybridMultilevel"/>
    <w:lvl w:ilvl="0">
      <w:lvlJc w:val="left"/>
      <w:lvlText w:val="-"/>
      <w:numFmt w:val="bullet"/>
      <w:start w:val="1"/>
    </w:lvl>
  </w:abstractNum>
  <w:abstractNum w:abstractNumId="31">
    <w:nsid w:val="32FFF902"/>
    <w:multiLevelType w:val="hybridMultilevel"/>
    <w:lvl w:ilvl="0">
      <w:lvlJc w:val="left"/>
      <w:lvlText w:val="-"/>
      <w:numFmt w:val="bullet"/>
      <w:start w:val="1"/>
    </w:lvl>
  </w:abstractNum>
  <w:abstractNum w:abstractNumId="32">
    <w:nsid w:val="684A481A"/>
    <w:multiLevelType w:val="hybridMultilevel"/>
    <w:lvl w:ilvl="0">
      <w:lvlJc w:val="left"/>
      <w:lvlText w:val="-"/>
      <w:numFmt w:val="bullet"/>
      <w:start w:val="1"/>
    </w:lvl>
  </w:abstractNum>
  <w:abstractNum w:abstractNumId="33">
    <w:nsid w:val="579478FE"/>
    <w:multiLevelType w:val="hybridMultilevel"/>
    <w:lvl w:ilvl="0">
      <w:lvlJc w:val="left"/>
      <w:lvlText w:val="-"/>
      <w:numFmt w:val="bullet"/>
      <w:start w:val="1"/>
    </w:lvl>
  </w:abstractNum>
  <w:abstractNum w:abstractNumId="34">
    <w:nsid w:val="749ABB43"/>
    <w:multiLevelType w:val="hybridMultilevel"/>
    <w:lvl w:ilvl="0">
      <w:lvlJc w:val="left"/>
      <w:lvlText w:val="-"/>
      <w:numFmt w:val="bullet"/>
      <w:start w:val="1"/>
    </w:lvl>
  </w:abstractNum>
  <w:abstractNum w:abstractNumId="35">
    <w:nsid w:val="3DC240FB"/>
    <w:multiLevelType w:val="hybridMultilevel"/>
    <w:lvl w:ilvl="0">
      <w:lvlJc w:val="left"/>
      <w:lvlText w:val="%1."/>
      <w:numFmt w:val="lowerLetter"/>
      <w:start w:val="1"/>
    </w:lvl>
  </w:abstractNum>
  <w:abstractNum w:abstractNumId="36">
    <w:nsid w:val="1BA026FA"/>
    <w:multiLevelType w:val="hybridMultilevel"/>
    <w:lvl w:ilvl="0">
      <w:lvlJc w:val="left"/>
      <w:lvlText w:val="%1."/>
      <w:numFmt w:val="lowerLetter"/>
      <w:start w:val="2"/>
    </w:lvl>
  </w:abstractNum>
  <w:abstractNum w:abstractNumId="37">
    <w:nsid w:val="79A1DEAA"/>
    <w:multiLevelType w:val="hybridMultilevel"/>
    <w:lvl w:ilvl="0">
      <w:lvlJc w:val="left"/>
      <w:lvlText w:val="%1."/>
      <w:numFmt w:val="lowerLetter"/>
      <w:start w:val="3"/>
    </w:lvl>
  </w:abstractNum>
  <w:abstractNum w:abstractNumId="38">
    <w:nsid w:val="75C6C33A"/>
    <w:multiLevelType w:val="hybridMultilevel"/>
    <w:lvl w:ilvl="0">
      <w:lvlJc w:val="left"/>
      <w:lvlText w:val="(%1)"/>
      <w:numFmt w:val="decimal"/>
      <w:start w:val="1"/>
    </w:lvl>
  </w:abstractNum>
  <w:abstractNum w:abstractNumId="39">
    <w:nsid w:val="12E685FB"/>
    <w:multiLevelType w:val="hybridMultilevel"/>
    <w:lvl w:ilvl="0">
      <w:lvlJc w:val="left"/>
      <w:lvlText w:val="*"/>
      <w:numFmt w:val="bullet"/>
      <w:start w:val="1"/>
    </w:lvl>
    <w:lvl w:ilvl="1">
      <w:lvlJc w:val="left"/>
      <w:lvlText w:val="%2"/>
      <w:numFmt w:val="decimal"/>
      <w:start w:val="104"/>
    </w:lvl>
  </w:abstractNum>
  <w:abstractNum w:abstractNumId="40">
    <w:nsid w:val="70C6A529"/>
    <w:multiLevelType w:val="hybridMultilevel"/>
    <w:lvl w:ilvl="0">
      <w:lvlJc w:val="left"/>
      <w:lvlText w:val="†"/>
      <w:numFmt w:val="bullet"/>
      <w:start w:val="1"/>
    </w:lvl>
  </w:abstractNum>
  <w:abstractNum w:abstractNumId="41">
    <w:nsid w:val="520EEDD1"/>
    <w:multiLevelType w:val="hybridMultilevel"/>
    <w:lvl w:ilvl="0">
      <w:lvlJc w:val="left"/>
      <w:lvlText w:val="%1."/>
      <w:numFmt w:val="decimal"/>
      <w:start w:val="1"/>
    </w:lvl>
  </w:abstractNum>
  <w:abstractNum w:abstractNumId="42">
    <w:nsid w:val="374A3FE6"/>
    <w:multiLevelType w:val="hybridMultilevel"/>
    <w:lvl w:ilvl="0">
      <w:lvlJc w:val="left"/>
      <w:lvlText w:val="%1."/>
      <w:numFmt w:val="decimal"/>
      <w:start w:val="2"/>
    </w:lvl>
  </w:abstractNum>
  <w:abstractNum w:abstractNumId="43">
    <w:nsid w:val="4F4EF005"/>
    <w:multiLevelType w:val="hybridMultilevel"/>
    <w:lvl w:ilvl="0">
      <w:lvlJc w:val="left"/>
      <w:lvlText w:val="%1."/>
      <w:numFmt w:val="decimal"/>
      <w:start w:val="3"/>
    </w:lvl>
  </w:abstractNum>
  <w:abstractNum w:abstractNumId="44">
    <w:nsid w:val="23F9C13C"/>
    <w:multiLevelType w:val="hybridMultilevel"/>
    <w:lvl w:ilvl="0">
      <w:lvlJc w:val="left"/>
      <w:lvlText w:val="%1."/>
      <w:numFmt w:val="decimal"/>
      <w:start w:val="4"/>
    </w:lvl>
  </w:abstractNum>
  <w:abstractNum w:abstractNumId="45">
    <w:nsid w:val="649BB77C"/>
    <w:multiLevelType w:val="hybridMultilevel"/>
    <w:lvl w:ilvl="0">
      <w:lvlJc w:val="left"/>
      <w:lvlText w:val="%1."/>
      <w:numFmt w:val="decimal"/>
      <w:start w:val="5"/>
    </w:lvl>
  </w:abstractNum>
  <w:abstractNum w:abstractNumId="46">
    <w:nsid w:val="275AC794"/>
    <w:multiLevelType w:val="hybridMultilevel"/>
    <w:lvl w:ilvl="0">
      <w:lvlJc w:val="left"/>
      <w:lvlText w:val="%1."/>
      <w:numFmt w:val="decimal"/>
      <w:start w:val="6"/>
    </w:lvl>
  </w:abstractNum>
  <w:abstractNum w:abstractNumId="47">
    <w:nsid w:val="39386575"/>
    <w:multiLevelType w:val="hybridMultilevel"/>
    <w:lvl w:ilvl="0">
      <w:lvlJc w:val="left"/>
      <w:lvlText w:val="%1."/>
      <w:numFmt w:val="decimal"/>
      <w:start w:val="7"/>
    </w:lvl>
  </w:abstractNum>
  <w:abstractNum w:abstractNumId="48">
    <w:nsid w:val="1CF10FD8"/>
    <w:multiLevelType w:val="hybridMultilevel"/>
    <w:lvl w:ilvl="0">
      <w:lvlJc w:val="left"/>
      <w:lvlText w:val="%1."/>
      <w:numFmt w:val="decimal"/>
      <w:start w:val="8"/>
    </w:lvl>
  </w:abstractNum>
  <w:abstractNum w:abstractNumId="49">
    <w:nsid w:val="180115BE"/>
    <w:multiLevelType w:val="hybridMultilevel"/>
    <w:lvl w:ilvl="0">
      <w:lvlJc w:val="left"/>
      <w:lvlText w:val="%1."/>
      <w:numFmt w:val="decimal"/>
      <w:start w:val="9"/>
    </w:lvl>
  </w:abstractNum>
  <w:abstractNum w:abstractNumId="50">
    <w:nsid w:val="235BA861"/>
    <w:multiLevelType w:val="hybridMultilevel"/>
    <w:lvl w:ilvl="0">
      <w:lvlJc w:val="left"/>
      <w:lvlText w:val="%1."/>
      <w:numFmt w:val="decimal"/>
      <w:start w:val="10"/>
    </w:lvl>
  </w:abstractNum>
  <w:abstractNum w:abstractNumId="51">
    <w:nsid w:val="47398C89"/>
    <w:multiLevelType w:val="hybridMultilevel"/>
    <w:lvl w:ilvl="0">
      <w:lvlJc w:val="left"/>
      <w:lvlText w:val="%1."/>
      <w:numFmt w:val="decimal"/>
      <w:start w:val="11"/>
    </w:lvl>
  </w:abstractNum>
  <w:abstractNum w:abstractNumId="52">
    <w:nsid w:val="354FE9F9"/>
    <w:multiLevelType w:val="hybridMultilevel"/>
    <w:lvl w:ilvl="0">
      <w:lvlJc w:val="left"/>
      <w:lvlText w:val="%1."/>
      <w:numFmt w:val="decimal"/>
      <w:start w:val="12"/>
    </w:lvl>
  </w:abstractNum>
  <w:abstractNum w:abstractNumId="53">
    <w:nsid w:val="15B5AF5C"/>
    <w:multiLevelType w:val="hybridMultilevel"/>
    <w:lvl w:ilvl="0">
      <w:lvlJc w:val="left"/>
      <w:lvlText w:val="%1."/>
      <w:numFmt w:val="decimal"/>
      <w:start w:val="13"/>
    </w:lvl>
  </w:abstractNum>
  <w:abstractNum w:abstractNumId="54">
    <w:nsid w:val="741226BB"/>
    <w:multiLevelType w:val="hybridMultilevel"/>
    <w:lvl w:ilvl="0">
      <w:lvlJc w:val="left"/>
      <w:lvlText w:val="%1."/>
      <w:numFmt w:val="decimal"/>
      <w:start w:val="14"/>
    </w:lvl>
  </w:abstractNum>
  <w:abstractNum w:abstractNumId="55">
    <w:nsid w:val="D34B6A8"/>
    <w:multiLevelType w:val="hybridMultilevel"/>
    <w:lvl w:ilvl="0">
      <w:lvlJc w:val="left"/>
      <w:lvlText w:val="%1."/>
      <w:numFmt w:val="decimal"/>
      <w:start w:val="15"/>
    </w:lvl>
  </w:abstractNum>
  <w:abstractNum w:abstractNumId="56">
    <w:nsid w:val="10233C99"/>
    <w:multiLevelType w:val="hybridMultilevel"/>
    <w:lvl w:ilvl="0">
      <w:lvlJc w:val="left"/>
      <w:lvlText w:val="%1."/>
      <w:numFmt w:val="decimal"/>
      <w:start w:val="16"/>
    </w:lvl>
  </w:abstractNum>
  <w:abstractNum w:abstractNumId="57">
    <w:nsid w:val="3F6AB60F"/>
    <w:multiLevelType w:val="hybridMultilevel"/>
    <w:lvl w:ilvl="0">
      <w:lvlJc w:val="left"/>
      <w:lvlText w:val="%1."/>
      <w:numFmt w:val="decimal"/>
      <w:start w:val="17"/>
    </w:lvl>
  </w:abstractNum>
  <w:abstractNum w:abstractNumId="58">
    <w:nsid w:val="61574095"/>
    <w:multiLevelType w:val="hybridMultilevel"/>
    <w:lvl w:ilvl="0">
      <w:lvlJc w:val="left"/>
      <w:lvlText w:val="%1."/>
      <w:numFmt w:val="decimal"/>
      <w:start w:val="18"/>
    </w:lvl>
  </w:abstractNum>
  <w:abstractNum w:abstractNumId="59">
    <w:nsid w:val="7E0C57B1"/>
    <w:multiLevelType w:val="hybridMultilevel"/>
    <w:lvl w:ilvl="0">
      <w:lvlJc w:val="left"/>
      <w:lvlText w:val="%1."/>
      <w:numFmt w:val="decimal"/>
      <w:start w:val="19"/>
    </w:lvl>
  </w:abstractNum>
  <w:abstractNum w:abstractNumId="60">
    <w:nsid w:val="77AE35EB"/>
    <w:multiLevelType w:val="hybridMultilevel"/>
    <w:lvl w:ilvl="0">
      <w:lvlJc w:val="left"/>
      <w:lvlText w:val="%1."/>
      <w:numFmt w:val="decimal"/>
      <w:start w:val="20"/>
    </w:lvl>
  </w:abstractNum>
  <w:abstractNum w:abstractNumId="61">
    <w:nsid w:val="579BE4F1"/>
    <w:multiLevelType w:val="hybridMultilevel"/>
    <w:lvl w:ilvl="0">
      <w:lvlJc w:val="left"/>
      <w:lvlText w:val="%1."/>
      <w:numFmt w:val="decimal"/>
      <w:start w:val="21"/>
    </w:lvl>
  </w:abstractNum>
  <w:abstractNum w:abstractNumId="62">
    <w:nsid w:val="310C50B3"/>
    <w:multiLevelType w:val="hybridMultilevel"/>
    <w:lvl w:ilvl="0">
      <w:lvlJc w:val="left"/>
      <w:lvlText w:val="%1."/>
      <w:numFmt w:val="decimal"/>
      <w:start w:val="22"/>
    </w:lvl>
  </w:abstractNum>
  <w:abstractNum w:abstractNumId="63">
    <w:nsid w:val="5FF87E05"/>
    <w:multiLevelType w:val="hybridMultilevel"/>
    <w:lvl w:ilvl="0">
      <w:lvlJc w:val="left"/>
      <w:lvlText w:val="%1."/>
      <w:numFmt w:val="decimal"/>
      <w:start w:val="23"/>
    </w:lvl>
  </w:abstractNum>
  <w:abstractNum w:abstractNumId="64">
    <w:nsid w:val="2F305DE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2026-04-24T23:24:55Z</dcterms:created>
  <dcterms:modified xsi:type="dcterms:W3CDTF">2026-04-24T23:24:55Z</dcterms:modified>
</cp:coreProperties>
</file>