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58">
        <w:r>
          <w:rPr>
            <w:rFonts w:ascii="Arial" w:cs="Arial" w:eastAsia="Arial" w:hAnsi="Arial"/>
            <w:sz w:val="21"/>
            <w:szCs w:val="21"/>
            <w:u w:val="single" w:color="auto"/>
            <w:color w:val="0000EE"/>
          </w:rPr>
          <w:t>TABLE OF CONTENTS 2</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September 20, 2013</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Statement No. 333-190591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139700</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3 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143510</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Applied Optoelectronics,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7" w:lineRule="exact"/>
        <w:rPr>
          <w:sz w:val="24"/>
          <w:szCs w:val="24"/>
          <w:color w:val="auto"/>
        </w:rPr>
      </w:pPr>
    </w:p>
    <w:tbl>
      <w:tblPr>
        <w:tblLayout w:type="fixed"/>
        <w:tblInd w:w="2340" w:type="dxa"/>
        <w:tblCellMar>
          <w:top w:w="0" w:type="dxa"/>
          <w:left w:w="0" w:type="dxa"/>
          <w:bottom w:w="0" w:type="dxa"/>
          <w:right w:w="0" w:type="dxa"/>
        </w:tblCellMar>
      </w:tblPr>
      <w:tr>
        <w:trPr>
          <w:trHeight w:val="214"/>
        </w:trPr>
        <w:tc>
          <w:tcPr>
            <w:tcW w:w="22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Delaware</w:t>
            </w:r>
          </w:p>
        </w:tc>
        <w:tc>
          <w:tcPr>
            <w:tcW w:w="2600" w:type="dxa"/>
            <w:vAlign w:val="bottom"/>
          </w:tcPr>
          <w:p>
            <w:pPr>
              <w:jc w:val="center"/>
              <w:ind w:right="175"/>
              <w:spacing w:after="0"/>
              <w:rPr>
                <w:sz w:val="20"/>
                <w:szCs w:val="20"/>
                <w:color w:val="auto"/>
              </w:rPr>
            </w:pPr>
            <w:r>
              <w:rPr>
                <w:rFonts w:ascii="Arial" w:cs="Arial" w:eastAsia="Arial" w:hAnsi="Arial"/>
                <w:sz w:val="17"/>
                <w:szCs w:val="17"/>
                <w:b w:val="1"/>
                <w:bCs w:val="1"/>
                <w:color w:val="auto"/>
                <w:w w:val="89"/>
              </w:rPr>
              <w:t>3674</w:t>
            </w:r>
          </w:p>
        </w:tc>
        <w:tc>
          <w:tcPr>
            <w:tcW w:w="1720" w:type="dxa"/>
            <w:vAlign w:val="bottom"/>
          </w:tcPr>
          <w:p>
            <w:pPr>
              <w:jc w:val="center"/>
              <w:ind w:left="55"/>
              <w:spacing w:after="0"/>
              <w:rPr>
                <w:sz w:val="20"/>
                <w:szCs w:val="20"/>
                <w:color w:val="auto"/>
              </w:rPr>
            </w:pPr>
            <w:r>
              <w:rPr>
                <w:rFonts w:ascii="Arial" w:cs="Arial" w:eastAsia="Arial" w:hAnsi="Arial"/>
                <w:sz w:val="17"/>
                <w:szCs w:val="17"/>
                <w:b w:val="1"/>
                <w:bCs w:val="1"/>
                <w:color w:val="auto"/>
                <w:w w:val="90"/>
              </w:rPr>
              <w:t>76-0533927</w:t>
            </w:r>
          </w:p>
        </w:tc>
      </w:tr>
      <w:tr>
        <w:trPr>
          <w:trHeight w:val="210"/>
        </w:trPr>
        <w:tc>
          <w:tcPr>
            <w:tcW w:w="220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(State or Other Jurisdiction of</w:t>
            </w:r>
          </w:p>
        </w:tc>
        <w:tc>
          <w:tcPr>
            <w:tcW w:w="2600" w:type="dxa"/>
            <w:vAlign w:val="bottom"/>
          </w:tcPr>
          <w:p>
            <w:pPr>
              <w:jc w:val="center"/>
              <w:ind w:right="175"/>
              <w:spacing w:after="0"/>
              <w:rPr>
                <w:sz w:val="20"/>
                <w:szCs w:val="20"/>
                <w:color w:val="auto"/>
              </w:rPr>
            </w:pPr>
            <w:r>
              <w:rPr>
                <w:rFonts w:ascii="Arial" w:cs="Arial" w:eastAsia="Arial" w:hAnsi="Arial"/>
                <w:sz w:val="17"/>
                <w:szCs w:val="17"/>
                <w:color w:val="auto"/>
                <w:w w:val="91"/>
              </w:rPr>
              <w:t>(Primary Standard Industrial</w:t>
            </w:r>
          </w:p>
        </w:tc>
        <w:tc>
          <w:tcPr>
            <w:tcW w:w="1720" w:type="dxa"/>
            <w:vAlign w:val="bottom"/>
          </w:tcPr>
          <w:p>
            <w:pPr>
              <w:jc w:val="center"/>
              <w:ind w:left="35"/>
              <w:spacing w:after="0"/>
              <w:rPr>
                <w:sz w:val="20"/>
                <w:szCs w:val="20"/>
                <w:color w:val="auto"/>
              </w:rPr>
            </w:pPr>
            <w:r>
              <w:rPr>
                <w:rFonts w:ascii="Arial" w:cs="Arial" w:eastAsia="Arial" w:hAnsi="Arial"/>
                <w:sz w:val="17"/>
                <w:szCs w:val="17"/>
                <w:color w:val="auto"/>
                <w:w w:val="92"/>
              </w:rPr>
              <w:t>(I.R.S. Employer</w:t>
            </w:r>
          </w:p>
        </w:tc>
      </w:tr>
      <w:tr>
        <w:trPr>
          <w:trHeight w:val="210"/>
        </w:trPr>
        <w:tc>
          <w:tcPr>
            <w:tcW w:w="22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Incorporation or</w:t>
            </w:r>
          </w:p>
        </w:tc>
        <w:tc>
          <w:tcPr>
            <w:tcW w:w="2600" w:type="dxa"/>
            <w:vAlign w:val="bottom"/>
          </w:tcPr>
          <w:p>
            <w:pPr>
              <w:jc w:val="center"/>
              <w:ind w:right="195"/>
              <w:spacing w:after="0"/>
              <w:rPr>
                <w:sz w:val="20"/>
                <w:szCs w:val="20"/>
                <w:color w:val="auto"/>
              </w:rPr>
            </w:pPr>
            <w:r>
              <w:rPr>
                <w:rFonts w:ascii="Arial" w:cs="Arial" w:eastAsia="Arial" w:hAnsi="Arial"/>
                <w:sz w:val="17"/>
                <w:szCs w:val="17"/>
                <w:color w:val="auto"/>
                <w:w w:val="92"/>
              </w:rPr>
              <w:t>Classification Code Number)</w:t>
            </w:r>
          </w:p>
        </w:tc>
        <w:tc>
          <w:tcPr>
            <w:tcW w:w="1720" w:type="dxa"/>
            <w:vAlign w:val="bottom"/>
          </w:tcPr>
          <w:p>
            <w:pPr>
              <w:jc w:val="center"/>
              <w:ind w:left="55"/>
              <w:spacing w:after="0"/>
              <w:rPr>
                <w:sz w:val="20"/>
                <w:szCs w:val="20"/>
                <w:color w:val="auto"/>
              </w:rPr>
            </w:pPr>
            <w:r>
              <w:rPr>
                <w:rFonts w:ascii="Arial" w:cs="Arial" w:eastAsia="Arial" w:hAnsi="Arial"/>
                <w:sz w:val="17"/>
                <w:szCs w:val="17"/>
                <w:color w:val="auto"/>
                <w:w w:val="94"/>
              </w:rPr>
              <w:t>Identification Number)</w:t>
            </w:r>
          </w:p>
        </w:tc>
      </w:tr>
      <w:tr>
        <w:trPr>
          <w:trHeight w:val="216"/>
        </w:trPr>
        <w:tc>
          <w:tcPr>
            <w:tcW w:w="22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Organization)</w:t>
            </w:r>
          </w:p>
        </w:tc>
        <w:tc>
          <w:tcPr>
            <w:tcW w:w="26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13115 Jess Pirtle Blvd.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Sugar Land, TX 77478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(281) 295-1800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Chih-Hsiang (Thompson) Lin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13115 Jess Pirtle Blvd.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Sugar Land, TX 77478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(281) 295-1800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143510</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2060" w:type="dxa"/>
        <w:tblCellMar>
          <w:top w:w="0" w:type="dxa"/>
          <w:left w:w="0" w:type="dxa"/>
          <w:bottom w:w="0" w:type="dxa"/>
          <w:right w:w="0" w:type="dxa"/>
        </w:tblCellMar>
      </w:tblPr>
      <w:tr>
        <w:trPr>
          <w:trHeight w:val="220"/>
        </w:trPr>
        <w:tc>
          <w:tcPr>
            <w:tcW w:w="22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7"/>
                <w:szCs w:val="17"/>
                <w:b w:val="1"/>
                <w:bCs w:val="1"/>
                <w:color w:val="auto"/>
                <w:w w:val="91"/>
              </w:rPr>
              <w:t>Copies of All Communications to:</w:t>
            </w: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93"/>
              </w:rPr>
              <w:t>Frank S. Wu, Esq.</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2"/>
              </w:rPr>
              <w:t>David C. Kuo, Esq.</w:t>
            </w:r>
          </w:p>
        </w:tc>
        <w:tc>
          <w:tcPr>
            <w:tcW w:w="140" w:type="dxa"/>
            <w:vAlign w:val="bottom"/>
          </w:tcPr>
          <w:p>
            <w:pPr>
              <w:spacing w:after="0"/>
              <w:rPr>
                <w:sz w:val="24"/>
                <w:szCs w:val="24"/>
                <w:color w:val="auto"/>
              </w:rPr>
            </w:pPr>
          </w:p>
        </w:tc>
        <w:tc>
          <w:tcPr>
            <w:tcW w:w="2740" w:type="dxa"/>
            <w:vAlign w:val="bottom"/>
          </w:tcPr>
          <w:p>
            <w:pPr>
              <w:jc w:val="center"/>
              <w:ind w:right="15"/>
              <w:spacing w:after="0"/>
              <w:rPr>
                <w:sz w:val="20"/>
                <w:szCs w:val="20"/>
                <w:color w:val="auto"/>
              </w:rPr>
            </w:pPr>
            <w:r>
              <w:rPr>
                <w:rFonts w:ascii="Arial" w:cs="Arial" w:eastAsia="Arial" w:hAnsi="Arial"/>
                <w:sz w:val="17"/>
                <w:szCs w:val="17"/>
                <w:b w:val="1"/>
                <w:bCs w:val="1"/>
                <w:color w:val="auto"/>
                <w:w w:val="90"/>
              </w:rPr>
              <w:t>J. Robert Suffoletta, Esq.</w:t>
            </w:r>
          </w:p>
        </w:tc>
      </w:tr>
      <w:tr>
        <w:trPr>
          <w:trHeight w:val="210"/>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90"/>
              </w:rPr>
              <w:t>Philip Russell, Esq.</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0"/>
              </w:rPr>
              <w:t>General Counsel</w:t>
            </w:r>
          </w:p>
        </w:tc>
        <w:tc>
          <w:tcPr>
            <w:tcW w:w="28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Wilson Sonsini Goodrich &amp; Rosati, PC</w:t>
            </w:r>
          </w:p>
        </w:tc>
      </w:tr>
      <w:tr>
        <w:trPr>
          <w:trHeight w:val="210"/>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97"/>
              </w:rPr>
              <w:t>DLA Piper LLP (US)</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0"/>
              </w:rPr>
              <w:t>Applied Optoelectronics, Inc.</w:t>
            </w:r>
          </w:p>
        </w:tc>
        <w:tc>
          <w:tcPr>
            <w:tcW w:w="28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900 South Capital of Texas Highway</w:t>
            </w:r>
          </w:p>
        </w:tc>
      </w:tr>
      <w:tr>
        <w:trPr>
          <w:trHeight w:val="210"/>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90"/>
              </w:rPr>
              <w:t>1000 Louisiana Street</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89"/>
              </w:rPr>
              <w:t>13115 Jess Pirtle Blvd.</w:t>
            </w: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7"/>
                <w:szCs w:val="17"/>
                <w:b w:val="1"/>
                <w:bCs w:val="1"/>
                <w:color w:val="auto"/>
                <w:w w:val="93"/>
              </w:rPr>
              <w:t>Las Cimas IV, Fifth Floor</w:t>
            </w:r>
          </w:p>
        </w:tc>
      </w:tr>
      <w:tr>
        <w:trPr>
          <w:trHeight w:val="210"/>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87"/>
              </w:rPr>
              <w:t>Suite 2800</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3"/>
              </w:rPr>
              <w:t>Sugar Land, TX 77478</w:t>
            </w: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7"/>
                <w:szCs w:val="17"/>
                <w:b w:val="1"/>
                <w:bCs w:val="1"/>
                <w:color w:val="auto"/>
                <w:w w:val="92"/>
              </w:rPr>
              <w:t>Austin, TX 78746</w:t>
            </w:r>
          </w:p>
        </w:tc>
      </w:tr>
      <w:tr>
        <w:trPr>
          <w:trHeight w:val="210"/>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93"/>
              </w:rPr>
              <w:t>Houston, TX 77002</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1"/>
              </w:rPr>
              <w:t>(281) 295-1800</w:t>
            </w:r>
          </w:p>
        </w:tc>
        <w:tc>
          <w:tcPr>
            <w:tcW w:w="28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(512) 338-5400</w:t>
            </w:r>
          </w:p>
        </w:tc>
      </w:tr>
      <w:tr>
        <w:trPr>
          <w:trHeight w:val="220"/>
        </w:trPr>
        <w:tc>
          <w:tcPr>
            <w:tcW w:w="2220" w:type="dxa"/>
            <w:vAlign w:val="bottom"/>
          </w:tcPr>
          <w:p>
            <w:pPr>
              <w:jc w:val="center"/>
              <w:ind w:right="555"/>
              <w:spacing w:after="0"/>
              <w:rPr>
                <w:sz w:val="20"/>
                <w:szCs w:val="20"/>
                <w:color w:val="auto"/>
              </w:rPr>
            </w:pPr>
            <w:r>
              <w:rPr>
                <w:rFonts w:ascii="Arial" w:cs="Arial" w:eastAsia="Arial" w:hAnsi="Arial"/>
                <w:sz w:val="17"/>
                <w:szCs w:val="17"/>
                <w:b w:val="1"/>
                <w:bCs w:val="1"/>
                <w:color w:val="auto"/>
                <w:w w:val="91"/>
              </w:rPr>
              <w:t>(713) 425-8400</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12"/>
        </w:trPr>
        <w:tc>
          <w:tcPr>
            <w:tcW w:w="2220" w:type="dxa"/>
            <w:vAlign w:val="bottom"/>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bl>
    <w:p>
      <w:pPr>
        <w:spacing w:after="0" w:line="200" w:lineRule="exact"/>
        <w:rPr>
          <w:sz w:val="24"/>
          <w:szCs w:val="24"/>
          <w:color w:val="auto"/>
        </w:rPr>
      </w:pPr>
    </w:p>
    <w:p>
      <w:pPr>
        <w:sectPr>
          <w:pgSz w:w="11900" w:h="16838" w:orient="portrait"/>
          <w:cols w:equalWidth="0" w:num="1">
            <w:col w:w="11420"/>
          </w:cols>
          <w:pgMar w:left="240" w:top="669" w:right="239" w:bottom="83" w:gutter="0" w:footer="0" w:header="0"/>
        </w:sectPr>
      </w:pPr>
    </w:p>
    <w:p>
      <w:pPr>
        <w:spacing w:after="0" w:line="312" w:lineRule="exact"/>
        <w:rPr>
          <w:sz w:val="24"/>
          <w:szCs w:val="24"/>
          <w:color w:val="auto"/>
        </w:rPr>
      </w:pPr>
    </w:p>
    <w:p>
      <w:pPr>
        <w:ind w:left="1380" w:right="300"/>
        <w:spacing w:after="0" w:line="287" w:lineRule="auto"/>
        <w:rPr>
          <w:sz w:val="20"/>
          <w:szCs w:val="20"/>
          <w:color w:val="auto"/>
        </w:rPr>
      </w:pPr>
      <w:r>
        <w:rPr>
          <w:rFonts w:ascii="Arial" w:cs="Arial" w:eastAsia="Arial" w:hAnsi="Arial"/>
          <w:sz w:val="17"/>
          <w:szCs w:val="17"/>
          <w:b w:val="1"/>
          <w:bCs w:val="1"/>
          <w:color w:val="auto"/>
        </w:rPr>
        <w:t>Approximate date of commencement of proposed sale to the public:</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ind w:right="2180"/>
        <w:spacing w:after="0" w:line="320" w:lineRule="auto"/>
        <w:rPr>
          <w:sz w:val="20"/>
          <w:szCs w:val="20"/>
          <w:color w:val="auto"/>
        </w:rPr>
      </w:pPr>
      <w:r>
        <w:rPr>
          <w:rFonts w:ascii="Arial" w:cs="Arial" w:eastAsia="Arial" w:hAnsi="Arial"/>
          <w:sz w:val="16"/>
          <w:szCs w:val="16"/>
          <w:b w:val="1"/>
          <w:bCs w:val="1"/>
          <w:color w:val="auto"/>
        </w:rPr>
        <w:t>As soon as practicable after this Registration Statement becomes effective.</w:t>
      </w:r>
    </w:p>
    <w:p>
      <w:pPr>
        <w:spacing w:after="0" w:line="143" w:lineRule="exact"/>
        <w:rPr>
          <w:sz w:val="24"/>
          <w:szCs w:val="24"/>
          <w:color w:val="auto"/>
        </w:rPr>
      </w:pPr>
    </w:p>
    <w:p>
      <w:pPr>
        <w:sectPr>
          <w:pgSz w:w="11900" w:h="16838" w:orient="portrait"/>
          <w:cols w:equalWidth="0" w:num="2">
            <w:col w:w="5260" w:space="720"/>
            <w:col w:w="5440"/>
          </w:cols>
          <w:pgMar w:left="240" w:top="669" w:right="239" w:bottom="83" w:gutter="0" w:footer="0" w:header="0"/>
          <w:type w:val="continuous"/>
        </w:sectPr>
      </w:pPr>
    </w:p>
    <w:p>
      <w:pPr>
        <w:ind w:right="320" w:firstLine="384"/>
        <w:spacing w:after="0" w:line="282"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check the following box. o</w:t>
      </w:r>
    </w:p>
    <w:p>
      <w:pPr>
        <w:spacing w:after="0" w:line="170" w:lineRule="exact"/>
        <w:rPr>
          <w:sz w:val="24"/>
          <w:szCs w:val="24"/>
          <w:color w:val="auto"/>
        </w:rPr>
      </w:pPr>
    </w:p>
    <w:p>
      <w:pPr>
        <w:ind w:right="700" w:firstLine="384"/>
        <w:spacing w:after="0" w:line="282"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ectPr>
          <w:pgSz w:w="11900" w:h="16838" w:orient="portrait"/>
          <w:cols w:equalWidth="0" w:num="1">
            <w:col w:w="11420"/>
          </w:cols>
          <w:pgMar w:left="240" w:top="669" w:right="239" w:bottom="83" w:gutter="0" w:footer="0" w:header="0"/>
          <w:type w:val="continuous"/>
        </w:sectPr>
      </w:pPr>
    </w:p>
    <w:bookmarkStart w:id="1" w:name="page2"/>
    <w:bookmarkEnd w:id="1"/>
    <w:p>
      <w:pPr>
        <w:ind w:right="120" w:firstLine="384"/>
        <w:spacing w:after="0" w:line="282"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120" w:firstLine="384"/>
        <w:spacing w:after="0" w:line="282"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600" w:firstLine="384"/>
        <w:spacing w:after="0" w:line="3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1" w:lineRule="exact"/>
        <w:rPr>
          <w:sz w:val="20"/>
          <w:szCs w:val="20"/>
          <w:color w:val="auto"/>
        </w:rPr>
      </w:pPr>
    </w:p>
    <w:p>
      <w:pPr>
        <w:spacing w:after="0" w:line="196" w:lineRule="exact"/>
        <w:tabs>
          <w:tab w:leader="none" w:pos="3080" w:val="left"/>
          <w:tab w:leader="none" w:pos="5780" w:val="left"/>
          <w:tab w:leader="none" w:pos="942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Smaller reporting company o</w:t>
      </w:r>
    </w:p>
    <w:p>
      <w:pPr>
        <w:spacing w:after="0" w:line="5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128905</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84"/>
        <w:spacing w:after="0" w:line="26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469265</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color w:val="FC1921"/>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jurisdiction where the offer or sale is not permitted.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C1921"/>
        </w:rPr>
        <w:t>Subject to Completion, Dated September 20,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3,600,000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149860</wp:posOffset>
            </wp:positionV>
            <wp:extent cx="2896870" cy="1356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6870"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i w:val="1"/>
          <w:iCs w:val="1"/>
          <w:color w:val="auto"/>
        </w:rPr>
        <w:t>This is our initial public offering of common stock. We are offering 3,600,000 shares. In addition, the selling stockholders identified in this prospectus have granted the underwriters an option for a period of 30 days to purchase up to 540,000 additional shares of common stock to cover over-allotments. We will not receive any of the proceeds from the sale of the shares being sold by the selling stockholders. Prior to this offering, no public market has existed for our common stock. We currently estimate that the initial public offering price will be between $13.00 and $15.00 per share. Our common stock has been approved for listing on the NASDAQ Global Market under the symbol "AAOI."</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150495</wp:posOffset>
            </wp:positionV>
            <wp:extent cx="1906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8240" w:type="dxa"/>
            <w:vAlign w:val="bottom"/>
            <w:gridSpan w:val="3"/>
            <w:vMerge w:val="restart"/>
          </w:tcPr>
          <w:p>
            <w:pPr>
              <w:ind w:left="820"/>
              <w:spacing w:after="0"/>
              <w:rPr>
                <w:sz w:val="20"/>
                <w:szCs w:val="20"/>
                <w:color w:val="auto"/>
              </w:rPr>
            </w:pPr>
            <w:r>
              <w:rPr>
                <w:rFonts w:ascii="Arial" w:cs="Arial" w:eastAsia="Arial" w:hAnsi="Arial"/>
                <w:sz w:val="17"/>
                <w:szCs w:val="17"/>
                <w:color w:val="auto"/>
              </w:rPr>
              <w:t>Initial public offering price</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Per share</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4"/>
        </w:trPr>
        <w:tc>
          <w:tcPr>
            <w:tcW w:w="8240" w:type="dxa"/>
            <w:vAlign w:val="bottom"/>
            <w:gridSpan w:val="3"/>
            <w:vMerge w:val="continue"/>
          </w:tcPr>
          <w:p>
            <w:pPr>
              <w:spacing w:after="0"/>
              <w:rPr>
                <w:sz w:val="16"/>
                <w:szCs w:val="16"/>
                <w:color w:val="auto"/>
              </w:rPr>
            </w:pPr>
          </w:p>
        </w:tc>
        <w:tc>
          <w:tcPr>
            <w:tcW w:w="740" w:type="dxa"/>
            <w:vAlign w:val="bottom"/>
          </w:tcPr>
          <w:p>
            <w:pPr>
              <w:jc w:val="right"/>
              <w:ind w:right="560"/>
              <w:spacing w:after="0" w:line="194" w:lineRule="exact"/>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6"/>
                <w:szCs w:val="16"/>
                <w:color w:val="auto"/>
              </w:rPr>
            </w:pPr>
          </w:p>
        </w:tc>
        <w:tc>
          <w:tcPr>
            <w:tcW w:w="660" w:type="dxa"/>
            <w:vAlign w:val="bottom"/>
          </w:tcPr>
          <w:p>
            <w:pPr>
              <w:jc w:val="right"/>
              <w:ind w:right="485"/>
              <w:spacing w:after="0" w:line="194" w:lineRule="exact"/>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0"/>
        </w:trPr>
        <w:tc>
          <w:tcPr>
            <w:tcW w:w="8240" w:type="dxa"/>
            <w:vAlign w:val="bottom"/>
            <w:gridSpan w:val="3"/>
          </w:tcPr>
          <w:p>
            <w:pPr>
              <w:ind w:left="820"/>
              <w:spacing w:after="0"/>
              <w:rPr>
                <w:sz w:val="20"/>
                <w:szCs w:val="20"/>
                <w:color w:val="auto"/>
              </w:rPr>
            </w:pPr>
            <w:r>
              <w:rPr>
                <w:rFonts w:ascii="Arial" w:cs="Arial" w:eastAsia="Arial" w:hAnsi="Arial"/>
                <w:sz w:val="17"/>
                <w:szCs w:val="17"/>
                <w:color w:val="auto"/>
              </w:rPr>
              <w:t>Underwriting discounts and commissions(1)</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4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240" w:type="dxa"/>
            <w:vAlign w:val="bottom"/>
            <w:gridSpan w:val="3"/>
          </w:tcPr>
          <w:p>
            <w:pPr>
              <w:ind w:left="820"/>
              <w:spacing w:after="0"/>
              <w:rPr>
                <w:sz w:val="20"/>
                <w:szCs w:val="20"/>
                <w:color w:val="auto"/>
              </w:rPr>
            </w:pPr>
            <w:r>
              <w:rPr>
                <w:rFonts w:ascii="Arial" w:cs="Arial" w:eastAsia="Arial" w:hAnsi="Arial"/>
                <w:sz w:val="17"/>
                <w:szCs w:val="17"/>
                <w:color w:val="auto"/>
              </w:rPr>
              <w:t>Proceeds to us, before expenses</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4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9"/>
        </w:trPr>
        <w:tc>
          <w:tcPr>
            <w:tcW w:w="8240" w:type="dxa"/>
            <w:vAlign w:val="bottom"/>
            <w:gridSpan w:val="3"/>
          </w:tcPr>
          <w:p>
            <w:pPr>
              <w:spacing w:after="0"/>
              <w:rPr>
                <w:sz w:val="20"/>
                <w:szCs w:val="20"/>
                <w:color w:val="auto"/>
              </w:rPr>
            </w:pPr>
            <w:r>
              <w:rPr>
                <w:rFonts w:ascii="Arial" w:cs="Arial" w:eastAsia="Arial" w:hAnsi="Arial"/>
                <w:sz w:val="17"/>
                <w:szCs w:val="17"/>
                <w:color w:val="auto"/>
              </w:rPr>
              <w:t>We have agreed to reimburse the underwriters for certain expenses. See the section titled "Underwriting."</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i w:val="1"/>
          <w:iCs w:val="1"/>
          <w:color w:val="auto"/>
        </w:rPr>
        <w:t>We are an "emerging growth company" as defined under the federal securities laws and, as such, have elected to comply with certain reduced public company reporting requirements.</w:t>
      </w:r>
    </w:p>
    <w:p>
      <w:pPr>
        <w:spacing w:after="0" w:line="166"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80" w:type="dxa"/>
            <w:vAlign w:val="bottom"/>
            <w:gridSpan w:val="2"/>
          </w:tcPr>
          <w:p>
            <w:pPr>
              <w:spacing w:after="0"/>
              <w:rPr>
                <w:sz w:val="20"/>
                <w:szCs w:val="20"/>
                <w:color w:val="auto"/>
              </w:rPr>
            </w:pPr>
            <w:r>
              <w:rPr>
                <w:rFonts w:ascii="Arial" w:cs="Arial" w:eastAsia="Arial" w:hAnsi="Arial"/>
                <w:sz w:val="17"/>
                <w:szCs w:val="17"/>
                <w:i w:val="1"/>
                <w:iCs w:val="1"/>
                <w:color w:val="auto"/>
              </w:rPr>
              <w:t>The underwriters expect to deliver the shares of common stock to purchasers on or about</w:t>
            </w:r>
          </w:p>
        </w:tc>
        <w:tc>
          <w:tcPr>
            <w:tcW w:w="740" w:type="dxa"/>
            <w:vAlign w:val="bottom"/>
          </w:tcPr>
          <w:p>
            <w:pPr>
              <w:jc w:val="right"/>
              <w:spacing w:after="0"/>
              <w:rPr>
                <w:sz w:val="20"/>
                <w:szCs w:val="20"/>
                <w:color w:val="auto"/>
              </w:rPr>
            </w:pPr>
            <w:r>
              <w:rPr>
                <w:rFonts w:ascii="Arial" w:cs="Arial" w:eastAsia="Arial" w:hAnsi="Arial"/>
                <w:sz w:val="17"/>
                <w:szCs w:val="17"/>
                <w:i w:val="1"/>
                <w:iCs w:val="1"/>
                <w:color w:val="auto"/>
              </w:rPr>
              <w:t>, 2013.</w:t>
            </w:r>
          </w:p>
        </w:tc>
      </w:tr>
      <w:tr>
        <w:trPr>
          <w:trHeight w:val="212"/>
        </w:trPr>
        <w:tc>
          <w:tcPr>
            <w:tcW w:w="3880" w:type="dxa"/>
            <w:vAlign w:val="bottom"/>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tabs>
          <w:tab w:leader="none" w:pos="8940" w:val="left"/>
        </w:tabs>
        <w:rPr>
          <w:sz w:val="20"/>
          <w:szCs w:val="20"/>
          <w:color w:val="auto"/>
        </w:rPr>
      </w:pPr>
      <w:r>
        <w:rPr>
          <w:rFonts w:ascii="Arial" w:cs="Arial" w:eastAsia="Arial" w:hAnsi="Arial"/>
          <w:sz w:val="31"/>
          <w:szCs w:val="31"/>
          <w:b w:val="1"/>
          <w:bCs w:val="1"/>
          <w:color w:val="auto"/>
        </w:rPr>
        <w:t>RAYMOND JAMES</w:t>
      </w:r>
      <w:r>
        <w:rPr>
          <w:sz w:val="20"/>
          <w:szCs w:val="20"/>
          <w:color w:val="auto"/>
        </w:rPr>
        <w:tab/>
      </w:r>
      <w:r>
        <w:rPr>
          <w:rFonts w:ascii="Arial" w:cs="Arial" w:eastAsia="Arial" w:hAnsi="Arial"/>
          <w:sz w:val="31"/>
          <w:szCs w:val="31"/>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163195</wp:posOffset>
            </wp:positionV>
            <wp:extent cx="1906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320" w:val="left"/>
        </w:tabs>
        <w:rPr>
          <w:sz w:val="20"/>
          <w:szCs w:val="20"/>
          <w:color w:val="auto"/>
        </w:rPr>
      </w:pPr>
      <w:r>
        <w:rPr>
          <w:rFonts w:ascii="Arial" w:cs="Arial" w:eastAsia="Arial" w:hAnsi="Arial"/>
          <w:sz w:val="24"/>
          <w:szCs w:val="24"/>
          <w:b w:val="1"/>
          <w:bCs w:val="1"/>
          <w:color w:val="auto"/>
        </w:rPr>
        <w:t>COWEN AND COMPANY</w:t>
      </w:r>
      <w:r>
        <w:rPr>
          <w:sz w:val="20"/>
          <w:szCs w:val="20"/>
          <w:color w:val="auto"/>
        </w:rPr>
        <w:tab/>
      </w:r>
      <w:r>
        <w:rPr>
          <w:rFonts w:ascii="Arial" w:cs="Arial" w:eastAsia="Arial" w:hAnsi="Arial"/>
          <w:sz w:val="23"/>
          <w:szCs w:val="23"/>
          <w:b w:val="1"/>
          <w:bCs w:val="1"/>
          <w:color w:val="auto"/>
        </w:rPr>
        <w:t>ROTH CAPITAL PARTNERS</w:t>
      </w:r>
    </w:p>
    <w:p>
      <w:pPr>
        <w:sectPr>
          <w:pgSz w:w="11900" w:h="16838" w:orient="portrait"/>
          <w:cols w:equalWidth="0" w:num="1">
            <w:col w:w="11420"/>
          </w:cols>
          <w:pgMar w:left="240" w:top="131" w:right="239" w:bottom="1440" w:gutter="0" w:footer="0" w:header="0"/>
        </w:sectPr>
      </w:pPr>
    </w:p>
    <w:p>
      <w:pPr>
        <w:spacing w:after="0" w:line="230" w:lineRule="exact"/>
        <w:rPr>
          <w:sz w:val="20"/>
          <w:szCs w:val="20"/>
          <w:color w:val="auto"/>
        </w:rPr>
      </w:pPr>
    </w:p>
    <w:p>
      <w:pPr>
        <w:ind w:left="3900"/>
        <w:spacing w:after="0"/>
        <w:tabs>
          <w:tab w:leader="none" w:pos="7100" w:val="left"/>
        </w:tabs>
        <w:rPr>
          <w:sz w:val="20"/>
          <w:szCs w:val="20"/>
          <w:color w:val="auto"/>
        </w:rPr>
      </w:pPr>
      <w:r>
        <w:rPr>
          <w:rFonts w:ascii="Arial" w:cs="Arial" w:eastAsia="Arial" w:hAnsi="Arial"/>
          <w:sz w:val="17"/>
          <w:szCs w:val="17"/>
          <w:b w:val="1"/>
          <w:bCs w:val="1"/>
          <w:color w:val="auto"/>
        </w:rPr>
        <w:t>The date of this prospectus is</w:t>
      </w:r>
      <w:r>
        <w:rPr>
          <w:sz w:val="20"/>
          <w:szCs w:val="20"/>
          <w:color w:val="auto"/>
        </w:rPr>
        <w:tab/>
      </w:r>
      <w:r>
        <w:rPr>
          <w:rFonts w:ascii="Arial" w:cs="Arial" w:eastAsia="Arial" w:hAnsi="Arial"/>
          <w:sz w:val="15"/>
          <w:szCs w:val="15"/>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147955</wp:posOffset>
            </wp:positionV>
            <wp:extent cx="1906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200" w:type="dxa"/>
            <w:vAlign w:val="bottom"/>
            <w:gridSpan w:val="5"/>
            <w:vMerge w:val="restart"/>
          </w:tcPr>
          <w:p>
            <w:pPr>
              <w:spacing w:after="0"/>
              <w:rPr>
                <w:rFonts w:ascii="Arial" w:cs="Arial" w:eastAsia="Arial" w:hAnsi="Arial"/>
                <w:sz w:val="17"/>
                <w:szCs w:val="17"/>
                <w:color w:val="0000EE"/>
                <w:w w:val="91"/>
              </w:rPr>
            </w:pPr>
            <w:hyperlink w:anchor="page13">
              <w:r>
                <w:rPr>
                  <w:rFonts w:ascii="Arial" w:cs="Arial" w:eastAsia="Arial" w:hAnsi="Arial"/>
                  <w:sz w:val="17"/>
                  <w:szCs w:val="17"/>
                  <w:color w:val="0000EE"/>
                  <w:w w:val="91"/>
                </w:rPr>
                <w:t>THE OFFERING</w:t>
              </w:r>
            </w:hyperlink>
          </w:p>
        </w:tc>
        <w:tc>
          <w:tcPr>
            <w:tcW w:w="7320" w:type="dxa"/>
            <w:vAlign w:val="bottom"/>
            <w:gridSpan w:val="18"/>
            <w:vMerge w:val="restart"/>
          </w:tcPr>
          <w:p>
            <w:pPr>
              <w:spacing w:after="0"/>
              <w:rPr>
                <w:sz w:val="13"/>
                <w:szCs w:val="13"/>
                <w:color w:val="auto"/>
              </w:rPr>
            </w:pPr>
          </w:p>
        </w:tc>
        <w:tc>
          <w:tcPr>
            <w:tcW w:w="460" w:type="dxa"/>
            <w:vAlign w:val="bottom"/>
            <w:gridSpan w:val="5"/>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200" w:type="dxa"/>
            <w:vAlign w:val="bottom"/>
            <w:gridSpan w:val="5"/>
            <w:vMerge w:val="continue"/>
          </w:tcPr>
          <w:p>
            <w:pPr>
              <w:spacing w:after="0"/>
              <w:rPr>
                <w:sz w:val="14"/>
                <w:szCs w:val="14"/>
                <w:color w:val="auto"/>
              </w:rPr>
            </w:pPr>
          </w:p>
        </w:tc>
        <w:tc>
          <w:tcPr>
            <w:tcW w:w="7320" w:type="dxa"/>
            <w:vAlign w:val="bottom"/>
            <w:gridSpan w:val="18"/>
            <w:vMerge w:val="continue"/>
          </w:tcPr>
          <w:p>
            <w:pPr>
              <w:spacing w:after="0"/>
              <w:rPr>
                <w:sz w:val="14"/>
                <w:szCs w:val="14"/>
                <w:color w:val="auto"/>
              </w:rPr>
            </w:pPr>
          </w:p>
        </w:tc>
        <w:tc>
          <w:tcPr>
            <w:tcW w:w="44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13">
              <w:r>
                <w:rPr>
                  <w:rFonts w:ascii="Arial" w:cs="Arial" w:eastAsia="Arial" w:hAnsi="Arial"/>
                  <w:sz w:val="17"/>
                  <w:szCs w:val="17"/>
                  <w:color w:val="0000EE"/>
                </w:rPr>
                <w:t>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SUMMARY CONSOLIDATED FINANCIAL DATA</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5">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0" w:type="dxa"/>
            <w:vAlign w:val="bottom"/>
            <w:tcBorders>
              <w:bottom w:val="single" w:sz="8" w:color="0000EE"/>
            </w:tcBorders>
            <w:gridSpan w:val="5"/>
          </w:tcPr>
          <w:p>
            <w:pPr>
              <w:spacing w:after="0" w:line="189" w:lineRule="exact"/>
              <w:rPr>
                <w:rFonts w:ascii="Arial" w:cs="Arial" w:eastAsia="Arial" w:hAnsi="Arial"/>
                <w:sz w:val="17"/>
                <w:szCs w:val="17"/>
                <w:color w:val="0000EE"/>
                <w:w w:val="92"/>
              </w:rPr>
            </w:pPr>
            <w:hyperlink w:anchor="page19">
              <w:r>
                <w:rPr>
                  <w:rFonts w:ascii="Arial" w:cs="Arial" w:eastAsia="Arial" w:hAnsi="Arial"/>
                  <w:sz w:val="17"/>
                  <w:szCs w:val="17"/>
                  <w:color w:val="0000EE"/>
                  <w:w w:val="92"/>
                </w:rPr>
                <w:t>RISK FACTORS</w:t>
              </w:r>
            </w:hyperlink>
          </w:p>
        </w:tc>
        <w:tc>
          <w:tcPr>
            <w:tcW w:w="2420" w:type="dxa"/>
            <w:vAlign w:val="bottom"/>
            <w:gridSpan w:val="12"/>
          </w:tcPr>
          <w:p>
            <w:pPr>
              <w:spacing w:after="0"/>
              <w:rPr>
                <w:sz w:val="16"/>
                <w:szCs w:val="16"/>
                <w:color w:val="auto"/>
              </w:rPr>
            </w:pPr>
          </w:p>
        </w:tc>
        <w:tc>
          <w:tcPr>
            <w:tcW w:w="4900" w:type="dxa"/>
            <w:vAlign w:val="bottom"/>
            <w:gridSpan w:val="6"/>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9">
              <w:r>
                <w:rPr>
                  <w:rFonts w:ascii="Arial" w:cs="Arial" w:eastAsia="Arial" w:hAnsi="Arial"/>
                  <w:sz w:val="17"/>
                  <w:szCs w:val="17"/>
                  <w:color w:val="0000EE"/>
                  <w:w w:val="84"/>
                </w:rPr>
                <w:t>13</w:t>
              </w:r>
            </w:hyperlink>
          </w:p>
        </w:tc>
        <w:tc>
          <w:tcPr>
            <w:tcW w:w="0" w:type="dxa"/>
            <w:vAlign w:val="bottom"/>
          </w:tcPr>
          <w:p>
            <w:pPr>
              <w:spacing w:after="0"/>
              <w:rPr>
                <w:sz w:val="1"/>
                <w:szCs w:val="1"/>
                <w:color w:val="auto"/>
              </w:rPr>
            </w:pPr>
          </w:p>
        </w:tc>
      </w:tr>
      <w:tr>
        <w:trPr>
          <w:trHeight w:val="190"/>
        </w:trPr>
        <w:tc>
          <w:tcPr>
            <w:tcW w:w="6840" w:type="dxa"/>
            <w:vAlign w:val="bottom"/>
            <w:tcBorders>
              <w:bottom w:val="single" w:sz="8" w:color="0000EE"/>
            </w:tcBorders>
            <w:gridSpan w:val="21"/>
          </w:tcPr>
          <w:p>
            <w:pPr>
              <w:spacing w:after="0" w:line="189" w:lineRule="exact"/>
              <w:rPr>
                <w:rFonts w:ascii="Arial" w:cs="Arial" w:eastAsia="Arial" w:hAnsi="Arial"/>
                <w:sz w:val="17"/>
                <w:szCs w:val="17"/>
                <w:color w:val="0000EE"/>
                <w:w w:val="96"/>
              </w:rPr>
            </w:pPr>
            <w:hyperlink w:anchor="page44">
              <w:r>
                <w:rPr>
                  <w:rFonts w:ascii="Arial" w:cs="Arial" w:eastAsia="Arial" w:hAnsi="Arial"/>
                  <w:sz w:val="17"/>
                  <w:szCs w:val="17"/>
                  <w:color w:val="0000EE"/>
                  <w:w w:val="96"/>
                </w:rPr>
                <w:t>SPECIAL NOTE REGARDING FORWARD-LOOKING STATEMENTS AND INDUSTRY DATA</w:t>
              </w:r>
            </w:hyperlink>
          </w:p>
        </w:tc>
        <w:tc>
          <w:tcPr>
            <w:tcW w:w="1680" w:type="dxa"/>
            <w:vAlign w:val="bottom"/>
            <w:gridSpan w:val="2"/>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1500" w:type="dxa"/>
            <w:vAlign w:val="bottom"/>
            <w:tcBorders>
              <w:bottom w:val="single" w:sz="8" w:color="0000EE"/>
            </w:tcBorders>
            <w:gridSpan w:val="11"/>
          </w:tcPr>
          <w:p>
            <w:pPr>
              <w:spacing w:after="0" w:line="189" w:lineRule="exact"/>
              <w:rPr>
                <w:rFonts w:ascii="Arial" w:cs="Arial" w:eastAsia="Arial" w:hAnsi="Arial"/>
                <w:sz w:val="17"/>
                <w:szCs w:val="17"/>
                <w:color w:val="0000EE"/>
                <w:w w:val="90"/>
              </w:rPr>
            </w:pPr>
            <w:hyperlink w:anchor="page45">
              <w:r>
                <w:rPr>
                  <w:rFonts w:ascii="Arial" w:cs="Arial" w:eastAsia="Arial" w:hAnsi="Arial"/>
                  <w:sz w:val="17"/>
                  <w:szCs w:val="17"/>
                  <w:color w:val="0000EE"/>
                  <w:w w:val="90"/>
                </w:rPr>
                <w:t>USE OF PROCEEDS</w:t>
              </w:r>
            </w:hyperlink>
          </w:p>
        </w:tc>
        <w:tc>
          <w:tcPr>
            <w:tcW w:w="7020" w:type="dxa"/>
            <w:vAlign w:val="bottom"/>
            <w:gridSpan w:val="12"/>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39</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45">
              <w:r>
                <w:rPr>
                  <w:rFonts w:ascii="Arial" w:cs="Arial" w:eastAsia="Arial" w:hAnsi="Arial"/>
                  <w:sz w:val="17"/>
                  <w:szCs w:val="17"/>
                  <w:color w:val="0000EE"/>
                </w:rPr>
                <w:t>DIVIDEND POLICY</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45">
              <w:r>
                <w:rPr>
                  <w:rFonts w:ascii="Arial" w:cs="Arial" w:eastAsia="Arial" w:hAnsi="Arial"/>
                  <w:sz w:val="17"/>
                  <w:szCs w:val="17"/>
                  <w:color w:val="0000EE"/>
                </w:rPr>
                <w:t>39</w:t>
              </w:r>
            </w:hyperlink>
          </w:p>
        </w:tc>
        <w:tc>
          <w:tcPr>
            <w:tcW w:w="0" w:type="dxa"/>
            <w:vAlign w:val="bottom"/>
          </w:tcPr>
          <w:p>
            <w:pPr>
              <w:spacing w:after="0"/>
              <w:rPr>
                <w:sz w:val="1"/>
                <w:szCs w:val="1"/>
                <w:color w:val="auto"/>
              </w:rPr>
            </w:pPr>
          </w:p>
        </w:tc>
      </w:tr>
      <w:tr>
        <w:trPr>
          <w:trHeight w:val="190"/>
        </w:trPr>
        <w:tc>
          <w:tcPr>
            <w:tcW w:w="138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8"/>
              </w:rPr>
            </w:pPr>
            <w:hyperlink w:anchor="page46">
              <w:r>
                <w:rPr>
                  <w:rFonts w:ascii="Arial" w:cs="Arial" w:eastAsia="Arial" w:hAnsi="Arial"/>
                  <w:sz w:val="17"/>
                  <w:szCs w:val="17"/>
                  <w:color w:val="0000EE"/>
                  <w:w w:val="98"/>
                </w:rPr>
                <w:t>CAPITALIZATION</w:t>
              </w:r>
            </w:hyperlink>
          </w:p>
        </w:tc>
        <w:tc>
          <w:tcPr>
            <w:tcW w:w="100" w:type="dxa"/>
            <w:vAlign w:val="bottom"/>
            <w:tcBorders>
              <w:top w:val="single" w:sz="8" w:color="0000EE"/>
            </w:tcBorders>
          </w:tcPr>
          <w:p>
            <w:pPr>
              <w:spacing w:after="0"/>
              <w:rPr>
                <w:sz w:val="16"/>
                <w:szCs w:val="16"/>
                <w:color w:val="auto"/>
              </w:rPr>
            </w:pPr>
          </w:p>
        </w:tc>
        <w:tc>
          <w:tcPr>
            <w:tcW w:w="7040" w:type="dxa"/>
            <w:vAlign w:val="bottom"/>
            <w:gridSpan w:val="13"/>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0"/>
        </w:trPr>
        <w:tc>
          <w:tcPr>
            <w:tcW w:w="820" w:type="dxa"/>
            <w:vAlign w:val="bottom"/>
            <w:tcBorders>
              <w:bottom w:val="single" w:sz="8" w:color="0000EE"/>
            </w:tcBorders>
            <w:gridSpan w:val="4"/>
          </w:tcPr>
          <w:p>
            <w:pPr>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DILUTION</w:t>
              </w:r>
            </w:hyperlink>
          </w:p>
        </w:tc>
        <w:tc>
          <w:tcPr>
            <w:tcW w:w="7700" w:type="dxa"/>
            <w:vAlign w:val="bottom"/>
            <w:gridSpan w:val="19"/>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49">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SELECTED CONSOLIDATED FINANCIAL DATA</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51">
              <w:r>
                <w:rPr>
                  <w:rFonts w:ascii="Arial" w:cs="Arial" w:eastAsia="Arial" w:hAnsi="Arial"/>
                  <w:sz w:val="17"/>
                  <w:szCs w:val="17"/>
                  <w:color w:val="0000EE"/>
                </w:rPr>
                <w:t>45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MANAGEMENT'S DISCUSSION AND ANALYSIS OF FINANCIAL CONDITION AND RESULTS OF</w:t>
              </w:r>
            </w:hyperlink>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Borders>
              <w:top w:val="single" w:sz="8" w:color="0000EE"/>
            </w:tcBorders>
          </w:tcPr>
          <w:p>
            <w:pPr>
              <w:spacing w:after="0"/>
              <w:rPr>
                <w:sz w:val="16"/>
                <w:szCs w:val="16"/>
                <w:color w:val="auto"/>
              </w:rPr>
            </w:pPr>
          </w:p>
        </w:tc>
        <w:tc>
          <w:tcPr>
            <w:tcW w:w="716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OPERATIONS</w:t>
              </w:r>
            </w:hyperlink>
          </w:p>
        </w:tc>
        <w:tc>
          <w:tcPr>
            <w:tcW w:w="1200" w:type="dxa"/>
            <w:vAlign w:val="bottom"/>
          </w:tcPr>
          <w:p>
            <w:pPr>
              <w:spacing w:after="0"/>
              <w:rPr>
                <w:sz w:val="16"/>
                <w:szCs w:val="16"/>
                <w:color w:val="auto"/>
              </w:rPr>
            </w:pPr>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53">
              <w:r>
                <w:rPr>
                  <w:rFonts w:ascii="Arial" w:cs="Arial" w:eastAsia="Arial" w:hAnsi="Arial"/>
                  <w:sz w:val="17"/>
                  <w:szCs w:val="17"/>
                  <w:color w:val="0000EE"/>
                </w:rPr>
                <w:t>47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 w:type="dxa"/>
            <w:vAlign w:val="bottom"/>
            <w:tcBorders>
              <w:bottom w:val="single" w:sz="8" w:color="0000EE"/>
            </w:tcBorders>
            <w:gridSpan w:val="3"/>
          </w:tcPr>
          <w:p>
            <w:pPr>
              <w:spacing w:after="0" w:line="189" w:lineRule="exact"/>
              <w:rPr>
                <w:rFonts w:ascii="Arial" w:cs="Arial" w:eastAsia="Arial" w:hAnsi="Arial"/>
                <w:sz w:val="17"/>
                <w:szCs w:val="17"/>
                <w:color w:val="0000EE"/>
                <w:w w:val="90"/>
              </w:rPr>
            </w:pPr>
            <w:hyperlink w:anchor="page87">
              <w:r>
                <w:rPr>
                  <w:rFonts w:ascii="Arial" w:cs="Arial" w:eastAsia="Arial" w:hAnsi="Arial"/>
                  <w:sz w:val="17"/>
                  <w:szCs w:val="17"/>
                  <w:color w:val="0000EE"/>
                  <w:w w:val="90"/>
                </w:rPr>
                <w:t>BUSINESS</w:t>
              </w:r>
            </w:hyperlink>
          </w:p>
        </w:tc>
        <w:tc>
          <w:tcPr>
            <w:tcW w:w="7720" w:type="dxa"/>
            <w:vAlign w:val="bottom"/>
            <w:gridSpan w:val="20"/>
          </w:tcPr>
          <w:p>
            <w:pPr>
              <w:spacing w:after="0"/>
              <w:rPr>
                <w:sz w:val="16"/>
                <w:szCs w:val="16"/>
                <w:color w:val="auto"/>
              </w:rPr>
            </w:pPr>
          </w:p>
        </w:tc>
        <w:tc>
          <w:tcPr>
            <w:tcW w:w="260" w:type="dxa"/>
            <w:vAlign w:val="bottom"/>
            <w:gridSpan w:val="2"/>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87">
              <w:r>
                <w:rPr>
                  <w:rFonts w:ascii="Arial" w:cs="Arial" w:eastAsia="Arial" w:hAnsi="Arial"/>
                  <w:sz w:val="17"/>
                  <w:szCs w:val="17"/>
                  <w:color w:val="0000EE"/>
                  <w:w w:val="84"/>
                </w:rPr>
                <w:t>81</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MANAGEMENT</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100</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EXECUTIVE COMPENSATION</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110</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80" w:type="dxa"/>
            <w:vAlign w:val="bottom"/>
            <w:tcBorders>
              <w:bottom w:val="single" w:sz="8" w:color="0000EE"/>
            </w:tcBorders>
            <w:gridSpan w:val="18"/>
          </w:tcPr>
          <w:p>
            <w:pPr>
              <w:spacing w:after="0" w:line="189" w:lineRule="exact"/>
              <w:rPr>
                <w:rFonts w:ascii="Arial" w:cs="Arial" w:eastAsia="Arial" w:hAnsi="Arial"/>
                <w:sz w:val="17"/>
                <w:szCs w:val="17"/>
                <w:color w:val="0000EE"/>
                <w:w w:val="95"/>
              </w:rPr>
            </w:pPr>
            <w:hyperlink w:anchor="page127">
              <w:r>
                <w:rPr>
                  <w:rFonts w:ascii="Arial" w:cs="Arial" w:eastAsia="Arial" w:hAnsi="Arial"/>
                  <w:sz w:val="17"/>
                  <w:szCs w:val="17"/>
                  <w:color w:val="0000EE"/>
                  <w:w w:val="95"/>
                </w:rPr>
                <w:t>CERTAIN RELATIONSHIPS AND RELATED PARTY TRANSACTIONS</w:t>
              </w:r>
            </w:hyperlink>
          </w:p>
        </w:tc>
        <w:tc>
          <w:tcPr>
            <w:tcW w:w="3340" w:type="dxa"/>
            <w:vAlign w:val="bottom"/>
            <w:gridSpan w:val="5"/>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27">
              <w:r>
                <w:rPr>
                  <w:rFonts w:ascii="Arial" w:cs="Arial" w:eastAsia="Arial" w:hAnsi="Arial"/>
                  <w:sz w:val="17"/>
                  <w:szCs w:val="17"/>
                  <w:color w:val="0000EE"/>
                  <w:w w:val="77"/>
                </w:rPr>
                <w:t>121</w:t>
              </w:r>
            </w:hyperlink>
          </w:p>
        </w:tc>
        <w:tc>
          <w:tcPr>
            <w:tcW w:w="0" w:type="dxa"/>
            <w:vAlign w:val="bottom"/>
          </w:tcPr>
          <w:p>
            <w:pPr>
              <w:spacing w:after="0"/>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PRINCIPAL AND SELLING STOCKHOLDERS</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31">
              <w:r>
                <w:rPr>
                  <w:rFonts w:ascii="Arial" w:cs="Arial" w:eastAsia="Arial" w:hAnsi="Arial"/>
                  <w:sz w:val="17"/>
                  <w:szCs w:val="17"/>
                  <w:color w:val="0000EE"/>
                </w:rPr>
                <w:t>125</w:t>
              </w:r>
            </w:hyperlink>
          </w:p>
        </w:tc>
        <w:tc>
          <w:tcPr>
            <w:tcW w:w="0" w:type="dxa"/>
            <w:vAlign w:val="bottom"/>
          </w:tcPr>
          <w:p>
            <w:pPr>
              <w:spacing w:after="0"/>
              <w:rPr>
                <w:sz w:val="1"/>
                <w:szCs w:val="1"/>
                <w:color w:val="auto"/>
              </w:rPr>
            </w:pPr>
          </w:p>
        </w:tc>
      </w:tr>
      <w:tr>
        <w:trPr>
          <w:trHeight w:val="190"/>
        </w:trPr>
        <w:tc>
          <w:tcPr>
            <w:tcW w:w="340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DESCRIPTION OF CAPITAL STOCK</w:t>
              </w:r>
            </w:hyperlink>
          </w:p>
        </w:tc>
        <w:tc>
          <w:tcPr>
            <w:tcW w:w="5120" w:type="dxa"/>
            <w:vAlign w:val="bottom"/>
            <w:gridSpan w:val="7"/>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36">
              <w:r>
                <w:rPr>
                  <w:rFonts w:ascii="Arial" w:cs="Arial" w:eastAsia="Arial" w:hAnsi="Arial"/>
                  <w:sz w:val="17"/>
                  <w:szCs w:val="17"/>
                  <w:color w:val="0000EE"/>
                  <w:w w:val="77"/>
                </w:rPr>
                <w:t>130</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SHARES ELIGIBLE FOR FUTURE SALE</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136</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MATERIAL U.S. FEDERAL TAX CONSIDERATIONS FOR NON-U.S. HOLDERS</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45">
              <w:r>
                <w:rPr>
                  <w:rFonts w:ascii="Arial" w:cs="Arial" w:eastAsia="Arial" w:hAnsi="Arial"/>
                  <w:sz w:val="17"/>
                  <w:szCs w:val="17"/>
                  <w:color w:val="0000EE"/>
                </w:rPr>
                <w:t>139</w:t>
              </w:r>
            </w:hyperlink>
          </w:p>
        </w:tc>
        <w:tc>
          <w:tcPr>
            <w:tcW w:w="0" w:type="dxa"/>
            <w:vAlign w:val="bottom"/>
          </w:tcPr>
          <w:p>
            <w:pPr>
              <w:spacing w:after="0"/>
              <w:rPr>
                <w:sz w:val="1"/>
                <w:szCs w:val="1"/>
                <w:color w:val="auto"/>
              </w:rPr>
            </w:pPr>
          </w:p>
        </w:tc>
      </w:tr>
      <w:tr>
        <w:trPr>
          <w:trHeight w:val="190"/>
        </w:trPr>
        <w:tc>
          <w:tcPr>
            <w:tcW w:w="586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149">
              <w:r>
                <w:rPr>
                  <w:rFonts w:ascii="Arial" w:cs="Arial" w:eastAsia="Arial" w:hAnsi="Arial"/>
                  <w:sz w:val="17"/>
                  <w:szCs w:val="17"/>
                  <w:color w:val="0000EE"/>
                </w:rPr>
                <w:t>UNDERWRITING</w:t>
              </w:r>
            </w:hyperlink>
          </w:p>
        </w:tc>
        <w:tc>
          <w:tcPr>
            <w:tcW w:w="266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49">
              <w:r>
                <w:rPr>
                  <w:rFonts w:ascii="Arial" w:cs="Arial" w:eastAsia="Arial" w:hAnsi="Arial"/>
                  <w:sz w:val="17"/>
                  <w:szCs w:val="17"/>
                  <w:color w:val="0000EE"/>
                  <w:w w:val="77"/>
                </w:rPr>
                <w:t>143</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LEGAL MATTERS</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151</w:t>
              </w:r>
            </w:hyperlink>
          </w:p>
        </w:tc>
        <w:tc>
          <w:tcPr>
            <w:tcW w:w="0" w:type="dxa"/>
            <w:vAlign w:val="bottom"/>
          </w:tcPr>
          <w:p>
            <w:pPr>
              <w:spacing w:after="0"/>
              <w:rPr>
                <w:sz w:val="1"/>
                <w:szCs w:val="1"/>
                <w:color w:val="auto"/>
              </w:rPr>
            </w:pPr>
          </w:p>
        </w:tc>
      </w:tr>
      <w:tr>
        <w:trPr>
          <w:trHeight w:val="190"/>
        </w:trPr>
        <w:tc>
          <w:tcPr>
            <w:tcW w:w="1360" w:type="dxa"/>
            <w:vAlign w:val="bottom"/>
            <w:tcBorders>
              <w:top w:val="single" w:sz="8" w:color="0000EE"/>
            </w:tcBorders>
            <w:gridSpan w:val="8"/>
          </w:tcPr>
          <w:p>
            <w:pPr>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EXPERTS</w:t>
              </w:r>
            </w:hyperlink>
          </w:p>
        </w:tc>
        <w:tc>
          <w:tcPr>
            <w:tcW w:w="7160" w:type="dxa"/>
            <w:vAlign w:val="bottom"/>
            <w:gridSpan w:val="15"/>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0000EE"/>
            </w:tcBorders>
            <w:gridSpan w:val="4"/>
          </w:tcPr>
          <w:p>
            <w:pPr>
              <w:jc w:val="right"/>
              <w:ind w:right="20"/>
              <w:spacing w:after="0" w:line="189" w:lineRule="exact"/>
              <w:rPr>
                <w:rFonts w:ascii="Arial" w:cs="Arial" w:eastAsia="Arial" w:hAnsi="Arial"/>
                <w:sz w:val="17"/>
                <w:szCs w:val="17"/>
                <w:color w:val="0000EE"/>
                <w:w w:val="77"/>
              </w:rPr>
            </w:pPr>
            <w:hyperlink w:anchor="page157">
              <w:r>
                <w:rPr>
                  <w:rFonts w:ascii="Arial" w:cs="Arial" w:eastAsia="Arial" w:hAnsi="Arial"/>
                  <w:sz w:val="17"/>
                  <w:szCs w:val="17"/>
                  <w:color w:val="0000EE"/>
                  <w:w w:val="77"/>
                </w:rPr>
                <w:t>151</w:t>
              </w:r>
            </w:hyperlink>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gridSpan w:val="23"/>
          </w:tcPr>
          <w:p>
            <w:pPr>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WHERE YOU CAN FIND MORE INFORMATION</w:t>
              </w:r>
            </w:hyperlink>
          </w:p>
        </w:tc>
        <w:tc>
          <w:tcPr>
            <w:tcW w:w="460" w:type="dxa"/>
            <w:vAlign w:val="bottom"/>
            <w:gridSpan w:val="5"/>
          </w:tcPr>
          <w:p>
            <w:pPr>
              <w:jc w:val="right"/>
              <w:ind w:right="20"/>
              <w:spacing w:after="0" w:line="189" w:lineRule="exact"/>
              <w:rPr>
                <w:rFonts w:ascii="Arial" w:cs="Arial" w:eastAsia="Arial" w:hAnsi="Arial"/>
                <w:sz w:val="17"/>
                <w:szCs w:val="17"/>
                <w:color w:val="0000EE"/>
              </w:rPr>
            </w:pPr>
            <w:hyperlink w:anchor="page157">
              <w:r>
                <w:rPr>
                  <w:rFonts w:ascii="Arial" w:cs="Arial" w:eastAsia="Arial" w:hAnsi="Arial"/>
                  <w:sz w:val="17"/>
                  <w:szCs w:val="17"/>
                  <w:color w:val="0000EE"/>
                </w:rPr>
                <w:t>151</w:t>
              </w:r>
            </w:hyperlink>
          </w:p>
        </w:tc>
        <w:tc>
          <w:tcPr>
            <w:tcW w:w="0" w:type="dxa"/>
            <w:vAlign w:val="bottom"/>
          </w:tcPr>
          <w:p>
            <w:pPr>
              <w:spacing w:after="0"/>
              <w:rPr>
                <w:sz w:val="1"/>
                <w:szCs w:val="1"/>
                <w:color w:val="auto"/>
              </w:rPr>
            </w:pPr>
          </w:p>
        </w:tc>
      </w:tr>
      <w:tr>
        <w:trPr>
          <w:trHeight w:val="229"/>
        </w:trPr>
        <w:tc>
          <w:tcPr>
            <w:tcW w:w="1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40" w:type="dxa"/>
            <w:vAlign w:val="bottom"/>
            <w:tcBorders>
              <w:top w:val="single" w:sz="8" w:color="0000EE"/>
              <w:bottom w:val="single" w:sz="8" w:color="auto"/>
            </w:tcBorders>
          </w:tcPr>
          <w:p>
            <w:pPr>
              <w:spacing w:after="0"/>
              <w:rPr>
                <w:sz w:val="19"/>
                <w:szCs w:val="19"/>
                <w:color w:val="auto"/>
              </w:rPr>
            </w:pPr>
          </w:p>
        </w:tc>
        <w:tc>
          <w:tcPr>
            <w:tcW w:w="220" w:type="dxa"/>
            <w:vAlign w:val="bottom"/>
            <w:tcBorders>
              <w:top w:val="single" w:sz="8" w:color="0000EE"/>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in connection with this offering. We have not, the selling stockholders have not and the underwriters have not, authorized any other person to provide you with different information. If anyone provides you with different or inconsistent information, you should not rely on it. We are not, the selling stockholders are not and the underwriters are not, making an offer to sell these securities in any jurisdiction where an offer or sale is not permitted. You should assume that the information appearing in this prospectus is accurate as of the date on the front cover of this prospectus only.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124460</wp:posOffset>
            </wp:positionV>
            <wp:extent cx="1906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Until , 2013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5" w:lineRule="exact"/>
        <w:rPr>
          <w:sz w:val="20"/>
          <w:szCs w:val="20"/>
          <w:color w:val="auto"/>
        </w:rPr>
      </w:pPr>
    </w:p>
    <w:p>
      <w:pPr>
        <w:ind w:right="40" w:firstLine="341"/>
        <w:spacing w:after="0" w:line="320" w:lineRule="auto"/>
        <w:rPr>
          <w:sz w:val="20"/>
          <w:szCs w:val="20"/>
          <w:color w:val="auto"/>
        </w:rPr>
      </w:pPr>
      <w:r>
        <w:rPr>
          <w:rFonts w:ascii="Arial" w:cs="Arial" w:eastAsia="Arial" w:hAnsi="Arial"/>
          <w:sz w:val="16"/>
          <w:szCs w:val="16"/>
          <w:b w:val="1"/>
          <w:bCs w:val="1"/>
          <w:color w:val="auto"/>
        </w:rPr>
        <w:t>No action is being taken in any jurisdiction outside the United States of America, or U.S., to permit a public offering of the common stock or possession or distribution of this prospectus in that jurisdiction. Persons who come into possession of this prospectus in jurisdictions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color w:val="auto"/>
        </w:rPr>
        <w:t>outside the U.S. are required to inform themselves about and to observe any restrictions as to this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"Applied Optoelectronics, Inc.," "AOI" and our logo are registered trademarks of Applied Optoelectronics, Inc. This prospectus contains additional trade names, trademarks and service marks of ours and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113030</wp:posOffset>
            </wp:positionV>
            <wp:extent cx="1906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Unless the context otherwise requires, we use the terms "AOI," "we," "us" and "our" in this prospectus to refer to Applied Optoelectronics, Inc. and its subsidiaries.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7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appearing elsewhere in this prospectus.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left="240" w:firstLine="338"/>
        <w:spacing w:after="0" w:line="281" w:lineRule="auto"/>
        <w:rPr>
          <w:sz w:val="20"/>
          <w:szCs w:val="20"/>
          <w:color w:val="auto"/>
        </w:rPr>
      </w:pPr>
      <w:r>
        <w:rPr>
          <w:rFonts w:ascii="Arial" w:cs="Arial" w:eastAsia="Arial" w:hAnsi="Arial"/>
          <w:sz w:val="16"/>
          <w:szCs w:val="16"/>
          <w:color w:val="auto"/>
        </w:rPr>
        <w:t>We are a leading, vertically integrated provider of fiber-optic networking products, primarily for three networking end-markets: cable television, or CATV, fiber-to-the-home, or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76" w:lineRule="exact"/>
        <w:rPr>
          <w:sz w:val="20"/>
          <w:szCs w:val="20"/>
          <w:color w:val="auto"/>
        </w:rPr>
      </w:pPr>
    </w:p>
    <w:p>
      <w:pPr>
        <w:ind w:left="240" w:right="80" w:firstLine="338"/>
        <w:spacing w:after="0" w:line="262" w:lineRule="auto"/>
        <w:rPr>
          <w:sz w:val="20"/>
          <w:szCs w:val="20"/>
          <w:color w:val="auto"/>
        </w:rPr>
      </w:pPr>
      <w:r>
        <w:rPr>
          <w:rFonts w:ascii="Arial" w:cs="Arial" w:eastAsia="Arial" w:hAnsi="Arial"/>
          <w:sz w:val="17"/>
          <w:szCs w:val="17"/>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8" w:lineRule="exact"/>
        <w:rPr>
          <w:sz w:val="20"/>
          <w:szCs w:val="20"/>
          <w:color w:val="auto"/>
        </w:rPr>
      </w:pPr>
    </w:p>
    <w:p>
      <w:pPr>
        <w:ind w:left="240" w:firstLine="338"/>
        <w:spacing w:after="0" w:line="279" w:lineRule="auto"/>
        <w:rPr>
          <w:sz w:val="20"/>
          <w:szCs w:val="20"/>
          <w:color w:val="auto"/>
        </w:rPr>
      </w:pPr>
      <w:r>
        <w:rPr>
          <w:rFonts w:ascii="Arial" w:cs="Arial" w:eastAsia="Arial" w:hAnsi="Arial"/>
          <w:sz w:val="16"/>
          <w:szCs w:val="16"/>
          <w:color w:val="auto"/>
        </w:rPr>
        <w:t>The CATV market is our largest and most established market, for which we supply a broad array of products including lasers, transmitters and turn-key equipment. In 2012, we were the leading provider of optical components and the second largest provider of subsystems to the CATV industry, according to research firm Ovum Limited, or Ovum. Sales of headend, node and distribution equipment have contributed significantly to our growth in recent years as a result of our ability to meet the needs of CATV equipment vendors who have begun to outsource both the design and manufacture of this equipment. While equipment vendors have relie upon third parties to assemble portions of their products, within the past four years certain of our customers have accelerated the outsourcing of both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 industry dynamics.</w:t>
      </w:r>
    </w:p>
    <w:p>
      <w:pPr>
        <w:spacing w:after="0" w:line="177" w:lineRule="exact"/>
        <w:rPr>
          <w:sz w:val="20"/>
          <w:szCs w:val="20"/>
          <w:color w:val="auto"/>
        </w:rPr>
      </w:pPr>
    </w:p>
    <w:p>
      <w:pPr>
        <w:ind w:left="240" w:firstLine="341"/>
        <w:spacing w:after="0" w:line="294"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43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543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60"/>
        <w:spacing w:after="0" w:line="282" w:lineRule="auto"/>
        <w:rPr>
          <w:sz w:val="20"/>
          <w:szCs w:val="20"/>
          <w:color w:val="auto"/>
        </w:rPr>
      </w:pPr>
      <w:r>
        <w:rPr>
          <w:rFonts w:ascii="Arial" w:cs="Arial" w:eastAsia="Arial" w:hAnsi="Arial"/>
          <w:sz w:val="17"/>
          <w:szCs w:val="17"/>
          <w:color w:val="auto"/>
        </w:rPr>
        <w:t>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70" w:lineRule="exact"/>
        <w:rPr>
          <w:sz w:val="20"/>
          <w:szCs w:val="20"/>
          <w:color w:val="auto"/>
        </w:rPr>
      </w:pPr>
    </w:p>
    <w:p>
      <w:pPr>
        <w:ind w:left="240" w:firstLine="341"/>
        <w:spacing w:after="0" w:line="281" w:lineRule="auto"/>
        <w:rPr>
          <w:sz w:val="20"/>
          <w:szCs w:val="20"/>
          <w:color w:val="auto"/>
        </w:rPr>
      </w:pPr>
      <w:r>
        <w:rPr>
          <w:rFonts w:ascii="Arial" w:cs="Arial" w:eastAsia="Arial" w:hAnsi="Arial"/>
          <w:sz w:val="16"/>
          <w:szCs w:val="16"/>
          <w:color w:val="auto"/>
        </w:rPr>
        <w:t>In 2012, our revenue was $63.4 million and our gross margin was 29.8%. For the six month period ended June 30, 2013, our revenue was $33.9 million and our gross margin was 29.6%. We have grown our annual revenue at a CAGR of 36.4% between 2009 and 2012. In the years ended December 31, 2010, 2011 and 2012, and in the six-month periods ended June 30, 2012 and 2013, we incurred losses of $3.4 million, $5.3 million, $0.9 million, $0.6 million and $1.3 million, respectively and our accumulated deficit at December 31, 2012 and June 30, 2013 was $81.9 million and $83.2 million, respectively. Our key customers in the CATV market include Cisco Systems and Biogenomics Corp., a distributor. In 2010, 2011 and 2012, Cisco Systems accounted for 18.9%, 26.8% and 33.2%, respectively, of our revenue and Biogenomics Corp. accounted for 13.8%, 11.7% and 11.2%, respectively, of our revenue.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Background</w:t>
      </w:r>
    </w:p>
    <w:p>
      <w:pPr>
        <w:spacing w:after="0" w:line="228" w:lineRule="exact"/>
        <w:rPr>
          <w:sz w:val="20"/>
          <w:szCs w:val="20"/>
          <w:color w:val="auto"/>
        </w:rPr>
      </w:pPr>
    </w:p>
    <w:p>
      <w:pPr>
        <w:ind w:left="240" w:right="840" w:firstLine="341"/>
        <w:spacing w:after="0" w:line="282" w:lineRule="auto"/>
        <w:rPr>
          <w:sz w:val="20"/>
          <w:szCs w:val="20"/>
          <w:color w:val="auto"/>
        </w:rPr>
      </w:pPr>
      <w:r>
        <w:rPr>
          <w:rFonts w:ascii="Arial" w:cs="Arial" w:eastAsia="Arial" w:hAnsi="Arial"/>
          <w:sz w:val="17"/>
          <w:szCs w:val="17"/>
          <w:color w:val="auto"/>
        </w:rPr>
        <w:t>Our three target markets of CATV, FTTH and internet data centers share a common trend of a significant growth in bandwidth consumption, and the corresponding need for network infrastructure improvement to support it.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prevailing themes in our target markets include:</w:t>
      </w:r>
    </w:p>
    <w:p>
      <w:pPr>
        <w:spacing w:after="0" w:line="250" w:lineRule="exact"/>
        <w:rPr>
          <w:sz w:val="20"/>
          <w:szCs w:val="20"/>
          <w:color w:val="auto"/>
        </w:rPr>
      </w:pPr>
    </w:p>
    <w:p>
      <w:pPr>
        <w:ind w:left="1280" w:hanging="524"/>
        <w:spacing w:after="0" w:line="315"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CATV Market. </w:t>
      </w:r>
      <w:r>
        <w:rPr>
          <w:rFonts w:ascii="Arial" w:cs="Arial" w:eastAsia="Arial" w:hAnsi="Arial"/>
          <w:sz w:val="16"/>
          <w:szCs w:val="16"/>
          <w:color w:val="auto"/>
        </w:rPr>
        <w:t>In recent years, CATV service providers have invested extensively to support high speed, two-way communications,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that they will continue to do so, particularly in countries with less developed CATV networks, such as China.</w:t>
      </w:r>
    </w:p>
    <w:p>
      <w:pPr>
        <w:spacing w:after="0" w:line="185" w:lineRule="exact"/>
        <w:rPr>
          <w:rFonts w:ascii="Arial" w:cs="Arial" w:eastAsia="Arial" w:hAnsi="Arial"/>
          <w:sz w:val="16"/>
          <w:szCs w:val="16"/>
          <w:color w:val="auto"/>
        </w:rPr>
      </w:pPr>
    </w:p>
    <w:p>
      <w:pPr>
        <w:jc w:val="both"/>
        <w:ind w:left="1280"/>
        <w:spacing w:after="0" w:line="270" w:lineRule="auto"/>
        <w:rPr>
          <w:rFonts w:ascii="Arial" w:cs="Arial" w:eastAsia="Arial" w:hAnsi="Arial"/>
          <w:sz w:val="16"/>
          <w:szCs w:val="16"/>
          <w:color w:val="auto"/>
        </w:rPr>
      </w:pPr>
      <w:r>
        <w:rPr>
          <w:rFonts w:ascii="Arial" w:cs="Arial" w:eastAsia="Arial" w:hAnsi="Arial"/>
          <w:sz w:val="17"/>
          <w:szCs w:val="17"/>
          <w:color w:val="auto"/>
        </w:rPr>
        <w:t>While equipment vendors have historically only relied upon third parties to assemble portions of their products, within the past four years certain of o customers have accelerated the outsourcing of both the design and manufacturing of both headend equipment and node equipment to third parties. The shift is due in part to the sophisticated engineering expertise needed to perform this work.</w:t>
      </w:r>
    </w:p>
    <w:p>
      <w:pPr>
        <w:spacing w:after="0" w:line="192" w:lineRule="exact"/>
        <w:rPr>
          <w:rFonts w:ascii="Arial" w:cs="Arial" w:eastAsia="Arial" w:hAnsi="Arial"/>
          <w:sz w:val="16"/>
          <w:szCs w:val="16"/>
          <w:color w:val="auto"/>
        </w:rPr>
      </w:pPr>
    </w:p>
    <w:p>
      <w:pPr>
        <w:ind w:left="1280" w:right="20" w:hanging="524"/>
        <w:spacing w:after="0" w:line="283"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Trends in the FTTH Market. </w:t>
      </w:r>
      <w:r>
        <w:rPr>
          <w:rFonts w:ascii="Arial" w:cs="Arial" w:eastAsia="Arial" w:hAnsi="Arial"/>
          <w:sz w:val="16"/>
          <w:szCs w:val="16"/>
          <w:color w:val="auto"/>
        </w:rPr>
        <w:t>The FTTH market generally refers to the Passive Optical Networks, or PONs, that telecommunications service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deploying. The most commonly deployed PON technology is Gigabit PON, or GPON, which delivers up to 2.5 gigabits per second of data, but du to the splitting of the bandwidth among multiple users, the actual bandwidth delivered to an individual subscriber is far less than 2.5 gigabits per second. One approach that does support true 1 gigabit per second service to the home is wavelength division multiplexing PON, or WDM-PON, a technology that enables the transmission of multiple wavelengths of data over a single fiber-optic strand.</w:t>
      </w:r>
    </w:p>
    <w:p>
      <w:pPr>
        <w:spacing w:after="0" w:line="199" w:lineRule="exact"/>
        <w:rPr>
          <w:rFonts w:ascii="Arial" w:cs="Arial" w:eastAsia="Arial" w:hAnsi="Arial"/>
          <w:sz w:val="16"/>
          <w:szCs w:val="16"/>
          <w:color w:val="auto"/>
        </w:rPr>
      </w:pPr>
    </w:p>
    <w:p>
      <w:pPr>
        <w:ind w:left="1280" w:hanging="524"/>
        <w:spacing w:after="0" w:line="262"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Internet Data Center Market. </w:t>
      </w:r>
      <w:r>
        <w:rPr>
          <w:rFonts w:ascii="Arial" w:cs="Arial" w:eastAsia="Arial" w:hAnsi="Arial"/>
          <w:sz w:val="17"/>
          <w:szCs w:val="17"/>
          <w:color w:val="auto"/>
        </w:rPr>
        <w:t>To support the substantial increase in bandwidth consumption, internet data center operators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the scale of their internet data centers and accelerating data transmission rates. As a result, there is an ongoing transition from the use of copper cable to optical fiber as a transport medium. In recent years, a number of leading Internet companies have begun to adopt more open internet data center architectures, using a mix of systems and components from a variety of vendors, and in some cases designing their own equipment. For these companies, compatibility of new networking equipment with legacy infrastructure is not as important, and as a consequence, these companies ar more willing to work 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98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59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non-traditional equipment vendors, which creates an open and growing opportunity for optical device vendors.</w:t>
      </w:r>
    </w:p>
    <w:p>
      <w:pPr>
        <w:spacing w:after="0" w:line="224" w:lineRule="exact"/>
        <w:rPr>
          <w:sz w:val="20"/>
          <w:szCs w:val="20"/>
          <w:color w:val="auto"/>
        </w:rPr>
      </w:pPr>
    </w:p>
    <w:p>
      <w:pPr>
        <w:ind w:left="240" w:firstLine="338"/>
        <w:spacing w:after="0" w:line="282" w:lineRule="auto"/>
        <w:rPr>
          <w:sz w:val="20"/>
          <w:szCs w:val="20"/>
          <w:color w:val="auto"/>
        </w:rPr>
      </w:pPr>
      <w:r>
        <w:rPr>
          <w:rFonts w:ascii="Arial" w:cs="Arial" w:eastAsia="Arial" w:hAnsi="Arial"/>
          <w:sz w:val="17"/>
          <w:szCs w:val="17"/>
          <w:color w:val="auto"/>
        </w:rPr>
        <w:t>We experience certain challenges within our target markets, including continuous pressure to innovate and deliver highly integrated products that perform reliabl in harsh, demanding environments and to produce high-quality devices in large volumes.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By addressing the challenges in our target markets, we provide the following benefits to our customers:</w:t>
      </w:r>
    </w:p>
    <w:p>
      <w:pPr>
        <w:spacing w:after="0" w:line="250" w:lineRule="exact"/>
        <w:rPr>
          <w:sz w:val="20"/>
          <w:szCs w:val="20"/>
          <w:color w:val="auto"/>
        </w:rPr>
      </w:pPr>
    </w:p>
    <w:p>
      <w:pPr>
        <w:ind w:left="1280" w:right="20" w:hanging="524"/>
        <w:spacing w:after="0" w:line="315"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Enable customers to deliver innovative products. </w:t>
      </w:r>
      <w:r>
        <w:rPr>
          <w:rFonts w:ascii="Arial" w:cs="Arial" w:eastAsia="Arial" w:hAnsi="Arial"/>
          <w:sz w:val="16"/>
          <w:szCs w:val="16"/>
          <w:color w:val="auto"/>
        </w:rPr>
        <w:t>We leverage our deep expertise in high-speed optical, mixed-signal semiconductor and mechanical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our proprietary MBE laser fabrication process to deliver technologically advanced products to our customers.</w:t>
      </w:r>
    </w:p>
    <w:p>
      <w:pPr>
        <w:spacing w:after="0" w:line="159" w:lineRule="exact"/>
        <w:rPr>
          <w:rFonts w:ascii="Arial" w:cs="Arial" w:eastAsia="Arial" w:hAnsi="Arial"/>
          <w:sz w:val="16"/>
          <w:szCs w:val="16"/>
          <w:color w:val="auto"/>
        </w:rPr>
      </w:pPr>
    </w:p>
    <w:p>
      <w:pPr>
        <w:ind w:left="1280" w:right="460" w:hanging="524"/>
        <w:spacing w:after="0" w:line="352" w:lineRule="auto"/>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Enhance efficiency and cost effectiveness of our customers' supply chain. </w:t>
      </w:r>
      <w:r>
        <w:rPr>
          <w:rFonts w:ascii="Arial" w:cs="Arial" w:eastAsia="Arial" w:hAnsi="Arial"/>
          <w:sz w:val="15"/>
          <w:szCs w:val="15"/>
          <w:color w:val="auto"/>
        </w:rPr>
        <w:t>We design and sell products at the level of integration desired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from components to turn-key equipment, providing our customers a dependable, cost-effective and simplified supply chain.</w:t>
      </w:r>
    </w:p>
    <w:p>
      <w:pPr>
        <w:spacing w:after="0" w:line="136" w:lineRule="exact"/>
        <w:rPr>
          <w:rFonts w:ascii="Arial" w:cs="Arial" w:eastAsia="Arial" w:hAnsi="Arial"/>
          <w:sz w:val="15"/>
          <w:szCs w:val="15"/>
          <w:color w:val="auto"/>
        </w:rPr>
      </w:pPr>
    </w:p>
    <w:p>
      <w:pPr>
        <w:ind w:left="1280" w:right="40" w:hanging="524"/>
        <w:spacing w:after="0" w:line="294"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With manufacturing facilities in t U.S., Taiwan and China, we can support high volume production and timely delivery for our customers around the world.</w:t>
      </w:r>
    </w:p>
    <w:p>
      <w:pPr>
        <w:spacing w:after="0" w:line="189" w:lineRule="exact"/>
        <w:rPr>
          <w:rFonts w:ascii="Arial" w:cs="Arial" w:eastAsia="Arial" w:hAnsi="Arial"/>
          <w:sz w:val="16"/>
          <w:szCs w:val="16"/>
          <w:color w:val="auto"/>
        </w:rPr>
      </w:pPr>
    </w:p>
    <w:p>
      <w:pPr>
        <w:ind w:left="1280" w:right="40" w:hanging="524"/>
        <w:spacing w:after="0" w:line="315"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Provide sophisticated design solutions to our customers. </w:t>
      </w:r>
      <w:r>
        <w:rPr>
          <w:rFonts w:ascii="Arial" w:cs="Arial" w:eastAsia="Arial" w:hAnsi="Arial"/>
          <w:sz w:val="16"/>
          <w:szCs w:val="16"/>
          <w:color w:val="auto"/>
        </w:rPr>
        <w:t>We believe our in-house expertise in both analog and digital optical engineering enables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design comprehensive solutions that meet many of the different network architectures and protocols used by our customers.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Strengths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key competitive strengths include the following:</w:t>
      </w:r>
    </w:p>
    <w:p>
      <w:pPr>
        <w:spacing w:after="0" w:line="237" w:lineRule="exact"/>
        <w:rPr>
          <w:sz w:val="20"/>
          <w:szCs w:val="20"/>
          <w:color w:val="auto"/>
        </w:rPr>
      </w:pPr>
    </w:p>
    <w:p>
      <w:pPr>
        <w:ind w:left="1280" w:right="80" w:hanging="524"/>
        <w:spacing w:after="0" w:line="28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Industry-leading position in the CATV market. </w:t>
      </w:r>
      <w:r>
        <w:rPr>
          <w:rFonts w:ascii="Arial" w:cs="Arial" w:eastAsia="Arial" w:hAnsi="Arial"/>
          <w:sz w:val="17"/>
          <w:szCs w:val="17"/>
          <w:color w:val="auto"/>
        </w:rPr>
        <w:t>We are the leading provider of optical components and the second largest provider of subsystems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CATV market, according to Ovum.</w:t>
      </w:r>
    </w:p>
    <w:p>
      <w:pPr>
        <w:spacing w:after="0" w:line="182" w:lineRule="exact"/>
        <w:rPr>
          <w:rFonts w:ascii="Arial" w:cs="Arial" w:eastAsia="Arial" w:hAnsi="Arial"/>
          <w:sz w:val="17"/>
          <w:szCs w:val="17"/>
          <w:color w:val="auto"/>
        </w:rPr>
      </w:pPr>
    </w:p>
    <w:p>
      <w:pPr>
        <w:ind w:left="1280" w:right="260" w:hanging="524"/>
        <w:spacing w:after="0" w:line="28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technological expertise and track record of innovation. </w:t>
      </w:r>
      <w:r>
        <w:rPr>
          <w:rFonts w:ascii="Arial" w:cs="Arial" w:eastAsia="Arial" w:hAnsi="Arial"/>
          <w:sz w:val="17"/>
          <w:szCs w:val="17"/>
          <w:color w:val="auto"/>
        </w:rPr>
        <w:t>We continue to develop innovative products by leveraging our technological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including our proprietary MBE laser fabrication process.</w:t>
      </w:r>
    </w:p>
    <w:p>
      <w:pPr>
        <w:spacing w:after="0" w:line="196" w:lineRule="exact"/>
        <w:rPr>
          <w:rFonts w:ascii="Arial" w:cs="Arial" w:eastAsia="Arial" w:hAnsi="Arial"/>
          <w:sz w:val="17"/>
          <w:szCs w:val="17"/>
          <w:color w:val="auto"/>
        </w:rPr>
      </w:pPr>
    </w:p>
    <w:p>
      <w:pPr>
        <w:ind w:left="1280" w:right="80" w:hanging="524"/>
        <w:spacing w:after="0" w:line="315"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customized products. </w:t>
      </w:r>
      <w:r>
        <w:rPr>
          <w:rFonts w:ascii="Arial" w:cs="Arial" w:eastAsia="Arial" w:hAnsi="Arial"/>
          <w:sz w:val="16"/>
          <w:szCs w:val="16"/>
          <w:color w:val="auto"/>
        </w:rPr>
        <w:t>Most of our products have some level of customization, making it more difficult for our customers to switch rapidly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another supplier. We believe this element of customization contributes to longer product lifecycles and more stable product pricing.</w:t>
      </w:r>
    </w:p>
    <w:p>
      <w:pPr>
        <w:spacing w:after="0" w:line="159" w:lineRule="exact"/>
        <w:rPr>
          <w:rFonts w:ascii="Arial" w:cs="Arial" w:eastAsia="Arial" w:hAnsi="Arial"/>
          <w:sz w:val="16"/>
          <w:szCs w:val="16"/>
          <w:color w:val="auto"/>
        </w:rPr>
      </w:pPr>
    </w:p>
    <w:p>
      <w:pPr>
        <w:ind w:left="1280" w:right="260" w:hanging="524"/>
        <w:spacing w:after="0" w:line="282"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system design capabilities. </w:t>
      </w:r>
      <w:r>
        <w:rPr>
          <w:rFonts w:ascii="Arial" w:cs="Arial" w:eastAsia="Arial" w:hAnsi="Arial"/>
          <w:sz w:val="17"/>
          <w:szCs w:val="17"/>
          <w:color w:val="auto"/>
        </w:rPr>
        <w:t>We have deep expertise and proven design capabilities in high-speed optical, mixed-signal semiconductor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mechanical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5848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84835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Our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engineering, which we believe position us to take advantage of the continuing shift to outsourced design and manufacturing among CATV equipment vendors.</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 encompasses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553" w:lineRule="exact"/>
        <w:rPr>
          <w:sz w:val="20"/>
          <w:szCs w:val="20"/>
          <w:color w:val="auto"/>
        </w:rPr>
      </w:pPr>
    </w:p>
    <w:p>
      <w:pPr>
        <w:sectPr>
          <w:pgSz w:w="11900" w:h="16838" w:orient="portrait"/>
          <w:cols w:equalWidth="0" w:num="2">
            <w:col w:w="1200" w:space="80"/>
            <w:col w:w="10240"/>
          </w:cols>
          <w:pgMar w:left="240" w:top="131" w:right="139" w:bottom="1440" w:gutter="0" w:footer="0" w:header="0"/>
          <w:type w:val="continuous"/>
        </w:sectPr>
      </w:pPr>
    </w:p>
    <w:p>
      <w:pPr>
        <w:spacing w:after="0" w:line="51" w:lineRule="exact"/>
        <w:rPr>
          <w:sz w:val="20"/>
          <w:szCs w:val="20"/>
          <w:color w:val="auto"/>
        </w:rPr>
      </w:pPr>
    </w:p>
    <w:p>
      <w:pPr>
        <w:ind w:left="240" w:right="200" w:firstLine="338"/>
        <w:spacing w:after="0" w:line="282" w:lineRule="auto"/>
        <w:rPr>
          <w:sz w:val="20"/>
          <w:szCs w:val="20"/>
          <w:color w:val="auto"/>
        </w:rPr>
      </w:pPr>
      <w:r>
        <w:rPr>
          <w:rFonts w:ascii="Arial" w:cs="Arial" w:eastAsia="Arial" w:hAnsi="Arial"/>
          <w:sz w:val="17"/>
          <w:szCs w:val="17"/>
          <w:color w:val="auto"/>
        </w:rPr>
        <w:t>We seek to be the leading global provider of optical components, modules and equipment for each of our three target markets, CATV, FTTH and internet data centers. Our strategy includes the following key elements:</w:t>
      </w:r>
    </w:p>
    <w:p>
      <w:pPr>
        <w:spacing w:after="0" w:line="183" w:lineRule="exact"/>
        <w:rPr>
          <w:sz w:val="20"/>
          <w:szCs w:val="20"/>
          <w:color w:val="auto"/>
        </w:rPr>
      </w:pPr>
    </w:p>
    <w:p>
      <w:pPr>
        <w:ind w:left="1280" w:right="260" w:hanging="524"/>
        <w:spacing w:after="0" w:line="270"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our leadership in CATV networking. </w:t>
      </w:r>
      <w:r>
        <w:rPr>
          <w:rFonts w:ascii="Arial" w:cs="Arial" w:eastAsia="Arial" w:hAnsi="Arial"/>
          <w:sz w:val="17"/>
          <w:szCs w:val="17"/>
          <w:color w:val="auto"/>
        </w:rPr>
        <w:t>We intend to maintain our position as the leading producer of optical components used in CATV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and to capture an increasing share of the CATV equipment market as the major equipment vendors continue to outsource the design and manufacturing of such products.</w:t>
      </w:r>
    </w:p>
    <w:p>
      <w:pPr>
        <w:spacing w:after="0" w:line="192" w:lineRule="exact"/>
        <w:rPr>
          <w:rFonts w:ascii="Arial" w:cs="Arial" w:eastAsia="Arial" w:hAnsi="Arial"/>
          <w:sz w:val="17"/>
          <w:szCs w:val="17"/>
          <w:color w:val="auto"/>
        </w:rPr>
      </w:pPr>
    </w:p>
    <w:p>
      <w:pPr>
        <w:ind w:left="1280" w:right="120" w:hanging="524"/>
        <w:spacing w:after="0" w:line="26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penetrate FTTH and internet data center markets. </w:t>
      </w:r>
      <w:r>
        <w:rPr>
          <w:rFonts w:ascii="Arial" w:cs="Arial" w:eastAsia="Arial" w:hAnsi="Arial"/>
          <w:sz w:val="17"/>
          <w:szCs w:val="17"/>
          <w:color w:val="auto"/>
        </w:rPr>
        <w:t>We believe our WDM-PON technology is a cost-effective solution for delivering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greater bandwidth to a residence. In the internet data center, we target internet data center operators who have adopted an open system architecture—one in which the optical connectivity solutions can be provided by a different vendor than the vendor which provides their servers and switches.</w:t>
      </w:r>
    </w:p>
    <w:p>
      <w:pPr>
        <w:spacing w:after="0" w:line="211" w:lineRule="exact"/>
        <w:rPr>
          <w:rFonts w:ascii="Arial" w:cs="Arial" w:eastAsia="Arial" w:hAnsi="Arial"/>
          <w:sz w:val="17"/>
          <w:szCs w:val="17"/>
          <w:color w:val="auto"/>
        </w:rPr>
      </w:pPr>
    </w:p>
    <w:p>
      <w:pPr>
        <w:ind w:left="1280" w:right="42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invest in our capabilities and infrastructure. </w:t>
      </w:r>
      <w:r>
        <w:rPr>
          <w:rFonts w:ascii="Arial" w:cs="Arial" w:eastAsia="Arial" w:hAnsi="Arial"/>
          <w:sz w:val="17"/>
          <w:szCs w:val="17"/>
          <w:color w:val="auto"/>
        </w:rPr>
        <w:t>We intend to continue to invest in new products, new technology and our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infrastructure and facilities to maintain and strengthen our competitive position.</w:t>
      </w:r>
    </w:p>
    <w:p>
      <w:pPr>
        <w:spacing w:after="0" w:line="182" w:lineRule="exact"/>
        <w:rPr>
          <w:rFonts w:ascii="Arial" w:cs="Arial" w:eastAsia="Arial" w:hAnsi="Arial"/>
          <w:sz w:val="17"/>
          <w:szCs w:val="17"/>
          <w:color w:val="auto"/>
        </w:rPr>
      </w:pPr>
    </w:p>
    <w:p>
      <w:pPr>
        <w:jc w:val="both"/>
        <w:ind w:left="1280" w:hanging="524"/>
        <w:spacing w:after="0" w:line="294" w:lineRule="auto"/>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75" w:lineRule="exact"/>
        <w:rPr>
          <w:rFonts w:ascii="Arial" w:cs="Arial" w:eastAsia="Arial" w:hAnsi="Arial"/>
          <w:sz w:val="16"/>
          <w:szCs w:val="16"/>
          <w:color w:val="auto"/>
        </w:rPr>
      </w:pPr>
    </w:p>
    <w:p>
      <w:pPr>
        <w:ind w:left="1280" w:right="80" w:hanging="524"/>
        <w:spacing w:after="0" w:line="352" w:lineRule="auto"/>
        <w:tabs>
          <w:tab w:leader="none" w:pos="12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Pursue complementary acquisition and strategic alliance opportunities. </w:t>
      </w:r>
      <w:r>
        <w:rPr>
          <w:rFonts w:ascii="Arial" w:cs="Arial" w:eastAsia="Arial" w:hAnsi="Arial"/>
          <w:sz w:val="15"/>
          <w:szCs w:val="15"/>
          <w:color w:val="auto"/>
        </w:rPr>
        <w:t>We evaluate and selectively pursue acquisition opportunities or strategic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alliances that we believe will enhance or complement our current product offerings, augment our technology roadmap, or diversify our revenue base.</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left="240" w:right="460" w:firstLine="341"/>
        <w:spacing w:after="0" w:line="282" w:lineRule="auto"/>
        <w:rPr>
          <w:sz w:val="20"/>
          <w:szCs w:val="20"/>
          <w:color w:val="auto"/>
        </w:rPr>
      </w:pPr>
      <w:r>
        <w:rPr>
          <w:rFonts w:ascii="Arial" w:cs="Arial" w:eastAsia="Arial" w:hAnsi="Arial"/>
          <w:sz w:val="17"/>
          <w:szCs w:val="17"/>
          <w:color w:val="auto"/>
        </w:rPr>
        <w:t>Our business is subject to numerous risks and uncertainties, such as those highlighted in the "Risk Factors" section immediately following this prospectus summary, including:</w:t>
      </w:r>
    </w:p>
    <w:p>
      <w:pPr>
        <w:spacing w:after="0" w:line="196" w:lineRule="exact"/>
        <w:rPr>
          <w:sz w:val="20"/>
          <w:szCs w:val="20"/>
          <w:color w:val="auto"/>
        </w:rPr>
      </w:pPr>
    </w:p>
    <w:p>
      <w:pPr>
        <w:ind w:left="12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dependent on our key customers for a significant portion of our revenue and the loss of, or a significant reduction in orders from, any of our ke customers would adversely impact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475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347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customers do not qualify our products for use on a timely basis, our results of operations may suffer;</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Customer demand is difficult to forecast accurately and, as a result, we may be unable to match production with customer demand;</w:t>
      </w:r>
    </w:p>
    <w:p>
      <w:pPr>
        <w:spacing w:after="0" w:line="237"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subject to the cyclical nature of the markets in which we compete and any future downturn will likely reduce demand for our products and revenue;</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CATV, FTTH and internet data center markets do not continue to develop as we expect, or if there is any downturn in these markets, our busines would be materially adversely affected;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encounter manufacturing problems, we may lose sales and damage our customer relationships;</w:t>
      </w:r>
    </w:p>
    <w:p>
      <w:pPr>
        <w:spacing w:after="0" w:line="237" w:lineRule="exact"/>
        <w:rPr>
          <w:rFonts w:ascii="Arial" w:cs="Arial" w:eastAsia="Arial" w:hAnsi="Arial"/>
          <w:sz w:val="17"/>
          <w:szCs w:val="17"/>
          <w:color w:val="auto"/>
        </w:rPr>
      </w:pPr>
    </w:p>
    <w:p>
      <w:pPr>
        <w:ind w:left="1280" w:right="3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must continually develop successful new products and enhance existing products, and if we fail to do so or if our release of new or enhanced products is delayed, our business may be harmed;</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Given the high fixed costs associated with our vertically integrated business, a reduction in demand for our products could materially adversely impac our gross profits and our results of operations;</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intense competition which could negatively impact our results of operations and market share;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substantial manufacturing assets in China, and in 2012 we derived approximately 29% of our revenue from sales in China.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1910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right="80" w:firstLine="338"/>
        <w:spacing w:after="0" w:line="287" w:lineRule="auto"/>
        <w:rPr>
          <w:sz w:val="20"/>
          <w:szCs w:val="20"/>
          <w:color w:val="auto"/>
        </w:rPr>
      </w:pPr>
      <w:r>
        <w:rPr>
          <w:rFonts w:ascii="Arial" w:cs="Arial" w:eastAsia="Arial" w:hAnsi="Arial"/>
          <w:sz w:val="16"/>
          <w:szCs w:val="16"/>
          <w:color w:val="auto"/>
        </w:rPr>
        <w:t>We were incorporated in the State of Texas in 1997. In March 2013, Applied Optoelectronics, Inc., a Texas corporation, converted into a Delaware corporation. Our principal executive offices are located at 13115 Jess Pirtle Blvd., Sugar Land, TX 77478, and our telephone number is (281) 295-1800. Our website address is www.ao-inc.com. Information contained on our website is not incorporated by reference into this prospectus, and you should not consider information contained on our website as part of this prospectus or in deciding whether to purchase shares of our common stock.</w:t>
      </w:r>
    </w:p>
    <w:p>
      <w:pPr>
        <w:spacing w:after="0" w:line="169" w:lineRule="exact"/>
        <w:rPr>
          <w:sz w:val="20"/>
          <w:szCs w:val="20"/>
          <w:color w:val="auto"/>
        </w:rPr>
      </w:pPr>
    </w:p>
    <w:p>
      <w:pPr>
        <w:ind w:left="240" w:firstLine="338"/>
        <w:spacing w:after="0" w:line="270" w:lineRule="auto"/>
        <w:rPr>
          <w:sz w:val="20"/>
          <w:szCs w:val="20"/>
          <w:color w:val="auto"/>
        </w:rPr>
      </w:pPr>
      <w:r>
        <w:rPr>
          <w:rFonts w:ascii="Arial" w:cs="Arial" w:eastAsia="Arial" w:hAnsi="Arial"/>
          <w:sz w:val="17"/>
          <w:szCs w:val="17"/>
          <w:color w:val="auto"/>
        </w:rPr>
        <w:t>We have registered the trademarks APPLIED OPTOELECTRONICS, INC., AOI and its respective logo with the U.S. Patent and Trademark Office. These mark are also registered in, or have applications for registration pending in, various foreign trademark offices. Other trademarks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007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500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520"/>
          </w:cols>
          <w:pgMar w:left="240" w:top="131" w:right="139" w:bottom="1440" w:gutter="0" w:footer="0" w:header="0"/>
        </w:sect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3,600,000 Shares</w:t>
      </w:r>
    </w:p>
    <w:p>
      <w:pPr>
        <w:spacing w:after="0" w:line="211" w:lineRule="exact"/>
        <w:rPr>
          <w:sz w:val="20"/>
          <w:szCs w:val="20"/>
          <w:color w:val="auto"/>
        </w:rPr>
      </w:pPr>
    </w:p>
    <w:p>
      <w:pPr>
        <w:sectPr>
          <w:pgSz w:w="11900" w:h="16838" w:orient="portrait"/>
          <w:cols w:equalWidth="0" w:num="2">
            <w:col w:w="3860" w:space="720"/>
            <w:col w:w="694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Over-allotment option granted by selling stockholders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540,000 Shares</w:t>
      </w:r>
    </w:p>
    <w:p>
      <w:pPr>
        <w:spacing w:after="0" w:line="211" w:lineRule="exact"/>
        <w:rPr>
          <w:sz w:val="20"/>
          <w:szCs w:val="20"/>
          <w:color w:val="auto"/>
        </w:rPr>
      </w:pPr>
    </w:p>
    <w:p>
      <w:pPr>
        <w:sectPr>
          <w:pgSz w:w="11900" w:h="16838" w:orient="portrait"/>
          <w:cols w:equalWidth="0" w:num="2">
            <w:col w:w="3920" w:space="660"/>
            <w:col w:w="694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common stock to be outstanding after this offering</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12,609,648 Shares</w:t>
      </w:r>
    </w:p>
    <w:p>
      <w:pPr>
        <w:spacing w:after="0" w:line="211" w:lineRule="exact"/>
        <w:rPr>
          <w:sz w:val="20"/>
          <w:szCs w:val="20"/>
          <w:color w:val="auto"/>
        </w:rPr>
      </w:pPr>
    </w:p>
    <w:p>
      <w:pPr>
        <w:sectPr>
          <w:pgSz w:w="11900" w:h="16838" w:orient="portrait"/>
          <w:cols w:equalWidth="0" w:num="2">
            <w:col w:w="4060" w:space="520"/>
            <w:col w:w="6940"/>
          </w:cols>
          <w:pgMar w:left="240" w:top="131" w:right="139" w:bottom="1440" w:gutter="0" w:footer="0" w:header="0"/>
          <w:type w:val="continuous"/>
        </w:sectPr>
      </w:pPr>
    </w:p>
    <w:p>
      <w:pPr>
        <w:spacing w:after="0" w:line="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estimate that the net proceeds of the sale of our common stock in this offering will be approximately $44.2 million, based on an assumed initial public offering price of $14.00 per share, which is the midpoint of the range listed on the cover page of this prospectus. We may use approximately $13.0 million of our net proceeds to repay outstanding indebtedness, which currently has interest rates ranging from 4.375% to 6.875% per annum and maturity dates ranging from September 2013 to November 2014, and we may use approximately $10.0 million to invest in capital expenditures. We intend to use the remaining net proceeds from this offering for working capital and other general corporate purposes. Our management will have broad discretion in the application of ou net proceeds from this offering, and investors will be relying on management's judgment regarding th application of these net proceeds. See "Use of Proceeds."</w:t>
      </w:r>
    </w:p>
    <w:p>
      <w:pPr>
        <w:spacing w:after="0" w:line="176" w:lineRule="exact"/>
        <w:rPr>
          <w:sz w:val="20"/>
          <w:szCs w:val="20"/>
          <w:color w:val="auto"/>
        </w:rPr>
      </w:pPr>
    </w:p>
    <w:p>
      <w:pPr>
        <w:sectPr>
          <w:pgSz w:w="11900" w:h="16838" w:orient="portrait"/>
          <w:cols w:equalWidth="0" w:num="2">
            <w:col w:w="3860" w:space="720"/>
            <w:col w:w="694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AAOI</w:t>
      </w:r>
    </w:p>
    <w:p>
      <w:pPr>
        <w:spacing w:after="0" w:line="200" w:lineRule="exact"/>
        <w:rPr>
          <w:sz w:val="20"/>
          <w:szCs w:val="20"/>
          <w:color w:val="auto"/>
        </w:rPr>
      </w:pPr>
    </w:p>
    <w:p>
      <w:pPr>
        <w:sectPr>
          <w:pgSz w:w="11900" w:h="16838" w:orient="portrait"/>
          <w:cols w:equalWidth="0" w:num="2">
            <w:col w:w="3860" w:space="720"/>
            <w:col w:w="6940"/>
          </w:cols>
          <w:pgMar w:left="240" w:top="131" w:right="139" w:bottom="1440" w:gutter="0" w:footer="0" w:header="0"/>
          <w:type w:val="continuous"/>
        </w:sectPr>
      </w:pPr>
    </w:p>
    <w:p>
      <w:pPr>
        <w:spacing w:after="0" w:line="24" w:lineRule="exact"/>
        <w:rPr>
          <w:sz w:val="20"/>
          <w:szCs w:val="20"/>
          <w:color w:val="auto"/>
        </w:rPr>
      </w:pPr>
    </w:p>
    <w:p>
      <w:pPr>
        <w:ind w:left="240" w:right="220" w:firstLine="338"/>
        <w:spacing w:after="0" w:line="282" w:lineRule="auto"/>
        <w:rPr>
          <w:sz w:val="20"/>
          <w:szCs w:val="20"/>
          <w:color w:val="auto"/>
        </w:rPr>
      </w:pPr>
      <w:r>
        <w:rPr>
          <w:rFonts w:ascii="Arial" w:cs="Arial" w:eastAsia="Arial" w:hAnsi="Arial"/>
          <w:sz w:val="17"/>
          <w:szCs w:val="17"/>
          <w:color w:val="auto"/>
        </w:rPr>
        <w:t>The number of shares of our common stock to be outstanding after this offering is based on 9,009,648 shares of our common stock outstanding as of June 30, 2013. This number of shares does not include:</w:t>
      </w:r>
    </w:p>
    <w:p>
      <w:pPr>
        <w:spacing w:after="0" w:line="196"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5"/>
          <w:szCs w:val="15"/>
          <w:color w:val="auto"/>
        </w:rPr>
      </w:pPr>
      <w:r>
        <w:rPr>
          <w:rFonts w:ascii="Arial" w:cs="Arial" w:eastAsia="Arial" w:hAnsi="Arial"/>
          <w:sz w:val="15"/>
          <w:szCs w:val="15"/>
          <w:color w:val="auto"/>
        </w:rPr>
        <w:t>736,138 shares of common stock subject to outstanding options as of June 30, 2013, with a weighted average exercise price of $6.65327 per share;</w:t>
      </w:r>
    </w:p>
    <w:p>
      <w:pPr>
        <w:spacing w:after="0" w:line="260" w:lineRule="exact"/>
        <w:rPr>
          <w:rFonts w:ascii="Arial" w:cs="Arial" w:eastAsia="Arial" w:hAnsi="Arial"/>
          <w:sz w:val="15"/>
          <w:szCs w:val="15"/>
          <w:color w:val="auto"/>
        </w:rPr>
      </w:pPr>
    </w:p>
    <w:p>
      <w:pPr>
        <w:ind w:left="1280" w:hanging="524"/>
        <w:spacing w:after="0" w:line="270"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21,666 shares of Series F preferred stock issuable upon the exercise of outstanding warrants, with a weighted average exercise price of $11.5384 per share, which will automatically adjust upon the completion of this offering to be exercisable for 26,000 shares of common stock at a weighted average exercise price of $9.6152 per share;</w:t>
      </w:r>
    </w:p>
    <w:p>
      <w:pPr>
        <w:spacing w:after="0" w:line="192" w:lineRule="exact"/>
        <w:rPr>
          <w:rFonts w:ascii="Arial" w:cs="Arial" w:eastAsia="Arial" w:hAnsi="Arial"/>
          <w:sz w:val="17"/>
          <w:szCs w:val="17"/>
          <w:color w:val="auto"/>
        </w:rPr>
      </w:pPr>
    </w:p>
    <w:p>
      <w:pPr>
        <w:ind w:left="1280" w:right="28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6,667 shares of Series G preferred stock issuable upon the exercise of outstanding warrants, with an exercise price of $10.50 per share, which will automatically adjust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575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357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upon the completion of this offering to be exercisable for 6,667 shares of common stock at $10.50 per share; and</w:t>
      </w:r>
    </w:p>
    <w:p>
      <w:pPr>
        <w:spacing w:after="0" w:line="250" w:lineRule="exact"/>
        <w:rPr>
          <w:sz w:val="20"/>
          <w:szCs w:val="20"/>
          <w:color w:val="auto"/>
        </w:rPr>
      </w:pPr>
    </w:p>
    <w:p>
      <w:pPr>
        <w:ind w:left="1280" w:right="20" w:hanging="524"/>
        <w:spacing w:after="0" w:line="28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800,000 shares of common stock available for future sale or issuance under our 2013 Long-Term Incentive Plan and 297,729 shares of common stock available for future sale or issuance under our prior stock option plans.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237" w:lineRule="exact"/>
        <w:rPr>
          <w:sz w:val="20"/>
          <w:szCs w:val="20"/>
          <w:color w:val="auto"/>
        </w:rPr>
      </w:pPr>
    </w:p>
    <w:p>
      <w:pPr>
        <w:jc w:val="both"/>
        <w:ind w:left="1280" w:right="20" w:hanging="524"/>
        <w:spacing w:after="0" w:line="322" w:lineRule="auto"/>
        <w:tabs>
          <w:tab w:leader="none" w:pos="12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30-to-one reverse stock split with respect to our securities effected on August 20, 2013, including corresponding adjustments to the number of share outstanding, the conversion price of our preferred stock, the number of shares of common stock into which our preferred stock is convertible, and the exercise price and number of shares subject to and issuable upon the exercise of our outstanding stock options and warrants;</w:t>
      </w:r>
    </w:p>
    <w:p>
      <w:pPr>
        <w:spacing w:after="0" w:line="157" w:lineRule="exact"/>
        <w:rPr>
          <w:rFonts w:ascii="Arial" w:cs="Arial" w:eastAsia="Arial" w:hAnsi="Arial"/>
          <w:sz w:val="15"/>
          <w:szCs w:val="15"/>
          <w:color w:val="auto"/>
        </w:rPr>
      </w:pPr>
    </w:p>
    <w:p>
      <w:pPr>
        <w:ind w:left="1280" w:right="48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preferred stock into 8,708,895 shares of our common stock upon the closing of this offering;</w:t>
      </w:r>
    </w:p>
    <w:p>
      <w:pPr>
        <w:spacing w:after="0" w:line="196" w:lineRule="exact"/>
        <w:rPr>
          <w:rFonts w:ascii="Arial" w:cs="Arial" w:eastAsia="Arial" w:hAnsi="Arial"/>
          <w:sz w:val="17"/>
          <w:szCs w:val="17"/>
          <w:color w:val="auto"/>
        </w:rPr>
      </w:pPr>
    </w:p>
    <w:p>
      <w:pPr>
        <w:jc w:val="both"/>
        <w:ind w:left="128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automatic conversion of certain outstanding warrants to purchase shares of our preferred stock that, if not exercised prior to the completion of this offering, will automatically convert in the aggregate into 16,474 shares of common stock, based on the midpoint of the range on the front cover of this prospectus;</w:t>
      </w:r>
    </w:p>
    <w:p>
      <w:pPr>
        <w:spacing w:after="0" w:line="192"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filing of our amended and restated certificate of incorporation and the adoption of our amended and restated bylaws immediately prior to the closi of this offering;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382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538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CONSOLIDATED FINANCIAL DATA</w:t>
      </w:r>
    </w:p>
    <w:p>
      <w:pPr>
        <w:spacing w:after="0" w:line="228" w:lineRule="exact"/>
        <w:rPr>
          <w:sz w:val="20"/>
          <w:szCs w:val="20"/>
          <w:color w:val="auto"/>
        </w:rPr>
      </w:pPr>
    </w:p>
    <w:p>
      <w:pPr>
        <w:ind w:left="240" w:firstLine="341"/>
        <w:spacing w:after="0" w:line="279" w:lineRule="auto"/>
        <w:rPr>
          <w:sz w:val="20"/>
          <w:szCs w:val="20"/>
          <w:color w:val="auto"/>
        </w:rPr>
      </w:pPr>
      <w:r>
        <w:rPr>
          <w:rFonts w:ascii="Arial" w:cs="Arial" w:eastAsia="Arial" w:hAnsi="Arial"/>
          <w:sz w:val="16"/>
          <w:szCs w:val="16"/>
          <w:i w:val="1"/>
          <w:iCs w:val="1"/>
          <w:color w:val="auto"/>
        </w:rPr>
        <w:t>The following tables summarize the consolidated financial and operating data for the periods indicated. This summary consolidated financial data should be rea together with our consolidated financial statements and related notes and "Management's Discussion and Analysis of Financial Condition and Results of Operations appearing elsewhere in this prospectus. The consolidated statements of operations data for the years ended December 31, 2010, 2011 and 2012 are derived from our consolidated financial statements appearing elsewhere in this prospectus. The consolidated statements of operations data for the six months ended June 30, 2012 and 2013 and the consolidated balance sheet data as of June 30, 2013 have been derived from our unaudited consolidated financial statements included elsewhere in this prospectus. Our historical results are not necessarily indicative of our future results. You should read the summary financial data presented below in conjunction with our consolidated financial statements and related notes and the sections of this prospectus titled "Selected Consolidated Financial Data" and "Management's Discussion and Analysis of Financial Condition and Results of Operations."</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left="314"/>
              <w:spacing w:after="0"/>
              <w:rPr>
                <w:sz w:val="20"/>
                <w:szCs w:val="20"/>
                <w:color w:val="auto"/>
              </w:rPr>
            </w:pPr>
            <w:r>
              <w:rPr>
                <w:rFonts w:ascii="Arial" w:cs="Arial" w:eastAsia="Arial" w:hAnsi="Arial"/>
                <w:sz w:val="13"/>
                <w:szCs w:val="13"/>
                <w:b w:val="1"/>
                <w:bCs w:val="1"/>
                <w:color w:val="auto"/>
                <w:w w:val="88"/>
              </w:rPr>
              <w:t>Six months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9"/>
              </w:rPr>
              <w:t>ended June 30,</w:t>
            </w:r>
          </w:p>
        </w:tc>
        <w:tc>
          <w:tcPr>
            <w:tcW w:w="0" w:type="dxa"/>
            <w:vAlign w:val="bottom"/>
          </w:tcPr>
          <w:p>
            <w:pPr>
              <w:spacing w:after="0"/>
              <w:rPr>
                <w:sz w:val="1"/>
                <w:szCs w:val="1"/>
                <w:color w:val="auto"/>
              </w:rPr>
            </w:pPr>
          </w:p>
        </w:tc>
      </w:tr>
      <w:tr>
        <w:trPr>
          <w:trHeight w:val="137"/>
        </w:trPr>
        <w:tc>
          <w:tcPr>
            <w:tcW w:w="4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center"/>
              <w:ind w:left="314"/>
              <w:spacing w:after="0" w:line="124" w:lineRule="exact"/>
              <w:rPr>
                <w:sz w:val="20"/>
                <w:szCs w:val="20"/>
                <w:color w:val="auto"/>
              </w:rPr>
            </w:pPr>
            <w:r>
              <w:rPr>
                <w:rFonts w:ascii="Arial" w:cs="Arial" w:eastAsia="Arial" w:hAnsi="Arial"/>
                <w:sz w:val="13"/>
                <w:szCs w:val="13"/>
                <w:b w:val="1"/>
                <w:bCs w:val="1"/>
                <w:color w:val="auto"/>
                <w:w w:val="93"/>
              </w:rPr>
              <w:t>(unaudited)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gridSpan w:val="12"/>
          </w:tcPr>
          <w:p>
            <w:pPr>
              <w:jc w:val="right"/>
              <w:ind w:right="14"/>
              <w:spacing w:after="0"/>
              <w:rPr>
                <w:sz w:val="20"/>
                <w:szCs w:val="20"/>
                <w:color w:val="auto"/>
              </w:rPr>
            </w:pPr>
            <w:r>
              <w:rPr>
                <w:rFonts w:ascii="Arial" w:cs="Arial" w:eastAsia="Arial" w:hAnsi="Arial"/>
                <w:sz w:val="13"/>
                <w:szCs w:val="13"/>
                <w:b w:val="1"/>
                <w:bCs w:val="1"/>
                <w:color w:val="auto"/>
              </w:rPr>
              <w:t>(in thousands, except percentages, share and per share data)</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line="144" w:lineRule="exact"/>
              <w:rPr>
                <w:sz w:val="20"/>
                <w:szCs w:val="20"/>
                <w:color w:val="auto"/>
              </w:rPr>
            </w:pPr>
            <w:r>
              <w:rPr>
                <w:rFonts w:ascii="Arial" w:cs="Arial" w:eastAsia="Arial" w:hAnsi="Arial"/>
                <w:sz w:val="13"/>
                <w:szCs w:val="13"/>
                <w:color w:val="auto"/>
              </w:rPr>
              <w:t>Revenue</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40,489</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47,840</w:t>
            </w:r>
          </w:p>
        </w:tc>
        <w:tc>
          <w:tcPr>
            <w:tcW w:w="300" w:type="dxa"/>
            <w:vAlign w:val="bottom"/>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63,421</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28,144</w:t>
            </w:r>
          </w:p>
        </w:tc>
        <w:tc>
          <w:tcPr>
            <w:tcW w:w="300" w:type="dxa"/>
            <w:vAlign w:val="bottom"/>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33,914</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Cost of goods sold (1)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27,539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34,468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44,492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19,331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23,882</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Gross profit</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12,950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13,372</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18,929</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8,813</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Gross margin</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32.0%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28.0%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29.8%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31.3%</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44"/>
        </w:trPr>
        <w:tc>
          <w:tcPr>
            <w:tcW w:w="4340" w:type="dxa"/>
            <w:vAlign w:val="bottom"/>
          </w:tcPr>
          <w:p>
            <w:pPr>
              <w:ind w:left="20"/>
              <w:spacing w:after="0" w:line="144" w:lineRule="exact"/>
              <w:rPr>
                <w:sz w:val="20"/>
                <w:szCs w:val="20"/>
                <w:color w:val="auto"/>
              </w:rPr>
            </w:pPr>
            <w:r>
              <w:rPr>
                <w:rFonts w:ascii="Arial" w:cs="Arial" w:eastAsia="Arial" w:hAnsi="Arial"/>
                <w:sz w:val="13"/>
                <w:szCs w:val="13"/>
                <w:color w:val="auto"/>
              </w:rPr>
              <w:t>Operating expenses: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Research and development (1)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5,176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6,451</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7,603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3,284</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3,902</w:t>
            </w:r>
          </w:p>
        </w:tc>
        <w:tc>
          <w:tcPr>
            <w:tcW w:w="0" w:type="dxa"/>
            <w:vAlign w:val="bottom"/>
          </w:tcPr>
          <w:p>
            <w:pPr>
              <w:spacing w:after="0"/>
              <w:rPr>
                <w:sz w:val="1"/>
                <w:szCs w:val="1"/>
                <w:color w:val="auto"/>
              </w:rPr>
            </w:pPr>
          </w:p>
        </w:tc>
      </w:tr>
      <w:tr>
        <w:trPr>
          <w:trHeight w:val="144"/>
        </w:trPr>
        <w:tc>
          <w:tcPr>
            <w:tcW w:w="4340" w:type="dxa"/>
            <w:vAlign w:val="bottom"/>
          </w:tcPr>
          <w:p>
            <w:pPr>
              <w:ind w:left="160"/>
              <w:spacing w:after="0" w:line="144" w:lineRule="exact"/>
              <w:rPr>
                <w:sz w:val="20"/>
                <w:szCs w:val="20"/>
                <w:color w:val="auto"/>
              </w:rPr>
            </w:pPr>
            <w:r>
              <w:rPr>
                <w:rFonts w:ascii="Arial" w:cs="Arial" w:eastAsia="Arial" w:hAnsi="Arial"/>
                <w:sz w:val="13"/>
                <w:szCs w:val="13"/>
                <w:color w:val="auto"/>
              </w:rPr>
              <w:t>Sales and marketing (1)</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1,993</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2,412</w:t>
            </w:r>
          </w:p>
        </w:tc>
        <w:tc>
          <w:tcPr>
            <w:tcW w:w="300" w:type="dxa"/>
            <w:vAlign w:val="bottom"/>
          </w:tcPr>
          <w:p>
            <w:pPr>
              <w:spacing w:after="0"/>
              <w:rPr>
                <w:sz w:val="12"/>
                <w:szCs w:val="12"/>
                <w:color w:val="auto"/>
              </w:rPr>
            </w:pP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3,135</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1,614</w:t>
            </w:r>
          </w:p>
        </w:tc>
        <w:tc>
          <w:tcPr>
            <w:tcW w:w="30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1,959</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General and administrative (1)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8,382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8,243</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8,012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3,912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4,822</w:t>
            </w:r>
          </w:p>
        </w:tc>
        <w:tc>
          <w:tcPr>
            <w:tcW w:w="0" w:type="dxa"/>
            <w:vAlign w:val="bottom"/>
          </w:tcPr>
          <w:p>
            <w:pPr>
              <w:spacing w:after="0"/>
              <w:rPr>
                <w:sz w:val="1"/>
                <w:szCs w:val="1"/>
                <w:color w:val="auto"/>
              </w:rPr>
            </w:pPr>
          </w:p>
        </w:tc>
      </w:tr>
      <w:tr>
        <w:trPr>
          <w:trHeight w:val="168"/>
        </w:trPr>
        <w:tc>
          <w:tcPr>
            <w:tcW w:w="4340" w:type="dxa"/>
            <w:vAlign w:val="bottom"/>
          </w:tcPr>
          <w:p>
            <w:pPr>
              <w:ind w:left="160"/>
              <w:spacing w:after="0"/>
              <w:rPr>
                <w:sz w:val="20"/>
                <w:szCs w:val="20"/>
                <w:color w:val="auto"/>
              </w:rPr>
            </w:pPr>
            <w:r>
              <w:rPr>
                <w:rFonts w:ascii="Arial" w:cs="Arial" w:eastAsia="Arial" w:hAnsi="Arial"/>
                <w:sz w:val="13"/>
                <w:szCs w:val="13"/>
                <w:color w:val="auto"/>
              </w:rPr>
              <w:t>Asset impairment charges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492</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CCEEFF"/>
          </w:tcPr>
          <w:p>
            <w:pPr>
              <w:jc w:val="right"/>
              <w:ind w:right="14"/>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16,043</w:t>
            </w:r>
          </w:p>
        </w:tc>
        <w:tc>
          <w:tcPr>
            <w:tcW w:w="160" w:type="dxa"/>
            <w:vAlign w:val="bottom"/>
            <w:shd w:val="clear" w:color="auto" w:fill="CCEEFF"/>
          </w:tcPr>
          <w:p>
            <w:pPr>
              <w:jc w:val="right"/>
              <w:ind w:right="14"/>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17,106</w:t>
            </w:r>
          </w:p>
        </w:tc>
        <w:tc>
          <w:tcPr>
            <w:tcW w:w="300" w:type="dxa"/>
            <w:vAlign w:val="bottom"/>
            <w:shd w:val="clear" w:color="auto" w:fill="CCEEFF"/>
          </w:tcPr>
          <w:p>
            <w:pPr>
              <w:jc w:val="right"/>
              <w:ind w:right="154"/>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18,750</w:t>
            </w:r>
          </w:p>
        </w:tc>
        <w:tc>
          <w:tcPr>
            <w:tcW w:w="200" w:type="dxa"/>
            <w:vAlign w:val="bottom"/>
            <w:shd w:val="clear" w:color="auto" w:fill="CCEEFF"/>
          </w:tcPr>
          <w:p>
            <w:pPr>
              <w:jc w:val="right"/>
              <w:ind w:right="54"/>
              <w:spacing w:after="0" w:line="140"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8,810</w:t>
            </w:r>
          </w:p>
        </w:tc>
        <w:tc>
          <w:tcPr>
            <w:tcW w:w="300" w:type="dxa"/>
            <w:vAlign w:val="bottom"/>
            <w:shd w:val="clear" w:color="auto" w:fill="CCEEFF"/>
          </w:tcPr>
          <w:p>
            <w:pPr>
              <w:jc w:val="right"/>
              <w:ind w:right="154"/>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10,683</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Income (loss) from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34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(3,093)</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(3,734)</w:t>
            </w: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179</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(651)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Interest and other income (expense), net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(287)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(1,594)</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(1,124)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(620)</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Income (loss) before income taxes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340" w:type="dxa"/>
            <w:vAlign w:val="bottom"/>
            <w:vMerge w:val="continue"/>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(3,380)</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(5,328)</w:t>
            </w:r>
          </w:p>
        </w:tc>
        <w:tc>
          <w:tcPr>
            <w:tcW w:w="160" w:type="dxa"/>
            <w:vAlign w:val="bottom"/>
          </w:tcPr>
          <w:p>
            <w:pPr>
              <w:spacing w:after="0"/>
              <w:rPr>
                <w:sz w:val="11"/>
                <w:szCs w:val="11"/>
                <w:color w:val="auto"/>
              </w:rPr>
            </w:pPr>
          </w:p>
        </w:tc>
        <w:tc>
          <w:tcPr>
            <w:tcW w:w="300" w:type="dxa"/>
            <w:vAlign w:val="bottom"/>
            <w:tcBorders>
              <w:top w:val="single" w:sz="8" w:color="auto"/>
            </w:tcBorders>
          </w:tcPr>
          <w:p>
            <w:pPr>
              <w:jc w:val="right"/>
              <w:ind w:right="154"/>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(945)</w:t>
            </w:r>
          </w:p>
        </w:tc>
        <w:tc>
          <w:tcPr>
            <w:tcW w:w="160" w:type="dxa"/>
            <w:vAlign w:val="bottom"/>
          </w:tcPr>
          <w:p>
            <w:pPr>
              <w:spacing w:after="0"/>
              <w:rPr>
                <w:sz w:val="11"/>
                <w:szCs w:val="11"/>
                <w:color w:val="auto"/>
              </w:rPr>
            </w:pPr>
          </w:p>
        </w:tc>
        <w:tc>
          <w:tcPr>
            <w:tcW w:w="200" w:type="dxa"/>
            <w:vAlign w:val="bottom"/>
            <w:tcBorders>
              <w:top w:val="single" w:sz="8" w:color="auto"/>
            </w:tcBorders>
          </w:tcPr>
          <w:p>
            <w:pPr>
              <w:jc w:val="right"/>
              <w:ind w:right="54"/>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(617)</w:t>
            </w:r>
          </w:p>
        </w:tc>
        <w:tc>
          <w:tcPr>
            <w:tcW w:w="140" w:type="dxa"/>
            <w:vAlign w:val="bottom"/>
          </w:tcPr>
          <w:p>
            <w:pPr>
              <w:spacing w:after="0"/>
              <w:rPr>
                <w:sz w:val="11"/>
                <w:szCs w:val="11"/>
                <w:color w:val="auto"/>
              </w:rPr>
            </w:pPr>
          </w:p>
        </w:tc>
        <w:tc>
          <w:tcPr>
            <w:tcW w:w="300" w:type="dxa"/>
            <w:vAlign w:val="bottom"/>
            <w:tcBorders>
              <w:top w:val="single" w:sz="8" w:color="auto"/>
            </w:tcBorders>
          </w:tcPr>
          <w:p>
            <w:pPr>
              <w:jc w:val="right"/>
              <w:ind w:right="154"/>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(1,276)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Benefit from (provision for) income taxes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(5,328)</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(945)</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(617)</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3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Net income (loss) attributable to common stockholders</w:t>
            </w:r>
          </w:p>
        </w:tc>
        <w:tc>
          <w:tcPr>
            <w:tcW w:w="160" w:type="dxa"/>
            <w:vAlign w:val="bottom"/>
            <w:shd w:val="clear" w:color="auto" w:fill="CCEEFF"/>
          </w:tcPr>
          <w:p>
            <w:pPr>
              <w:jc w:val="right"/>
              <w:ind w:right="14"/>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(3,380)</w:t>
            </w:r>
          </w:p>
        </w:tc>
        <w:tc>
          <w:tcPr>
            <w:tcW w:w="160" w:type="dxa"/>
            <w:vAlign w:val="bottom"/>
            <w:shd w:val="clear" w:color="auto" w:fill="CCEEFF"/>
          </w:tcPr>
          <w:p>
            <w:pPr>
              <w:jc w:val="right"/>
              <w:ind w:right="14"/>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(5,328)</w:t>
            </w:r>
          </w:p>
        </w:tc>
        <w:tc>
          <w:tcPr>
            <w:tcW w:w="300" w:type="dxa"/>
            <w:vAlign w:val="bottom"/>
            <w:shd w:val="clear" w:color="auto" w:fill="CCEEFF"/>
          </w:tcPr>
          <w:p>
            <w:pPr>
              <w:jc w:val="right"/>
              <w:ind w:right="154"/>
              <w:spacing w:after="0" w:line="140"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(945)</w:t>
            </w:r>
          </w:p>
        </w:tc>
        <w:tc>
          <w:tcPr>
            <w:tcW w:w="200" w:type="dxa"/>
            <w:vAlign w:val="bottom"/>
            <w:shd w:val="clear" w:color="auto" w:fill="CCEEFF"/>
          </w:tcPr>
          <w:p>
            <w:pPr>
              <w:jc w:val="right"/>
              <w:ind w:right="54"/>
              <w:spacing w:after="0" w:line="140"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(617)</w:t>
            </w:r>
          </w:p>
        </w:tc>
        <w:tc>
          <w:tcPr>
            <w:tcW w:w="300" w:type="dxa"/>
            <w:vAlign w:val="bottom"/>
            <w:shd w:val="clear" w:color="auto" w:fill="CCEEFF"/>
          </w:tcPr>
          <w:p>
            <w:pPr>
              <w:jc w:val="right"/>
              <w:ind w:right="154"/>
              <w:spacing w:after="0" w:line="140"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rPr>
              <w:t>Net income (loss) per share attributable to common stockholders: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Basic and diluted</w:t>
            </w:r>
          </w:p>
        </w:tc>
        <w:tc>
          <w:tcPr>
            <w:tcW w:w="160" w:type="dxa"/>
            <w:vAlign w:val="bottom"/>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(13.06)</w:t>
            </w:r>
          </w:p>
        </w:tc>
        <w:tc>
          <w:tcPr>
            <w:tcW w:w="160" w:type="dxa"/>
            <w:vAlign w:val="bottom"/>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(20.21)</w:t>
            </w:r>
          </w:p>
        </w:tc>
        <w:tc>
          <w:tcPr>
            <w:tcW w:w="300" w:type="dxa"/>
            <w:vAlign w:val="bottom"/>
            <w:shd w:val="clear" w:color="auto" w:fill="CCEEFF"/>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(3.56)</w:t>
            </w:r>
          </w:p>
        </w:tc>
        <w:tc>
          <w:tcPr>
            <w:tcW w:w="200" w:type="dxa"/>
            <w:vAlign w:val="bottom"/>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(2.33)</w:t>
            </w:r>
          </w:p>
        </w:tc>
        <w:tc>
          <w:tcPr>
            <w:tcW w:w="300" w:type="dxa"/>
            <w:vAlign w:val="bottom"/>
            <w:shd w:val="clear" w:color="auto" w:fill="CCEEFF"/>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135"/>
        </w:trPr>
        <w:tc>
          <w:tcPr>
            <w:tcW w:w="4340" w:type="dxa"/>
            <w:vAlign w:val="bottom"/>
          </w:tcPr>
          <w:p>
            <w:pPr>
              <w:ind w:left="20"/>
              <w:spacing w:after="0" w:line="136" w:lineRule="exact"/>
              <w:rPr>
                <w:sz w:val="20"/>
                <w:szCs w:val="20"/>
                <w:color w:val="auto"/>
              </w:rPr>
            </w:pPr>
            <w:r>
              <w:rPr>
                <w:rFonts w:ascii="Arial" w:cs="Arial" w:eastAsia="Arial" w:hAnsi="Arial"/>
                <w:sz w:val="13"/>
                <w:szCs w:val="13"/>
                <w:color w:val="auto"/>
              </w:rPr>
              <w:t>Weighted average shares used to compute net income (loss) per share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60"/>
              <w:spacing w:after="0"/>
              <w:rPr>
                <w:sz w:val="20"/>
                <w:szCs w:val="20"/>
                <w:color w:val="auto"/>
              </w:rPr>
            </w:pPr>
            <w:r>
              <w:rPr>
                <w:rFonts w:ascii="Arial" w:cs="Arial" w:eastAsia="Arial" w:hAnsi="Arial"/>
                <w:sz w:val="13"/>
                <w:szCs w:val="13"/>
                <w:color w:val="auto"/>
              </w:rPr>
              <w:t>attributable to common stockholders: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and diluted</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258,901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263,658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265,576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265,252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267,711</w:t>
            </w:r>
          </w:p>
        </w:tc>
        <w:tc>
          <w:tcPr>
            <w:tcW w:w="0" w:type="dxa"/>
            <w:vAlign w:val="bottom"/>
          </w:tcPr>
          <w:p>
            <w:pPr>
              <w:spacing w:after="0"/>
              <w:rPr>
                <w:sz w:val="1"/>
                <w:szCs w:val="1"/>
                <w:color w:val="auto"/>
              </w:rPr>
            </w:pPr>
          </w:p>
        </w:tc>
      </w:tr>
      <w:tr>
        <w:trPr>
          <w:trHeight w:val="26"/>
        </w:trPr>
        <w:tc>
          <w:tcPr>
            <w:tcW w:w="4340" w:type="dxa"/>
            <w:vAlign w:val="bottom"/>
            <w:vMerge w:val="restart"/>
          </w:tcPr>
          <w:p>
            <w:pPr>
              <w:ind w:left="20"/>
              <w:spacing w:after="0"/>
              <w:rPr>
                <w:sz w:val="20"/>
                <w:szCs w:val="20"/>
                <w:color w:val="auto"/>
              </w:rPr>
            </w:pPr>
            <w:r>
              <w:rPr>
                <w:rFonts w:ascii="Arial" w:cs="Arial" w:eastAsia="Arial" w:hAnsi="Arial"/>
                <w:sz w:val="13"/>
                <w:szCs w:val="13"/>
                <w:color w:val="auto"/>
                <w:w w:val="94"/>
              </w:rPr>
              <w:t>Pro forma net income (loss) per share attributable to common stockholders (2):</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and diluted</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(0.11)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35"/>
        </w:trPr>
        <w:tc>
          <w:tcPr>
            <w:tcW w:w="4340" w:type="dxa"/>
            <w:vAlign w:val="bottom"/>
          </w:tcPr>
          <w:p>
            <w:pPr>
              <w:ind w:left="20"/>
              <w:spacing w:after="0" w:line="136" w:lineRule="exact"/>
              <w:rPr>
                <w:sz w:val="20"/>
                <w:szCs w:val="20"/>
                <w:color w:val="auto"/>
              </w:rPr>
            </w:pPr>
            <w:r>
              <w:rPr>
                <w:rFonts w:ascii="Arial" w:cs="Arial" w:eastAsia="Arial" w:hAnsi="Arial"/>
                <w:sz w:val="13"/>
                <w:szCs w:val="13"/>
                <w:color w:val="auto"/>
                <w:w w:val="99"/>
              </w:rPr>
              <w:t>Weighted average shares used to compute pro forma net income (loss) per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40" w:type="dxa"/>
            <w:vAlign w:val="bottom"/>
          </w:tcPr>
          <w:p>
            <w:pPr>
              <w:ind w:left="160"/>
              <w:spacing w:after="0"/>
              <w:rPr>
                <w:sz w:val="20"/>
                <w:szCs w:val="20"/>
                <w:color w:val="auto"/>
              </w:rPr>
            </w:pPr>
            <w:r>
              <w:rPr>
                <w:rFonts w:ascii="Arial" w:cs="Arial" w:eastAsia="Arial" w:hAnsi="Arial"/>
                <w:sz w:val="13"/>
                <w:szCs w:val="13"/>
                <w:color w:val="auto"/>
              </w:rPr>
              <w:t>share attributable to common stockholders (2):</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Basic and diluted</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96"/>
              </w:rPr>
              <w:t>8,380,216</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6"/>
              </w:rPr>
              <w:t>8,949,838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231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623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ended June 30,</w:t>
            </w:r>
          </w:p>
        </w:tc>
      </w:tr>
      <w:tr>
        <w:trPr>
          <w:trHeight w:val="137"/>
        </w:trPr>
        <w:tc>
          <w:tcPr>
            <w:tcW w:w="1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1"/>
                <w:szCs w:val="11"/>
                <w:color w:val="auto"/>
              </w:rPr>
            </w:pPr>
          </w:p>
        </w:tc>
      </w:tr>
      <w:tr>
        <w:trPr>
          <w:trHeight w:val="137"/>
        </w:trPr>
        <w:tc>
          <w:tcPr>
            <w:tcW w:w="1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20" w:type="dxa"/>
            <w:vAlign w:val="bottom"/>
            <w:gridSpan w:val="12"/>
          </w:tcPr>
          <w:p>
            <w:pPr>
              <w:jc w:val="right"/>
              <w:spacing w:after="0" w:line="138" w:lineRule="exact"/>
              <w:rPr>
                <w:sz w:val="20"/>
                <w:szCs w:val="20"/>
                <w:color w:val="auto"/>
              </w:rPr>
            </w:pPr>
            <w:r>
              <w:rPr>
                <w:rFonts w:ascii="Arial" w:cs="Arial" w:eastAsia="Arial" w:hAnsi="Arial"/>
                <w:sz w:val="13"/>
                <w:szCs w:val="13"/>
                <w:b w:val="1"/>
                <w:bCs w:val="1"/>
                <w:color w:val="auto"/>
              </w:rPr>
              <w:t>(in thousands, except percentages, share and per share data)</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Additional Financial Data:</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434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Non-GAAP gross profit (3)</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13,011</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13,407</w:t>
            </w:r>
          </w:p>
        </w:tc>
        <w:tc>
          <w:tcPr>
            <w:tcW w:w="300" w:type="dxa"/>
            <w:vAlign w:val="bottom"/>
          </w:tcPr>
          <w:p>
            <w:pPr>
              <w:jc w:val="right"/>
              <w:ind w:right="154"/>
              <w:spacing w:after="0" w:line="144" w:lineRule="exact"/>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18,936</w:t>
            </w:r>
          </w:p>
        </w:tc>
        <w:tc>
          <w:tcPr>
            <w:tcW w:w="200" w:type="dxa"/>
            <w:vAlign w:val="bottom"/>
          </w:tcPr>
          <w:p>
            <w:pPr>
              <w:jc w:val="right"/>
              <w:ind w:right="54"/>
              <w:spacing w:after="0" w:line="144"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8,817</w:t>
            </w:r>
          </w:p>
        </w:tc>
        <w:tc>
          <w:tcPr>
            <w:tcW w:w="280" w:type="dxa"/>
            <w:vAlign w:val="bottom"/>
          </w:tcPr>
          <w:p>
            <w:pPr>
              <w:jc w:val="right"/>
              <w:ind w:right="134"/>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10,058</w:t>
            </w: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Non-GAAP income (loss) from operations (3)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(1,922)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(3,000)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74</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(343)</w:t>
            </w:r>
          </w:p>
        </w:tc>
      </w:tr>
      <w:tr>
        <w:trPr>
          <w:trHeight w:val="144"/>
        </w:trPr>
        <w:tc>
          <w:tcPr>
            <w:tcW w:w="4340" w:type="dxa"/>
            <w:vAlign w:val="bottom"/>
            <w:gridSpan w:val="2"/>
          </w:tcPr>
          <w:p>
            <w:pPr>
              <w:ind w:left="20"/>
              <w:spacing w:after="0" w:line="144" w:lineRule="exact"/>
              <w:rPr>
                <w:sz w:val="20"/>
                <w:szCs w:val="20"/>
                <w:color w:val="auto"/>
              </w:rPr>
            </w:pPr>
            <w:r>
              <w:rPr>
                <w:rFonts w:ascii="Arial" w:cs="Arial" w:eastAsia="Arial" w:hAnsi="Arial"/>
                <w:sz w:val="13"/>
                <w:szCs w:val="13"/>
                <w:color w:val="auto"/>
              </w:rPr>
              <w:t>Non-GAAP net income (loss) (3)</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(1,780)</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(5,026)</w:t>
            </w: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(503)</w:t>
            </w: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(551)</w:t>
            </w:r>
          </w:p>
        </w:tc>
        <w:tc>
          <w:tcPr>
            <w:tcW w:w="28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(780)</w:t>
            </w:r>
          </w:p>
        </w:tc>
      </w:tr>
      <w:tr>
        <w:trPr>
          <w:trHeight w:val="144"/>
        </w:trPr>
        <w:tc>
          <w:tcPr>
            <w:tcW w:w="4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Adjusted EBITDA (3)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(638)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3,734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1,607</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1,310</w:t>
            </w:r>
          </w:p>
        </w:tc>
      </w:tr>
      <w:tr>
        <w:trPr>
          <w:trHeight w:val="105"/>
        </w:trPr>
        <w:tc>
          <w:tcPr>
            <w:tcW w:w="196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1900" w:hanging="526"/>
        <w:spacing w:after="0" w:line="297" w:lineRule="auto"/>
        <w:tabs>
          <w:tab w:leader="none" w:pos="19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These expenses include stock-based compensation expense. Stock-based compensation expense is accounted for at fair value, using the Black-Scholes option-pricing model. Stock-bas compensation expense is recognized over the vesting period of the stock options and was included in cost of goods sold and operating expenses as follows:</w:t>
      </w:r>
    </w:p>
    <w:p>
      <w:pPr>
        <w:spacing w:after="0" w:line="147"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Years 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Six months ended</w:t>
            </w:r>
          </w:p>
        </w:tc>
      </w:tr>
      <w:tr>
        <w:trPr>
          <w:trHeight w:val="157"/>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3"/>
                <w:szCs w:val="13"/>
                <w:b w:val="1"/>
                <w:bCs w:val="1"/>
                <w:color w:val="auto"/>
                <w:w w:val="89"/>
              </w:rPr>
              <w:t>December 31,</w:t>
            </w: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3"/>
                <w:szCs w:val="13"/>
                <w:b w:val="1"/>
                <w:bCs w:val="1"/>
                <w:color w:val="auto"/>
                <w:w w:val="92"/>
              </w:rPr>
              <w:t>June 30,</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37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ind w:right="14"/>
              <w:spacing w:after="0" w:line="138" w:lineRule="exact"/>
              <w:rPr>
                <w:sz w:val="20"/>
                <w:szCs w:val="20"/>
                <w:color w:val="auto"/>
              </w:rPr>
            </w:pPr>
            <w:r>
              <w:rPr>
                <w:rFonts w:ascii="Arial" w:cs="Arial" w:eastAsia="Arial" w:hAnsi="Arial"/>
                <w:sz w:val="13"/>
                <w:szCs w:val="13"/>
                <w:b w:val="1"/>
                <w:bCs w:val="1"/>
                <w:color w:val="auto"/>
                <w:w w:val="89"/>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124"/>
        </w:trPr>
        <w:tc>
          <w:tcPr>
            <w:tcW w:w="3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center"/>
              <w:ind w:right="260"/>
              <w:spacing w:after="0" w:line="124" w:lineRule="exact"/>
              <w:rPr>
                <w:sz w:val="20"/>
                <w:szCs w:val="20"/>
                <w:color w:val="auto"/>
              </w:rPr>
            </w:pPr>
            <w:r>
              <w:rPr>
                <w:rFonts w:ascii="Arial" w:cs="Arial" w:eastAsia="Arial" w:hAnsi="Arial"/>
                <w:sz w:val="13"/>
                <w:szCs w:val="13"/>
                <w:b w:val="1"/>
                <w:bCs w:val="1"/>
                <w:color w:val="auto"/>
                <w:w w:val="90"/>
              </w:rPr>
              <w:t>(unaudited)</w:t>
            </w:r>
          </w:p>
        </w:tc>
      </w:tr>
      <w:tr>
        <w:trPr>
          <w:trHeight w:val="157"/>
        </w:trPr>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7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b w:val="1"/>
                <w:bCs w:val="1"/>
                <w:color w:val="auto"/>
              </w:rPr>
              <w:t>Cost of goods sold</w:t>
            </w:r>
          </w:p>
        </w:tc>
        <w:tc>
          <w:tcPr>
            <w:tcW w:w="16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2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3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r>
      <w:tr>
        <w:trPr>
          <w:trHeight w:val="144"/>
        </w:trPr>
        <w:tc>
          <w:tcPr>
            <w:tcW w:w="3740" w:type="dxa"/>
            <w:vAlign w:val="bottom"/>
          </w:tcPr>
          <w:p>
            <w:pPr>
              <w:ind w:left="140"/>
              <w:spacing w:after="0" w:line="144" w:lineRule="exact"/>
              <w:rPr>
                <w:sz w:val="20"/>
                <w:szCs w:val="20"/>
                <w:color w:val="auto"/>
              </w:rPr>
            </w:pPr>
            <w:r>
              <w:rPr>
                <w:rFonts w:ascii="Arial" w:cs="Arial" w:eastAsia="Arial" w:hAnsi="Arial"/>
                <w:sz w:val="13"/>
                <w:szCs w:val="13"/>
                <w:color w:val="auto"/>
              </w:rPr>
              <w:t>Research and development</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2"/>
                <w:szCs w:val="12"/>
                <w:color w:val="auto"/>
              </w:rPr>
            </w:pPr>
          </w:p>
        </w:tc>
      </w:tr>
      <w:tr>
        <w:trPr>
          <w:trHeight w:val="144"/>
        </w:trPr>
        <w:tc>
          <w:tcPr>
            <w:tcW w:w="374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r>
      <w:tr>
        <w:trPr>
          <w:trHeight w:val="168"/>
        </w:trPr>
        <w:tc>
          <w:tcPr>
            <w:tcW w:w="374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r>
      <w:tr>
        <w:trPr>
          <w:trHeight w:val="140"/>
        </w:trPr>
        <w:tc>
          <w:tcPr>
            <w:tcW w:w="37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stock-based compensation expense</w:t>
            </w:r>
          </w:p>
        </w:tc>
        <w:tc>
          <w:tcPr>
            <w:tcW w:w="168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780</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563</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w:t>
            </w:r>
          </w:p>
        </w:tc>
        <w:tc>
          <w:tcPr>
            <w:tcW w:w="26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36</w:t>
            </w:r>
          </w:p>
        </w:tc>
        <w:tc>
          <w:tcPr>
            <w:tcW w:w="3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2"/>
                <w:szCs w:val="12"/>
                <w:color w:val="auto"/>
              </w:rPr>
            </w:pPr>
          </w:p>
        </w:tc>
      </w:tr>
      <w:tr>
        <w:trPr>
          <w:trHeight w:val="26"/>
        </w:trPr>
        <w:tc>
          <w:tcPr>
            <w:tcW w:w="3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hanging="526"/>
        <w:spacing w:after="0" w:line="238" w:lineRule="auto"/>
        <w:tabs>
          <w:tab w:leader="none" w:pos="1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pro forma basic and diluted net loss per share attributable to our common stockholders calculations reflect the 30-to-one reverse stock split effected on August 20, 2013 and assum the conversion of all outstanding shares of preferred stock into shares of common stock using the as-if-converted method as though the conversion had occurred at the beginning of the period presented and the resulting reclassification of the preferred stock warrant liability to additional paid-in capital, but do not reflect the automatic conversion of certain warrants tha if unexercised, will convert into an aggregate of 16,474 shares of common stock upon the completion of this offering, based upon the midpoint of the price range on the front cover of this prospectus.</w:t>
      </w:r>
    </w:p>
    <w:p>
      <w:pPr>
        <w:spacing w:after="0" w:line="110" w:lineRule="exact"/>
        <w:rPr>
          <w:rFonts w:ascii="Arial" w:cs="Arial" w:eastAsia="Arial" w:hAnsi="Arial"/>
          <w:sz w:val="13"/>
          <w:szCs w:val="13"/>
          <w:color w:val="auto"/>
        </w:rPr>
      </w:pPr>
    </w:p>
    <w:p>
      <w:pPr>
        <w:ind w:left="1900" w:hanging="526"/>
        <w:spacing w:after="0" w:line="262" w:lineRule="auto"/>
        <w:tabs>
          <w:tab w:leader="none" w:pos="1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prepare Adjusted EBITDA and our other non-GAAP measures to eliminate the impact of items that we do not consider indicative of our overall operating performance. To arrive at our non-GAAP gross profit, we exclude stock-based compensation expense from our GAAP gross profit. To arrive at our non-GAAP income (loss) from operations, we exclude all amortization of intangible assets, stock-based compensation expense and non-recurring consulting fees, if any, from our GAAP net income (loss) from operations. To arrive at Adjusted EBITDA, we exclude these same items and, additionally, exclude asset impairment charges, loss (gain) from disposal of idle assets, unrealized exchange loss (gain), interest (income) expense, on a net basis, provision for (benefit from) income taxes and depreciation expense, from our GAAP net income (loss).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our non-GAAP measures are useful to investors in evaluating our operating performance for the following reasons:</w:t>
      </w:r>
    </w:p>
    <w:p>
      <w:pPr>
        <w:spacing w:after="0" w:line="250" w:lineRule="exact"/>
        <w:rPr>
          <w:sz w:val="20"/>
          <w:szCs w:val="20"/>
          <w:color w:val="auto"/>
        </w:rPr>
      </w:pPr>
    </w:p>
    <w:p>
      <w:pPr>
        <w:ind w:left="1280" w:hanging="524"/>
        <w:spacing w:after="0" w:line="315"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believe that elimination of items such as stock-based compensation expense, depreciation and amortization, income tax expense and other income, net, is appropriate because treatment of these items may vary for reasons unrelated to our overall operating performance;</w:t>
      </w:r>
    </w:p>
    <w:p>
      <w:pPr>
        <w:spacing w:after="0" w:line="159" w:lineRule="exact"/>
        <w:rPr>
          <w:rFonts w:ascii="Arial" w:cs="Arial" w:eastAsia="Arial" w:hAnsi="Arial"/>
          <w:sz w:val="16"/>
          <w:szCs w:val="16"/>
          <w:color w:val="auto"/>
        </w:rPr>
      </w:pPr>
    </w:p>
    <w:p>
      <w:pPr>
        <w:ind w:left="1280" w:right="260" w:hanging="524"/>
        <w:spacing w:after="0" w:line="270"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use non-GAAP measures in conjunction with our GAAP financial measures for planning purposes, including the preparation of our annual operating budget, as a measure of operating performance and the effectiveness of our business strategies and in communications with our board of directors concerning our financial performance;</w:t>
      </w:r>
    </w:p>
    <w:p>
      <w:pPr>
        <w:spacing w:after="0" w:line="192" w:lineRule="exact"/>
        <w:rPr>
          <w:rFonts w:ascii="Arial" w:cs="Arial" w:eastAsia="Arial" w:hAnsi="Arial"/>
          <w:sz w:val="17"/>
          <w:szCs w:val="17"/>
          <w:color w:val="auto"/>
        </w:rPr>
      </w:pPr>
    </w:p>
    <w:p>
      <w:pPr>
        <w:ind w:left="1280" w:hanging="524"/>
        <w:spacing w:after="0" w:line="270"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believe that non-GAAP measures provide better comparability with our past financial performance, facilitates better period-to-period comparisons of operational results and also facilitates comparisons with our peer companies, many of which also use similar non-GAAP financial measures to supplement their GAAP reporting; and</w:t>
      </w:r>
    </w:p>
    <w:p>
      <w:pPr>
        <w:spacing w:after="0" w:line="205" w:lineRule="exact"/>
        <w:rPr>
          <w:rFonts w:ascii="Arial" w:cs="Arial" w:eastAsia="Arial" w:hAnsi="Arial"/>
          <w:sz w:val="17"/>
          <w:szCs w:val="17"/>
          <w:color w:val="auto"/>
        </w:rPr>
      </w:pPr>
    </w:p>
    <w:p>
      <w:pPr>
        <w:ind w:left="1280" w:right="240" w:hanging="524"/>
        <w:spacing w:after="0" w:line="282"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anticipate that, after consummating this offering, our investor presentations and those of securities analyst will include non-GAAP measures to evaluate our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07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520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331"/>
        <w:spacing w:after="0" w:line="287" w:lineRule="auto"/>
        <w:rPr>
          <w:sz w:val="20"/>
          <w:szCs w:val="20"/>
          <w:color w:val="auto"/>
        </w:rPr>
      </w:pPr>
      <w:r>
        <w:rPr>
          <w:rFonts w:ascii="Arial" w:cs="Arial" w:eastAsia="Arial" w:hAnsi="Arial"/>
          <w:sz w:val="16"/>
          <w:szCs w:val="16"/>
          <w:color w:val="auto"/>
        </w:rPr>
        <w:t>Adjusted EBITDA and other non-GAAP measures should not be considered as an alternative to gross profit, income (loss) from operations, net income (loss) or any other measure of financial performance calculated and presented in accordance with GAAP. Our Adjusted EBITDA and other non-GAAP measures may not be comparable to similarly titled measures of other organizations because other organizations may not calculate Adjusted EBITDA or such other non-GAAP measures in the same manner. You are encouraged to evaluate these adjustments and the reason we consider them appropriate.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reflects the reconciliation of U.S. GAAP financial measures to non-GAAP financial measures: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Six months</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10"/>
          </w:tcPr>
          <w:p>
            <w:pPr>
              <w:jc w:val="right"/>
              <w:ind w:right="46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profit</w:t>
            </w:r>
          </w:p>
        </w:tc>
        <w:tc>
          <w:tcPr>
            <w:tcW w:w="120" w:type="dxa"/>
            <w:vAlign w:val="bottom"/>
            <w:gridSpan w:val="2"/>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12,950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13,372</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18,929</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8,813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1"/>
              <w:spacing w:after="0" w:line="144"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10,032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Non-GAAP gross profit</w:t>
            </w: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13,407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18,936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Non-GAAP income (loss) from operations</w:t>
            </w: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Loss (gain) from disposal of idle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Non-GAAP net income (loss)</w:t>
            </w:r>
          </w:p>
        </w:tc>
        <w:tc>
          <w:tcPr>
            <w:tcW w:w="1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Asset impairment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Depreciation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3,299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3,066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2,882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1,449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1,522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Loss (gain) from disposal of idle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ind w:left="140"/>
              <w:spacing w:after="0" w:line="144" w:lineRule="exact"/>
              <w:rPr>
                <w:sz w:val="20"/>
                <w:szCs w:val="20"/>
                <w:color w:val="auto"/>
              </w:rPr>
            </w:pPr>
            <w:r>
              <w:rPr>
                <w:rFonts w:ascii="Arial" w:cs="Arial" w:eastAsia="Arial" w:hAnsi="Arial"/>
                <w:sz w:val="13"/>
                <w:szCs w:val="13"/>
                <w:color w:val="auto"/>
              </w:rPr>
              <w:t>Interest (income) expense,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872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1,323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1,355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710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568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Provision for (benefit from)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32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550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456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6"/>
              </w:rPr>
              <w:t>June 30, 2013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59"/>
              <w:spacing w:after="0" w:line="124"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1"/>
              </w:rPr>
              <w:t>Pro forma (4)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7"/>
              </w:rPr>
              <w:t>as adjusted (5)</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w w:val="93"/>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rPr>
              <w:t>Total cash (1)</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10,854</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10,854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42,026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Working capital (2)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58,175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116,168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debt (3)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w w:val="96"/>
              </w:rPr>
              <w:t>Redeemable convertible preferred stock and convertible preferred stock</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Common stock and additional paid-in capital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Arial" w:cs="Arial" w:eastAsia="Arial" w:hAnsi="Arial"/>
                <w:sz w:val="17"/>
                <w:szCs w:val="17"/>
                <w:color w:val="auto"/>
              </w:rPr>
              <w:t>Total stockholders' equity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30,540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74,712</w:t>
            </w:r>
          </w:p>
        </w:tc>
        <w:tc>
          <w:tcPr>
            <w:tcW w:w="160" w:type="dxa"/>
            <w:vAlign w:val="bottom"/>
          </w:tcPr>
          <w:p>
            <w:pPr>
              <w:spacing w:after="0"/>
              <w:rPr>
                <w:sz w:val="18"/>
                <w:szCs w:val="18"/>
                <w:color w:val="auto"/>
              </w:rPr>
            </w:pPr>
          </w:p>
        </w:tc>
      </w:tr>
      <w:tr>
        <w:trPr>
          <w:trHeight w:val="99"/>
        </w:trPr>
        <w:tc>
          <w:tcPr>
            <w:tcW w:w="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8" w:lineRule="exact"/>
        <w:rPr>
          <w:sz w:val="20"/>
          <w:szCs w:val="20"/>
          <w:color w:val="auto"/>
        </w:rPr>
      </w:pPr>
    </w:p>
    <w:p>
      <w:pPr>
        <w:ind w:left="1900" w:hanging="526"/>
        <w:spacing w:after="0"/>
        <w:tabs>
          <w:tab w:leader="none" w:pos="1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Total cash is defined as cash, cash equivalents and restricted cash.</w:t>
      </w:r>
    </w:p>
    <w:p>
      <w:pPr>
        <w:spacing w:after="0" w:line="125" w:lineRule="exact"/>
        <w:rPr>
          <w:rFonts w:ascii="Arial" w:cs="Arial" w:eastAsia="Arial" w:hAnsi="Arial"/>
          <w:sz w:val="13"/>
          <w:szCs w:val="13"/>
          <w:color w:val="auto"/>
        </w:rPr>
      </w:pPr>
    </w:p>
    <w:p>
      <w:pPr>
        <w:ind w:left="1900" w:hanging="526"/>
        <w:spacing w:after="0"/>
        <w:tabs>
          <w:tab w:leader="none" w:pos="1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Working capital is defined as total current assets less total current liabilities.</w:t>
      </w:r>
    </w:p>
    <w:p>
      <w:pPr>
        <w:spacing w:after="0" w:line="125" w:lineRule="exact"/>
        <w:rPr>
          <w:rFonts w:ascii="Arial" w:cs="Arial" w:eastAsia="Arial" w:hAnsi="Arial"/>
          <w:sz w:val="13"/>
          <w:szCs w:val="13"/>
          <w:color w:val="auto"/>
        </w:rPr>
      </w:pPr>
    </w:p>
    <w:p>
      <w:pPr>
        <w:ind w:left="1900" w:hanging="526"/>
        <w:spacing w:after="0"/>
        <w:tabs>
          <w:tab w:leader="none" w:pos="1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Total debt is defined as short-term loans, notes payable and total long-term debt.</w:t>
      </w:r>
    </w:p>
    <w:p>
      <w:pPr>
        <w:spacing w:after="0" w:line="125" w:lineRule="exact"/>
        <w:rPr>
          <w:rFonts w:ascii="Arial" w:cs="Arial" w:eastAsia="Arial" w:hAnsi="Arial"/>
          <w:sz w:val="13"/>
          <w:szCs w:val="13"/>
          <w:color w:val="auto"/>
        </w:rPr>
      </w:pPr>
    </w:p>
    <w:p>
      <w:pPr>
        <w:ind w:left="1900" w:hanging="526"/>
        <w:spacing w:after="0" w:line="266" w:lineRule="auto"/>
        <w:tabs>
          <w:tab w:leader="none" w:pos="1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On a pro forma basis to give effect to the 30-to-one reverse stock split effected on August 20, 2013 and the automatic conversion of all of our outstanding shares of preferred stock into 8,708,895 shares of common stock using the as-if-converted method as though the conversion had occurred at the beginning of the period presented and the resulting reclassification of the preferred stock warrant liability to additional paid-in capital, but without giving effect to the automatic conversion of certain warrants that, if unexercised, will convert into an aggregate of 16,474 shares of common stock upon the completion of this offering, based upon the midpoint of the price range on the front cover of this prospectus.</w:t>
      </w:r>
    </w:p>
    <w:p>
      <w:pPr>
        <w:spacing w:after="0" w:line="96" w:lineRule="exact"/>
        <w:rPr>
          <w:rFonts w:ascii="Arial" w:cs="Arial" w:eastAsia="Arial" w:hAnsi="Arial"/>
          <w:sz w:val="12"/>
          <w:szCs w:val="12"/>
          <w:color w:val="auto"/>
        </w:rPr>
      </w:pPr>
    </w:p>
    <w:p>
      <w:pPr>
        <w:ind w:left="1900" w:right="60" w:hanging="526"/>
        <w:spacing w:after="0" w:line="243" w:lineRule="auto"/>
        <w:tabs>
          <w:tab w:leader="none" w:pos="1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a pro forma as adjusted basis to reflect the pro forma adjustments described in note 4 above and the sale by us of 3,600,000 shares of common stock in this offering, at an assumed initial public offering price of $14.00 per share, the midpoint of the price range on the front cover of this prospectus, after deducting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 factors and all other information contained in this prospectus before purchasing our common stock.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Inherent in Our Business</w:t>
      </w:r>
    </w:p>
    <w:p>
      <w:pPr>
        <w:spacing w:after="0" w:line="228" w:lineRule="exact"/>
        <w:rPr>
          <w:sz w:val="20"/>
          <w:szCs w:val="20"/>
          <w:color w:val="auto"/>
        </w:rPr>
      </w:pPr>
    </w:p>
    <w:p>
      <w:pPr>
        <w:ind w:right="720"/>
        <w:spacing w:after="0" w:line="282" w:lineRule="auto"/>
        <w:rPr>
          <w:sz w:val="20"/>
          <w:szCs w:val="20"/>
          <w:color w:val="auto"/>
        </w:rPr>
      </w:pPr>
      <w:r>
        <w:rPr>
          <w:rFonts w:ascii="Arial" w:cs="Arial" w:eastAsia="Arial" w:hAnsi="Arial"/>
          <w:sz w:val="17"/>
          <w:szCs w:val="17"/>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80" w:firstLine="338"/>
        <w:spacing w:after="0" w:line="262" w:lineRule="auto"/>
        <w:rPr>
          <w:sz w:val="20"/>
          <w:szCs w:val="20"/>
          <w:color w:val="auto"/>
        </w:rPr>
      </w:pPr>
      <w:r>
        <w:rPr>
          <w:rFonts w:ascii="Arial" w:cs="Arial" w:eastAsia="Arial" w:hAnsi="Arial"/>
          <w:sz w:val="17"/>
          <w:szCs w:val="17"/>
          <w:color w:val="auto"/>
        </w:rPr>
        <w:t>We generate much of our revenue from a limited number of customers. In 2010, 2011, 2012 and in the six months ended June 30, 2013, our top ten customers represented 80.5%, 76.6%, 77.6% and 79.2% of our revenue, respectively. In 2012, Cisco Systems, Inc. represented 33.2% of our revenue and Biogenomics Corp., a distributor, represented 11.2%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For instance, upon the closing of Arris Group Inc.'s acquisition of Motorola Mobility Holdings, Inc., which is expected to occur in the middle of this year, changes in strategy or management may affect purchasing decisions and other strategic objectives involving our products that were pursued prior to that acquisition. We may not be able to offset any potential decline in revenue arising from the consolidation of our existing customers with revenue from new customers or additional revenue from the merged company.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2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9" w:lineRule="exact"/>
        <w:rPr>
          <w:sz w:val="20"/>
          <w:szCs w:val="20"/>
          <w:color w:val="auto"/>
        </w:rPr>
      </w:pPr>
    </w:p>
    <w:p>
      <w:pPr>
        <w:ind w:right="200" w:firstLine="341"/>
        <w:spacing w:after="0" w:line="315"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If we are unable to qualify and sell any of our new products in volume, on time, or at all, our results of operations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224" w:lineRule="exact"/>
        <w:rPr>
          <w:sz w:val="20"/>
          <w:szCs w:val="20"/>
          <w:color w:val="auto"/>
        </w:rPr>
      </w:pPr>
    </w:p>
    <w:p>
      <w:pPr>
        <w:ind w:right="80" w:firstLine="338"/>
        <w:spacing w:after="0" w:line="298" w:lineRule="auto"/>
        <w:rPr>
          <w:sz w:val="20"/>
          <w:szCs w:val="20"/>
          <w:color w:val="auto"/>
        </w:rPr>
      </w:pPr>
      <w:r>
        <w:rPr>
          <w:rFonts w:ascii="Arial" w:cs="Arial" w:eastAsia="Arial" w:hAnsi="Arial"/>
          <w:sz w:val="15"/>
          <w:szCs w:val="15"/>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the cyclical nature of the markets in which we compete and any future downturn will likely reduce demand for our products and revenue.</w:t>
      </w:r>
    </w:p>
    <w:p>
      <w:pPr>
        <w:spacing w:after="0" w:line="247"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accurately predict these cyclical fluctuations and the impact of these fluctuations may have on our revenue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36"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Historically, we have generated much of our revenue from the CATV market. In 2010, 2011 and 2012, the CATV market represented 81.4%, 81.4% and 78.6%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limited operating history in the FTTH and internet data center markets, and our business could be harmed if these markets do not develop as we expect.</w:t>
      </w:r>
    </w:p>
    <w:p>
      <w:pPr>
        <w:spacing w:after="0" w:line="259"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We have only recently begun offering products to the FTTH and internet data center markets.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encounter manufacturing problems, we may lose sales and damage our customer relationships.</w:t>
      </w:r>
    </w:p>
    <w:p>
      <w:pPr>
        <w:spacing w:after="0" w:line="224"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90"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6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Although the length of our product development cycle varies widely by product and customer, it may take 18 months or longer before we receive our first order.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a result, we may incur significant expenses long before customers accept and purchase our products.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Product development delays may result from numerous factors, including:</w:t>
      </w:r>
    </w:p>
    <w:p>
      <w:pPr>
        <w:spacing w:after="0" w:line="237"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modification of product specifications and customer requirements;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unanticipated engineering complexities;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reallocating engineering resources and overcoming resource limitations;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rapidly changing technology or competitive product requirements.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69"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46"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costs and shifts in product mix may adversely impact our gross margins.</w:t>
      </w:r>
    </w:p>
    <w:p>
      <w:pPr>
        <w:spacing w:after="0" w:line="224"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7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color w:val="auto"/>
        </w:rPr>
        <w:t>We have a high fixed cost base due to our vertically integrated business model, including the fact that 631 of our employees as of June 30, 2013 were employed in manufacturing engineering and manufacturing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may be required to write down inventory costs in the future and our high inventory costs may have an adverse effect on our gross profits and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which may continue in the future.</w:t>
      </w:r>
    </w:p>
    <w:p>
      <w:pPr>
        <w:spacing w:after="0" w:line="224"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have a history of losses and we may incur additional losses in future periods. In the years ended December 31, 2010, 2011 and 2012 and in the six months ended June 30, 2012 and June 30, 2013, we experienced net losses of $3.4 million, $5.3 million, $0.9 million, $0.6 million and $1.3 million, respectively. As of December 31, 2012 and June 30, 2013, our accumulated deficit was $81.9 million and $83.2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as a public company, we will incur significant additional time demands and legal, accounting and other expenses that we did not incur as a private company. Our management and other personnel will need to devote a substantial amount of time to complying with the applicable rules and requirements of being a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24" w:lineRule="exact"/>
        <w:rPr>
          <w:sz w:val="20"/>
          <w:szCs w:val="20"/>
          <w:color w:val="auto"/>
        </w:rPr>
      </w:pPr>
    </w:p>
    <w:p>
      <w:pPr>
        <w:ind w:right="60" w:firstLine="341"/>
        <w:spacing w:after="0" w:line="352" w:lineRule="auto"/>
        <w:rPr>
          <w:sz w:val="20"/>
          <w:szCs w:val="20"/>
          <w:color w:val="auto"/>
        </w:rPr>
      </w:pPr>
      <w:r>
        <w:rPr>
          <w:rFonts w:ascii="Arial" w:cs="Arial" w:eastAsia="Arial" w:hAnsi="Arial"/>
          <w:sz w:val="15"/>
          <w:szCs w:val="15"/>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36"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size and mix of sales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design, manufacture and deliver products to our customers in a timely and cost-effective manner and that meet customer requirements;</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product introductions and enhancements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gain or loss of key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rate at which our present and potential customers and end users adopt our technologies;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length and variability of the sales cycles of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unanticipated increases in costs or expenses;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loss of key employees;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different capital expenditure and budget cycles for our customers, affecting the timing of their spending for our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political stability in the areas of the world in which we operate;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accounting rules;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evolving and unpredictable nature of the markets for products incorporating our solutions;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conditions and changes in such conditions specific to our target markets.</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intense competition which could negatively impact our results of operations and market share.</w:t>
      </w:r>
    </w:p>
    <w:p>
      <w:pPr>
        <w:spacing w:after="0" w:line="224"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Certain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key personnel to develop and maintain our technology and manage our business in a rapidly changing market.</w:t>
      </w:r>
    </w:p>
    <w:p>
      <w:pPr>
        <w:spacing w:after="0" w:line="22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limited number of suppliers and any supply interruption could have an adverse effect on our business.</w:t>
      </w:r>
    </w:p>
    <w:p>
      <w:pPr>
        <w:spacing w:after="0" w:line="224"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76" w:lineRule="exact"/>
        <w:rPr>
          <w:sz w:val="20"/>
          <w:szCs w:val="20"/>
          <w:color w:val="auto"/>
        </w:rPr>
      </w:pPr>
    </w:p>
    <w:p>
      <w:pPr>
        <w:ind w:right="80" w:firstLine="338"/>
        <w:spacing w:after="0" w:line="283"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could contain defects that may cause us to incur significant costs or result in a loss of customers.</w:t>
      </w:r>
    </w:p>
    <w:p>
      <w:pPr>
        <w:spacing w:after="0" w:line="22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variety of risks associated with our international sales and operations.</w:t>
      </w:r>
    </w:p>
    <w:p>
      <w:pPr>
        <w:spacing w:after="0" w:line="224"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We currently derive, and expect to continue to derive, a significant portion of our revenue from international sales. In 2010, 2011, 2012 and in the six months ended June 30, 2013, 60.8%, 66.9%, 75.0% and 87.9% of our revenue was derived from sales that occurred outside of the U.S., respectively. In addition, a significant portion of our manufacturing operations is based in Ningbo, China and Taipei, Taiwan. Our international revenue and operations are subject to a number of material risks, including:</w:t>
      </w:r>
    </w:p>
    <w:p>
      <w:pPr>
        <w:spacing w:after="0" w:line="19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staffing, managing and supporting operations in more than one country;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enforcing agreements and collecting receivables through foreign legal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fewer legal protections for intellectual property in foreign jurisdictions;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foreign and U.S. taxation issues and international trade barriers;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obtaining any necessary governmental authorizations for the export of our products to certain foreign jurisdictions;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foreign economies;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value of foreign currencies and interest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trade and travel restrictions;</w:t>
      </w:r>
    </w:p>
    <w:p>
      <w:pPr>
        <w:spacing w:after="0" w:line="237"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domestic and international economic or political changes, hostilities and other disruptions in regions where we currently operate or may operate in the future;</w:t>
      </w:r>
    </w:p>
    <w:p>
      <w:pPr>
        <w:spacing w:after="0" w:line="182"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and increased expenses in complying with a variety of U.S. and foreign laws, regulations and trade standards, including the Foreign Corrupt Practices Act;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7" w:lineRule="exact"/>
        <w:rPr>
          <w:sz w:val="20"/>
          <w:szCs w:val="20"/>
          <w:color w:val="auto"/>
        </w:rPr>
      </w:pPr>
    </w:p>
    <w:p>
      <w:pPr>
        <w:jc w:val="both"/>
        <w:ind w:right="280" w:firstLine="341"/>
        <w:spacing w:after="0" w:line="294" w:lineRule="auto"/>
        <w:rPr>
          <w:sz w:val="20"/>
          <w:szCs w:val="20"/>
          <w:color w:val="auto"/>
        </w:rPr>
      </w:pPr>
      <w:r>
        <w:rPr>
          <w:rFonts w:ascii="Arial" w:cs="Arial" w:eastAsia="Arial" w:hAnsi="Arial"/>
          <w:sz w:val="15"/>
          <w:szCs w:val="15"/>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some instances, we rely on third parties to assist in selling our products, and the failure of those parties to perform as expected could reduce our future revenue.</w:t>
      </w:r>
    </w:p>
    <w:p>
      <w:pPr>
        <w:spacing w:after="0" w:line="259" w:lineRule="exact"/>
        <w:rPr>
          <w:sz w:val="20"/>
          <w:szCs w:val="20"/>
          <w:color w:val="auto"/>
        </w:rPr>
      </w:pPr>
    </w:p>
    <w:p>
      <w:pPr>
        <w:ind w:right="140" w:firstLine="332"/>
        <w:spacing w:after="0" w:line="306" w:lineRule="auto"/>
        <w:rPr>
          <w:sz w:val="20"/>
          <w:szCs w:val="20"/>
          <w:color w:val="auto"/>
        </w:rPr>
      </w:pPr>
      <w:r>
        <w:rPr>
          <w:rFonts w:ascii="Arial" w:cs="Arial" w:eastAsia="Arial" w:hAnsi="Arial"/>
          <w:sz w:val="15"/>
          <w:szCs w:val="15"/>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We plan to continue to expand the scope of our operations.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loan agreements contain restrictive covenants that may adversely affect our ability to conduct our business.</w:t>
      </w:r>
    </w:p>
    <w:p>
      <w:pPr>
        <w:spacing w:after="0" w:line="224" w:lineRule="exact"/>
        <w:rPr>
          <w:sz w:val="20"/>
          <w:szCs w:val="20"/>
          <w:color w:val="auto"/>
        </w:rPr>
      </w:pPr>
    </w:p>
    <w:p>
      <w:pPr>
        <w:ind w:right="40" w:firstLine="338"/>
        <w:spacing w:after="0" w:line="278"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China subsidiary has a line of credit arrangement.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additional capital when desired, on favorable terms or at all.</w:t>
      </w:r>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anticipate that the net proceeds we receive from this offering, together with our current cash, cash provided by operating activities and funds available through our bank loans and credit facilities, will be sufficient to meet our current and anticipated needs for general corporate purposes for the next 12 to 24 months. We operate in a market, however,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9"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expansion of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expansion of manufacturing capabilities;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hiring of additional technical, sales and other personnel;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acquisitions of complementary businesses.</w:t>
      </w:r>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acquiring shares of our common stock in this offering.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acquisitions may adversely affect our financial condition and results of operations.</w:t>
      </w:r>
    </w:p>
    <w:p>
      <w:pPr>
        <w:spacing w:after="0" w:line="224" w:lineRule="exact"/>
        <w:rPr>
          <w:sz w:val="20"/>
          <w:szCs w:val="20"/>
          <w:color w:val="auto"/>
        </w:rPr>
      </w:pPr>
    </w:p>
    <w:p>
      <w:pPr>
        <w:ind w:right="140" w:firstLine="332"/>
        <w:spacing w:after="0" w:line="315" w:lineRule="auto"/>
        <w:rPr>
          <w:sz w:val="20"/>
          <w:szCs w:val="20"/>
          <w:color w:val="auto"/>
        </w:rPr>
      </w:pPr>
      <w:r>
        <w:rPr>
          <w:rFonts w:ascii="Arial" w:cs="Arial" w:eastAsia="Arial" w:hAnsi="Arial"/>
          <w:sz w:val="16"/>
          <w:szCs w:val="16"/>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59"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integrating the acquired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unanticipated costs, capital expenditures or liabilities or changes related to research in progress and product development;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our existing business;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associated with entering markets in which we have little or no prior experience;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loss of key employees, particularly those of the acquired organizations.</w:t>
      </w:r>
    </w:p>
    <w:p>
      <w:pPr>
        <w:spacing w:after="0" w:line="224" w:lineRule="exact"/>
        <w:rPr>
          <w:sz w:val="20"/>
          <w:szCs w:val="20"/>
          <w:color w:val="auto"/>
        </w:rPr>
      </w:pPr>
    </w:p>
    <w:p>
      <w:pPr>
        <w:ind w:right="120" w:firstLine="332"/>
        <w:spacing w:after="0" w:line="265" w:lineRule="auto"/>
        <w:rPr>
          <w:sz w:val="20"/>
          <w:szCs w:val="20"/>
          <w:color w:val="auto"/>
        </w:rPr>
      </w:pPr>
      <w:r>
        <w:rPr>
          <w:rFonts w:ascii="Arial" w:cs="Arial" w:eastAsia="Arial" w:hAnsi="Arial"/>
          <w:sz w:val="17"/>
          <w:szCs w:val="17"/>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results of operations may be subject to volatility as a result of exposure to fluctuations in currency exchange rates.</w:t>
      </w:r>
    </w:p>
    <w:p>
      <w:pPr>
        <w:spacing w:after="0" w:line="224"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7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69" w:lineRule="exact"/>
        <w:rPr>
          <w:sz w:val="20"/>
          <w:szCs w:val="20"/>
          <w:color w:val="auto"/>
        </w:rPr>
      </w:pPr>
    </w:p>
    <w:p>
      <w:pPr>
        <w:jc w:val="both"/>
        <w:ind w:right="160" w:firstLine="338"/>
        <w:spacing w:after="0" w:line="270" w:lineRule="auto"/>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catastrophic events could harm our operations.</w:t>
      </w:r>
    </w:p>
    <w:p>
      <w:pPr>
        <w:spacing w:after="0" w:line="224" w:lineRule="exact"/>
        <w:rPr>
          <w:sz w:val="20"/>
          <w:szCs w:val="20"/>
          <w:color w:val="auto"/>
        </w:rPr>
      </w:pPr>
    </w:p>
    <w:p>
      <w:pPr>
        <w:ind w:right="140" w:firstLine="341"/>
        <w:spacing w:after="0" w:line="27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75"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63"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92" w:lineRule="exact"/>
        <w:rPr>
          <w:sz w:val="20"/>
          <w:szCs w:val="20"/>
          <w:color w:val="auto"/>
        </w:rPr>
      </w:pPr>
    </w:p>
    <w:p>
      <w:pPr>
        <w:ind w:right="80" w:firstLine="341"/>
        <w:spacing w:after="0" w:line="311" w:lineRule="auto"/>
        <w:rPr>
          <w:sz w:val="20"/>
          <w:szCs w:val="20"/>
          <w:color w:val="auto"/>
        </w:rPr>
      </w:pPr>
      <w:r>
        <w:rPr>
          <w:rFonts w:ascii="Arial" w:cs="Arial" w:eastAsia="Arial" w:hAnsi="Arial"/>
          <w:sz w:val="15"/>
          <w:szCs w:val="15"/>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5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right="240" w:firstLine="341"/>
        <w:spacing w:after="0" w:line="306" w:lineRule="auto"/>
        <w:rPr>
          <w:sz w:val="20"/>
          <w:szCs w:val="20"/>
          <w:color w:val="auto"/>
        </w:rPr>
      </w:pPr>
      <w:r>
        <w:rPr>
          <w:rFonts w:ascii="Arial" w:cs="Arial" w:eastAsia="Arial" w:hAnsi="Arial"/>
          <w:sz w:val="15"/>
          <w:szCs w:val="15"/>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2"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stop manufacturing, selling, incorporating or using our products that use the challenged intellectual property;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pay substantial monetary damages;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expend significant resources to redesign the products that use the technology and to develop non-infringing technology.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of these actions could result in a substantial reduction in our revenue and could result in losses over an extended period of time.</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effective internal control over financial reporting in the future, the accuracy and timing of our financial reporting may be adversely affected.</w:t>
      </w:r>
    </w:p>
    <w:p>
      <w:pPr>
        <w:spacing w:after="0" w:line="247"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In connection with the audit of our financial statements for the period ended December 31, 2012, we identified a material weakness related to the inappropriate recording of certain inventory returned for re-work in China as a reduction in cost of sales. This error arose as a result of the configuration of our ERP system, which lacked an automated control within the system to prevent overrides. In addition, the monitoring controls were not operating with sufficient precision to enable the errors to be detected and corrected by management in a timely manner. We believe we have remediated this material weakness by updating our ERP system with respect to the monitoring of returned inventory, providing additional training to certain personnel and adding management oversight. Also, in connection with the audit of our financial statements for the period ended December 31, 2012, three significant deficiencies were identified related to the reclassification of transactions within current liabilities between accounts payable and accrued liabilities, the cut-off of certain expenses for the December 31, 2012 closing related to our Asian operations, and the allocation of standard costing applied among cost of goods sold and inventory at our China subsidiary for the period ended December 31, 2012. We believe we have remediated these three significant deficiencies by providing additional staff training, developing additional procedures, enhancing our end of period closing processes, and providing for the allocation of standard cost of goods sold and inventory for the U.S., Taiwan and China locations.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81" w:lineRule="auto"/>
        <w:rPr>
          <w:sz w:val="20"/>
          <w:szCs w:val="20"/>
          <w:color w:val="auto"/>
        </w:rPr>
      </w:pPr>
      <w:r>
        <w:rPr>
          <w:rFonts w:ascii="Arial" w:cs="Arial" w:eastAsia="Arial" w:hAnsi="Arial"/>
          <w:sz w:val="16"/>
          <w:szCs w:val="16"/>
          <w:color w:val="auto"/>
        </w:rPr>
        <w:t>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this offering,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76"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and certain other tax attributes may be limited.</w:t>
      </w:r>
    </w:p>
    <w:p>
      <w:pPr>
        <w:spacing w:after="0" w:line="224"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As of December 31, 2012, we had U.S. accumulated net operating losses, or NOLs, of approximately $66.7 million for U.S. federal income tax purposes. We also had research and development credit carry-forwards totaling $1.5 million as of December 31, 2012, which begin to expire in 2024. Under Section 382 of the Internal Revenue Code of 1986, as amended, if a corporation undergoes an "ownership change," the corporation's ability to use its pre-change NOLs, capital loss carry-forwards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 $0.3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 may adversely affect our results of operation and our business.</w:t>
      </w:r>
    </w:p>
    <w:p>
      <w:pPr>
        <w:spacing w:after="0" w:line="224"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tax authorities successfully challenge our positions, our effective tax rate may increase, adversely affecting our results of operation and our business.</w:t>
      </w:r>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us to penalties and other adverse consequences.</w:t>
      </w:r>
    </w:p>
    <w:p>
      <w:pPr>
        <w:spacing w:after="0" w:line="224"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As a public company, we will be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36" w:lineRule="exact"/>
        <w:rPr>
          <w:sz w:val="20"/>
          <w:szCs w:val="20"/>
          <w:color w:val="auto"/>
        </w:rPr>
      </w:pPr>
    </w:p>
    <w:p>
      <w:pPr>
        <w:jc w:val="both"/>
        <w:ind w:firstLine="338"/>
        <w:spacing w:after="0" w:line="263" w:lineRule="auto"/>
        <w:rPr>
          <w:sz w:val="20"/>
          <w:szCs w:val="20"/>
          <w:color w:val="auto"/>
        </w:rPr>
      </w:pPr>
      <w:r>
        <w:rPr>
          <w:rFonts w:ascii="Arial" w:cs="Arial" w:eastAsia="Arial" w:hAnsi="Arial"/>
          <w:sz w:val="17"/>
          <w:szCs w:val="17"/>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36"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demands and new regulations related to conflict-free minerals may adversely affect us.</w:t>
      </w:r>
    </w:p>
    <w:p>
      <w:pPr>
        <w:spacing w:after="0" w:line="224" w:lineRule="exact"/>
        <w:rPr>
          <w:sz w:val="20"/>
          <w:szCs w:val="20"/>
          <w:color w:val="auto"/>
        </w:rPr>
      </w:pPr>
    </w:p>
    <w:p>
      <w:pPr>
        <w:ind w:right="40" w:firstLine="338"/>
        <w:spacing w:after="0" w:line="303" w:lineRule="auto"/>
        <w:rPr>
          <w:sz w:val="20"/>
          <w:szCs w:val="20"/>
          <w:color w:val="auto"/>
        </w:rPr>
      </w:pPr>
      <w:r>
        <w:rPr>
          <w:rFonts w:ascii="Arial" w:cs="Arial" w:eastAsia="Arial" w:hAnsi="Arial"/>
          <w:sz w:val="15"/>
          <w:szCs w:val="15"/>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 in China</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20" w:firstLine="338"/>
        <w:spacing w:after="0" w:line="311" w:lineRule="auto"/>
        <w:rPr>
          <w:sz w:val="20"/>
          <w:szCs w:val="20"/>
          <w:color w:val="auto"/>
        </w:rPr>
      </w:pPr>
      <w:r>
        <w:rPr>
          <w:rFonts w:ascii="Arial" w:cs="Arial" w:eastAsia="Arial" w:hAnsi="Arial"/>
          <w:sz w:val="15"/>
          <w:szCs w:val="15"/>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7"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47"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We have not yet realized benefits from this reduction in tax rate because we have not yet generated taxable income in China. Any future increase in the enterprise income tax rate applicable to us or the expiration or other limitation of preferential tax rates available to us could increase our tax liabilities and reduce our net income.</w:t>
      </w:r>
    </w:p>
    <w:p>
      <w:pPr>
        <w:spacing w:after="0" w:line="192"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i w:val="1"/>
          <w:iCs w:val="1"/>
          <w:color w:val="auto"/>
        </w:rPr>
        <w:t>China regulation of loans and direct investment by offshore holding companies to China entities may delay or prevent us from using the proceeds we receive from this offering to make loans or additional capital contributions to our China subsidiary.</w:t>
      </w:r>
    </w:p>
    <w:p>
      <w:pPr>
        <w:spacing w:after="0" w:line="170" w:lineRule="exact"/>
        <w:rPr>
          <w:sz w:val="20"/>
          <w:szCs w:val="20"/>
          <w:color w:val="auto"/>
        </w:rPr>
      </w:pPr>
    </w:p>
    <w:p>
      <w:pPr>
        <w:jc w:val="both"/>
        <w:ind w:right="280" w:firstLine="341"/>
        <w:spacing w:after="0" w:line="294" w:lineRule="auto"/>
        <w:rPr>
          <w:sz w:val="20"/>
          <w:szCs w:val="20"/>
          <w:color w:val="auto"/>
        </w:rPr>
      </w:pPr>
      <w:r>
        <w:rPr>
          <w:rFonts w:ascii="Arial" w:cs="Arial" w:eastAsia="Arial" w:hAnsi="Arial"/>
          <w:sz w:val="15"/>
          <w:szCs w:val="15"/>
          <w:color w:val="auto"/>
        </w:rPr>
        <w:t>In utilizing the proceeds we receive from this offering, we may make loans or additional capital contributions to our China subsidiary. Any loans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w:t>
      </w:r>
    </w:p>
    <w:p>
      <w:pPr>
        <w:spacing w:after="0" w:line="1"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38"/>
        <w:spacing w:after="0" w:line="322" w:lineRule="auto"/>
        <w:rPr>
          <w:sz w:val="20"/>
          <w:szCs w:val="20"/>
          <w:color w:val="auto"/>
        </w:rPr>
      </w:pPr>
      <w:r>
        <w:rPr>
          <w:rFonts w:ascii="Arial" w:cs="Arial" w:eastAsia="Arial" w:hAnsi="Arial"/>
          <w:sz w:val="15"/>
          <w:szCs w:val="15"/>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use the proceeds of this offering and to capitalize our China subsidiary may be negatively affected, which could materially and adversely affect our liquidity and ability to fund and expand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2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turnover of direct labor in manufacturing industries in China is high, which could adversely affect our production, shipments and results of operations.</w:t>
      </w:r>
    </w:p>
    <w:p>
      <w:pPr>
        <w:spacing w:after="0" w:line="247"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our labor costs in China may adversely affect our business and our profitability.</w:t>
      </w:r>
    </w:p>
    <w:p>
      <w:pPr>
        <w:spacing w:after="0" w:line="224" w:lineRule="exact"/>
        <w:rPr>
          <w:sz w:val="20"/>
          <w:szCs w:val="20"/>
          <w:color w:val="auto"/>
        </w:rPr>
      </w:pPr>
    </w:p>
    <w:p>
      <w:pPr>
        <w:ind w:right="380" w:firstLine="332"/>
        <w:spacing w:after="0" w:line="270" w:lineRule="auto"/>
        <w:rPr>
          <w:sz w:val="20"/>
          <w:szCs w:val="20"/>
          <w:color w:val="auto"/>
        </w:rPr>
      </w:pPr>
      <w:r>
        <w:rPr>
          <w:rFonts w:ascii="Arial" w:cs="Arial" w:eastAsia="Arial" w:hAnsi="Arial"/>
          <w:sz w:val="17"/>
          <w:szCs w:val="17"/>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establishing and maintaining adequate management and financial controls over our China operations.</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b w:val="1"/>
          <w:bCs w:val="1"/>
          <w:i w:val="1"/>
          <w:iCs w:val="1"/>
          <w:color w:val="auto"/>
        </w:rPr>
        <w:t>There is no existing market for our common stock and we do not know if one will develop to provide our stockholders liquidity for the shares they hold or purchase in this offering.</w:t>
      </w:r>
    </w:p>
    <w:p>
      <w:pPr>
        <w:spacing w:after="0" w:line="170"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There has not been a public trading market for shares of our common stock prior to this offering. An active trading market may not develop or be sustained after this offering. The initial public offering price for the shares of common stock sold in this offering will be determined by negotiations between us, the selling stockholders and representatives of the underwriters. This price may not be indicative of the price at which our common stock will trade after this offering.</w:t>
      </w:r>
    </w:p>
    <w:p>
      <w:pPr>
        <w:spacing w:after="0" w:line="163" w:lineRule="exact"/>
        <w:rPr>
          <w:sz w:val="20"/>
          <w:szCs w:val="20"/>
          <w:color w:val="auto"/>
        </w:rPr>
      </w:pPr>
    </w:p>
    <w:p>
      <w:pPr>
        <w:ind w:right="560"/>
        <w:spacing w:after="0" w:line="315" w:lineRule="auto"/>
        <w:rPr>
          <w:sz w:val="20"/>
          <w:szCs w:val="20"/>
          <w:color w:val="auto"/>
        </w:rPr>
      </w:pPr>
      <w:r>
        <w:rPr>
          <w:rFonts w:ascii="Arial" w:cs="Arial" w:eastAsia="Arial" w:hAnsi="Arial"/>
          <w:sz w:val="16"/>
          <w:szCs w:val="16"/>
          <w:b w:val="1"/>
          <w:bCs w:val="1"/>
          <w:i w:val="1"/>
          <w:iCs w:val="1"/>
          <w:color w:val="auto"/>
        </w:rPr>
        <w:t>Our principal stockholders, executive officers and directors own a significant percentage of our stock and will continue to have significant control of our management and affairs after the offering, and they can take actions that may be against your best interests.</w:t>
      </w:r>
    </w:p>
    <w:p>
      <w:pPr>
        <w:spacing w:after="0" w:line="146"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Following the completion of this offering, our executive officers and directors, and entities that are affiliated with them, will beneficially own an aggregate of approximately 15.4% of our outstanding common stock, on an as-converted basis, based on an assumed initial offering price of $14.00 per share, the midpoint of the price range set forth on the front cover of this prospectus.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could decline due to the large number of outstanding shares of our common stock eligible for future sale.</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Sales of substantial amounts of our common stock in the public market following this offering,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7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Upon completion of this offering, we will have an aggregate of 12,609,648 shares of common stock outstanding, assuming no exercise of outstanding options or warrants, other than the automatic conversion of those warrants that expire upon the completion of this offering into an aggregate of 16,474 shares of common stock, based on the midpoint of the price range set forth on the cover of this prospectus. The 3,600,000 shares sold pursuant to this offering will be immediately tradable without restriction. Of the remaining 9,009,648 shares:</w:t>
      </w:r>
    </w:p>
    <w:p>
      <w:pPr>
        <w:spacing w:after="0" w:line="199" w:lineRule="exact"/>
        <w:rPr>
          <w:sz w:val="20"/>
          <w:szCs w:val="20"/>
          <w:color w:val="auto"/>
        </w:rPr>
      </w:pPr>
    </w:p>
    <w:p>
      <w:pPr>
        <w:ind w:left="5620" w:right="3180" w:hanging="5091"/>
        <w:spacing w:after="0" w:line="540" w:lineRule="auto"/>
        <w:tabs>
          <w:tab w:leader="none" w:pos="10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approximately 0.1 million shares will be eligible for sale immediately upon completion of this offering;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15"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approximately 0.1 million shares will become eligible for sale between the completion of this offering and the expiration of lock-up agreements, subject in some cases to volume and other restrictions of Rule 144 under the Securities Act of 1933, as amended, or the Securities Act; and</w:t>
      </w:r>
    </w:p>
    <w:p>
      <w:pPr>
        <w:spacing w:after="0" w:line="172" w:lineRule="exact"/>
        <w:rPr>
          <w:rFonts w:ascii="Arial" w:cs="Arial" w:eastAsia="Arial" w:hAnsi="Arial"/>
          <w:sz w:val="16"/>
          <w:szCs w:val="16"/>
          <w:color w:val="auto"/>
        </w:rPr>
      </w:pPr>
    </w:p>
    <w:p>
      <w:pPr>
        <w:ind w:left="1060" w:right="62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8.8 million shares will be eligible for sale upon the expiration of lock-up agreements, subject in some cases to volume and other restrictions of Rule 144 under the Securities Act.</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lock-up agreements expire 180 days after the date of this prospectus, subject to potential extension in the event we release earning results or material news or a material event relating to us occurs near the end of the lock-up period and in the event that we cease to be an emerging growth company. Raymond James &amp; Associates, Inc. and Piper Jaffray &amp; Co., as representatives of the underwriters, may, in their sole discretion and at any time without notice, release all or any portion of the securities subject to lock-up agreements. After the completion of this offering, we intend to register approximately 1.5 million shares of our common stock that have been issued or reserved for future issuance under our stock incentive plans.</w:t>
      </w:r>
    </w:p>
    <w:p>
      <w:pPr>
        <w:spacing w:after="0" w:line="187" w:lineRule="exact"/>
        <w:rPr>
          <w:sz w:val="20"/>
          <w:szCs w:val="20"/>
          <w:color w:val="auto"/>
        </w:rPr>
      </w:pPr>
    </w:p>
    <w:p>
      <w:pPr>
        <w:ind w:right="440"/>
        <w:spacing w:after="0" w:line="282" w:lineRule="auto"/>
        <w:rPr>
          <w:sz w:val="20"/>
          <w:szCs w:val="20"/>
          <w:color w:val="auto"/>
        </w:rPr>
      </w:pPr>
      <w:r>
        <w:rPr>
          <w:rFonts w:ascii="Arial" w:cs="Arial" w:eastAsia="Arial" w:hAnsi="Arial"/>
          <w:sz w:val="17"/>
          <w:szCs w:val="17"/>
          <w:b w:val="1"/>
          <w:bCs w:val="1"/>
          <w:i w:val="1"/>
          <w:iCs w:val="1"/>
          <w:color w:val="auto"/>
        </w:rPr>
        <w:t>Because our initial public offering price is substantially higher than the pro forma as adjusted net tangible book value per share of our outstanding common stock, new investors will incur immediate and substantial dilution.</w:t>
      </w:r>
    </w:p>
    <w:p>
      <w:pPr>
        <w:spacing w:after="0" w:line="170" w:lineRule="exact"/>
        <w:rPr>
          <w:sz w:val="20"/>
          <w:szCs w:val="20"/>
          <w:color w:val="auto"/>
        </w:rPr>
      </w:pPr>
    </w:p>
    <w:p>
      <w:pPr>
        <w:ind w:right="140" w:firstLine="338"/>
        <w:spacing w:after="0" w:line="280" w:lineRule="auto"/>
        <w:rPr>
          <w:sz w:val="20"/>
          <w:szCs w:val="20"/>
          <w:color w:val="auto"/>
        </w:rPr>
      </w:pPr>
      <w:r>
        <w:rPr>
          <w:rFonts w:ascii="Arial" w:cs="Arial" w:eastAsia="Arial" w:hAnsi="Arial"/>
          <w:sz w:val="16"/>
          <w:szCs w:val="16"/>
          <w:color w:val="auto"/>
        </w:rPr>
        <w:t>The initial public offering price is substantially higher than the pro forma as adjusted net tangible book value per share of our common stock based on the expected total value of our total assets, less our goodwill and other intangible assets, less our total liabilities immediately following this offering. Therefore, if you purchase shares of our common stock in this offering, you will experience immediate and substantial dilution of $8.22 per share in the price you pay for our common stock compared to the pro forma as adjusted net tangible book value as of June 30, 2013. Furthermore, investors purchasing our common stock in this offering will own only 28.5% of our shares outstanding even though they will have contributed 32.1% of the total consideration received by us in connection with our sales of common stock. To the extent outstanding options to purchase common stock are exercised, there will be further dilution. For a further description of the dilution that you will experience immediately after this offering, see the section titled "Dilution."</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We currently do not plan to declare or pay dividends on shares of our common stock in the foreseeable future. In addition, the terms of our loan and security agreement with East West Bank restrict our ability to pay dividends. See "Dividend Policy" for more information. Consequently, your only opportunity to achieve a return on the shares you purchase in this offering will be if the market price of our common stock appreciates and you sell your shares at a profit. There is no guarantee that the price of our common stock in the market after this offering will ever exceed the price that you pay.</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Our amended and restated certificate of incorporation and our amended and restated bylaws to be effective immediately prior to closing of this offering and our stock incentive plans contain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provisions that could delay or prevent a change in control of our company. These provisions could also make it more difficult for stockholders to elect directors and take other corporate actions. These provisions include:</w:t>
      </w:r>
    </w:p>
    <w:p>
      <w:pPr>
        <w:spacing w:after="0" w:line="183"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authorizing our board of directors to issue, without stockholder approval, preferred stock rights senior to those of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prohibiting stockholder action by written consent;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persons who may call special meetings of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 and</w:t>
      </w:r>
    </w:p>
    <w:p>
      <w:pPr>
        <w:spacing w:after="0" w:line="237" w:lineRule="exact"/>
        <w:rPr>
          <w:rFonts w:ascii="Arial" w:cs="Arial" w:eastAsia="Arial" w:hAnsi="Arial"/>
          <w:sz w:val="17"/>
          <w:szCs w:val="17"/>
          <w:color w:val="auto"/>
        </w:rPr>
      </w:pPr>
    </w:p>
    <w:p>
      <w:pPr>
        <w:ind w:left="1060" w:right="40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 of control provisions in our stock incentive plans, and the individual stock option agreements, which provide that a change of control may accelerate the vesting of the stock options issued under such plans.</w:t>
      </w:r>
    </w:p>
    <w:p>
      <w:pPr>
        <w:spacing w:after="0" w:line="170"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In addition, the provisions of Section 203 of the Delaware General Corporate Law will govern us upon completion of this offering.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9"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Stock—Anti-takeover effects of Delaware law."</w:t>
      </w:r>
    </w:p>
    <w:p>
      <w:pPr>
        <w:spacing w:after="0" w:line="185"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b w:val="1"/>
          <w:bCs w:val="1"/>
          <w:i w:val="1"/>
          <w:iCs w:val="1"/>
          <w:color w:val="auto"/>
        </w:rPr>
        <w:t>Our current loan agreement could make a takeover that stockholders consider favorable more difficult and could also reduce the price an acquiror would be willing to pay of our stock.</w:t>
      </w:r>
    </w:p>
    <w:p>
      <w:pPr>
        <w:spacing w:after="0" w:line="170"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Our current loan agreement with East West Bank contains a provision that prevents us from terminating or replacing our Chief Executive Officer, Chief Financial Officer or other executive level officer without the prior approval from East West Bank. This provision in our loan agreement could also discourage potential takeover attempts or, reduce the price that an acquiror might be willing to pay to acquire us in the future.</w:t>
      </w:r>
    </w:p>
    <w:p>
      <w:pPr>
        <w:spacing w:after="0" w:line="17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employment as a result of their disability or for cause. In the event we are required to make these separation payments, it could have a material adverse effect on our results of operations for the fiscal period in which such payments are made. For a further description of the separation benefits that we may be obligated to pay upon such termination of these executives, see the section titled "Management—Agreements with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be unable to sell your shares at or above the offering price.</w:t>
      </w:r>
    </w:p>
    <w:p>
      <w:pPr>
        <w:spacing w:after="0" w:line="224" w:lineRule="exact"/>
        <w:rPr>
          <w:sz w:val="20"/>
          <w:szCs w:val="20"/>
          <w:color w:val="auto"/>
        </w:rPr>
      </w:pPr>
    </w:p>
    <w:p>
      <w:pPr>
        <w:ind w:right="220" w:firstLine="338"/>
        <w:spacing w:after="0" w:line="315"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section of this prospectus, and other factors beyond our control, such as fluctuations in the valuation of companies perceived by investors to be comparable to us.</w:t>
      </w:r>
    </w:p>
    <w:p>
      <w:pPr>
        <w:spacing w:after="0" w:line="146"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5" w:lineRule="exact"/>
        <w:rPr>
          <w:sz w:val="20"/>
          <w:szCs w:val="20"/>
          <w:color w:val="auto"/>
        </w:rPr>
      </w:pPr>
    </w:p>
    <w:p>
      <w:pPr>
        <w:jc w:val="both"/>
        <w:ind w:right="340" w:firstLine="341"/>
        <w:spacing w:after="0" w:line="270" w:lineRule="auto"/>
        <w:rPr>
          <w:sz w:val="20"/>
          <w:szCs w:val="20"/>
          <w:color w:val="auto"/>
        </w:rPr>
      </w:pPr>
      <w:r>
        <w:rPr>
          <w:rFonts w:ascii="Arial" w:cs="Arial" w:eastAsia="Arial" w:hAnsi="Arial"/>
          <w:sz w:val="17"/>
          <w:szCs w:val="17"/>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160" w:firstLine="338"/>
        <w:spacing w:after="0" w:line="263" w:lineRule="auto"/>
        <w:rPr>
          <w:sz w:val="20"/>
          <w:szCs w:val="20"/>
          <w:color w:val="auto"/>
        </w:rPr>
      </w:pPr>
      <w:r>
        <w:rPr>
          <w:rFonts w:ascii="Arial" w:cs="Arial" w:eastAsia="Arial" w:hAnsi="Arial"/>
          <w:sz w:val="17"/>
          <w:szCs w:val="17"/>
          <w:color w:val="auto"/>
        </w:rPr>
        <w:t>We are an emerging growth company within the meaning of the rules under the Securities Act. We have in this prospectus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7"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55"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 AND INDUSTRY DATA</w:t>
      </w:r>
    </w:p>
    <w:p>
      <w:pPr>
        <w:spacing w:after="0" w:line="228" w:lineRule="exact"/>
        <w:rPr>
          <w:sz w:val="20"/>
          <w:szCs w:val="20"/>
          <w:color w:val="auto"/>
        </w:rPr>
      </w:pPr>
    </w:p>
    <w:p>
      <w:pPr>
        <w:jc w:val="both"/>
        <w:ind w:right="220" w:firstLine="338"/>
        <w:spacing w:after="0" w:line="29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are forward-looking statements, including statements regarding our future financial position, sources of revenue, business strategy and plans, prospective products, product approvals or products under development, costs, timing and likelihood of success, gross margins, and objectives of management for future operations. In particular, many of the statements under the headings "Prospectus summary," "Risk Factors," "Management's discussion and analysis of financial condition and results of operations" and "Business" constitute forward-looking statements. In some cases, you can identify forward-looking statements by terminology such as "may," "will," "should,"</w:t>
      </w:r>
    </w:p>
    <w:p>
      <w:pPr>
        <w:spacing w:after="0" w:line="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"expects," "plans," "anticipates," "believes," "estimates," "predicts," "potential," "continue," the negative of these terms, or by other similar expressions that convey uncertainty of future events or outcomes to identify these forward-looking statements. These statements are only predictions, involving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We discuss many of these factors, risks and uncertainties in greater detail under the heading "Risk Factors" and elsewhere in this prospectus. These factors expressly qualify all oral and written forward-looking statements attributable to us or persons acting on our behalf.</w:t>
      </w:r>
    </w:p>
    <w:p>
      <w:pPr>
        <w:spacing w:after="0" w:line="174" w:lineRule="exact"/>
        <w:rPr>
          <w:sz w:val="20"/>
          <w:szCs w:val="20"/>
          <w:color w:val="auto"/>
        </w:rPr>
      </w:pPr>
    </w:p>
    <w:p>
      <w:pPr>
        <w:ind w:right="120" w:firstLine="335"/>
        <w:spacing w:after="0" w:line="263" w:lineRule="auto"/>
        <w:rPr>
          <w:sz w:val="20"/>
          <w:szCs w:val="20"/>
          <w:color w:val="auto"/>
        </w:rPr>
      </w:pPr>
      <w:r>
        <w:rPr>
          <w:rFonts w:ascii="Arial" w:cs="Arial" w:eastAsia="Arial" w:hAnsi="Arial"/>
          <w:sz w:val="17"/>
          <w:szCs w:val="17"/>
          <w:color w:val="auto"/>
        </w:rPr>
        <w:t>You should not rely on forward-looking statements as predictions of future events. Although we believe that the expectations reflected in the forward-looking statements are reasonable, we cannot guarantee future results, levels of activity, performance or achievements. Actual results may differ materially from those suggested by the forward-looking statements for various reasons, including those discussed under "Risk Factors" in this prospectus. Except as required by law, we assume no obligation to update forward-looking statements for any reason after the date of this prospectus to conform these statements to actual results or to changes in our expectations.</w:t>
      </w:r>
    </w:p>
    <w:p>
      <w:pPr>
        <w:spacing w:after="0" w:line="187"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This prospectus contains market data and certain other statistical information based on independent industry publications, governmental publications, reports by market research firms or other independent sources, including those generated by Akamai, Cisco, Infonetics and Ovum Limited, as well as our internal research. Some data is also based on our internal estimates. Industry publications, surveys and market research reports generally state that the information contained in them has been obtained from sources believed by the sources' authors to be reliable, but we have not independently verified any of the data from third party sources nor have we investigated the underlying economic assumptions on which such data are based. We commissioned certain Ovum research referenced in the sections "Prospectus Summary" and "Business" in this prospectus and contributed to its preparation. This information involves a number of assumptions and limitations. The markets in which we operate are subject to a high degree of uncertainty and risk due to a variety of factors, including those described in the section of this prospectus titled "Risk Factors."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USE OF PROCEEDS</w:t>
      </w:r>
    </w:p>
    <w:p>
      <w:pPr>
        <w:spacing w:after="0" w:line="228" w:lineRule="exact"/>
        <w:rPr>
          <w:sz w:val="20"/>
          <w:szCs w:val="20"/>
          <w:color w:val="auto"/>
        </w:rPr>
      </w:pPr>
    </w:p>
    <w:p>
      <w:pPr>
        <w:ind w:right="40" w:firstLine="338"/>
        <w:spacing w:after="0" w:line="303" w:lineRule="auto"/>
        <w:rPr>
          <w:sz w:val="20"/>
          <w:szCs w:val="20"/>
          <w:color w:val="auto"/>
        </w:rPr>
      </w:pPr>
      <w:r>
        <w:rPr>
          <w:rFonts w:ascii="Arial" w:cs="Arial" w:eastAsia="Arial" w:hAnsi="Arial"/>
          <w:sz w:val="15"/>
          <w:szCs w:val="15"/>
          <w:color w:val="auto"/>
        </w:rPr>
        <w:t>We estimate that the net proceeds of the sale by us of our common stock in this offering will be approximately $44.2 million, based on an assumed initial public offering price of $14.00 per share, which is the midpoint of the price range listed on the cover page of this prospectus, after deducting the underwriting discounts and commissions and estimated offering expenses payable by us. A $1.00 increase or decrease in the assumed initial public offering price of $14.00 per share would increase or decrease the net proceeds to us from the offering by $3.3 million, assuming the number of shares offered by us, as set forth on the cover page of this prospectus, remains the same and after deducting the underwriting discounts and commissions and offering expenses payable by us. The selling stockholders will sell shares in this offering only if the over-allotment option is exercised. We will not receive any proceeds from the sale of shares by the selling stockholders.</w:t>
      </w:r>
    </w:p>
    <w:p>
      <w:pPr>
        <w:spacing w:after="0" w:line="162"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The primary purposes for this offering are to allow us to increase our amount of working capital, to allow the possibility of repaying some portion of our indebtedness in advance of its maturity date, to fund capital expenditures or make investments in or acquisitions of other businesses, products, or technologies, and to create a public market for shares of our common stock. We anticipate that we may use approximately $13.0 million of our net proceeds to repay outstanding indebtedness, which currently has interest rates ranging from 4.375% to 6.875% and maturity dates ranging from September 2013 to November 2014. We anticipate that we may use $10.0 million of our net proceeds on capital expenditures over the next twelve months to purchase equipment to support the manufacturing of our products and the development of our technologies. We may also use a portion of net proceeds to expand our current business through strategic alliances with, or acquisitions of, other businesses, products or technologies. Because we currently have no agreements or commitments for any such specific alliances or acquisitions, we have not identified what portion, if any, of the net proceeds will be used for this purpose. Other than as described above, we do not have current specific plans for the use of the net proceeds from this offering. Pending any use above, we plan to invest the net proceeds in investment-grade, short-term, interest-bearing securities.</w:t>
      </w:r>
    </w:p>
    <w:p>
      <w:pPr>
        <w:spacing w:after="0" w:line="16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Management will have significant flexibility in applying the net proceeds of the offering. The amount and timing of our actual spending for these purposes may vary significantly from our plans and will depend on a number of factors, including our future revenues, cash generated by operations and other factors described under the heading "Risk Factors." We may find it necessary or advisable to use portions of the proceeds for other purposes.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right="140" w:firstLine="338"/>
        <w:spacing w:after="0" w:line="283" w:lineRule="auto"/>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prohibit us from paying dividends.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consolidated cash and cash equivalents and capitalization as of June 30, 2013 on:</w:t>
      </w:r>
    </w:p>
    <w:p>
      <w:pPr>
        <w:spacing w:after="0" w:line="237"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actual basis;</w:t>
      </w:r>
    </w:p>
    <w:p>
      <w:pPr>
        <w:spacing w:after="0" w:line="250"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 forma basis to reflect the 30-to-one reverse stock split effected on August 20, 2013 and the conversion of all outstanding shares of our preferred stock into an aggregate of 8,708,895 shares of common stock; and</w:t>
      </w:r>
    </w:p>
    <w:p>
      <w:pPr>
        <w:spacing w:after="0" w:line="182" w:lineRule="exact"/>
        <w:rPr>
          <w:rFonts w:ascii="Arial" w:cs="Arial" w:eastAsia="Arial" w:hAnsi="Arial"/>
          <w:sz w:val="17"/>
          <w:szCs w:val="17"/>
          <w:color w:val="auto"/>
        </w:rPr>
      </w:pPr>
    </w:p>
    <w:p>
      <w:pPr>
        <w:ind w:left="1060" w:right="60" w:hanging="531"/>
        <w:spacing w:after="0" w:line="270"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 forma as adjusted basis to reflect the pro forma adjustments described above and the sale by us of 3,600,000 shares of common stock in this offering, at an assumed initial public offering price of $14.00 per share, the midpoint of the price range set forth on the front cover of this prospectus, after deducting underwriting discounts and commissions and estimated offering expenses.</w:t>
      </w:r>
    </w:p>
    <w:p>
      <w:pPr>
        <w:spacing w:after="0" w:line="179"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information below is illustrative only and our capitalization following the completion of this offering will be adjusted based on the actual initial public offering price and other terms of this offering determined at pricing. The terms of our preferred stock provide that our preferred stock will automatically convert into shares of our common stock upon the closing of our first underwritten public offering under an effective registration statement covering the offering and sale of our common stock for our account on a firm commitment basis for proceeds of at least $30 million (for which this offering will qualify). You should read the information in this table together with "Management's Discussion and Analysis of Financial Condition and Results of Operations" and our consolidated financial statements and the accompanying notes appearing elsewhere in this prospectus.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1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7"/>
          </w:tcPr>
          <w:p>
            <w:pPr>
              <w:jc w:val="right"/>
              <w:ind w:right="1040"/>
              <w:spacing w:after="0"/>
              <w:rPr>
                <w:sz w:val="20"/>
                <w:szCs w:val="20"/>
                <w:color w:val="auto"/>
              </w:rPr>
            </w:pPr>
            <w:r>
              <w:rPr>
                <w:rFonts w:ascii="Arial" w:cs="Arial" w:eastAsia="Arial" w:hAnsi="Arial"/>
                <w:sz w:val="13"/>
                <w:szCs w:val="13"/>
                <w:b w:val="1"/>
                <w:bCs w:val="1"/>
                <w:color w:val="auto"/>
                <w:w w:val="91"/>
              </w:rPr>
              <w:t>As of June 30, 2013</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7"/>
              <w:spacing w:after="0" w:line="124" w:lineRule="exact"/>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Actual</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5"/>
              </w:rPr>
              <w:t>as adjusted (8)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10"/>
          </w:tcPr>
          <w:p>
            <w:pPr>
              <w:jc w:val="right"/>
              <w:ind w:right="660"/>
              <w:spacing w:after="0"/>
              <w:rPr>
                <w:sz w:val="20"/>
                <w:szCs w:val="20"/>
                <w:color w:val="auto"/>
              </w:rPr>
            </w:pPr>
            <w:r>
              <w:rPr>
                <w:rFonts w:ascii="Arial" w:cs="Arial" w:eastAsia="Arial" w:hAnsi="Arial"/>
                <w:sz w:val="13"/>
                <w:szCs w:val="13"/>
                <w:b w:val="1"/>
                <w:bCs w:val="1"/>
                <w:color w:val="auto"/>
              </w:rPr>
              <w:t>(in thousands, except share data)</w:t>
            </w: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25,922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12,922</w:t>
            </w: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Stockholders' equity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1"/>
              </w:rPr>
              <w:t>Redeemable Series A preferred stock, $0.001 par value, 4,900,000 shares authorized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94"/>
              </w:rPr>
              <w:t>and 160,180 shares outstanding, actual; and no shares issued or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forma or pro forma as adjusted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7,105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gridSpan w:val="2"/>
          </w:tcPr>
          <w:p>
            <w:pPr>
              <w:ind w:left="160"/>
              <w:spacing w:after="0"/>
              <w:rPr>
                <w:sz w:val="20"/>
                <w:szCs w:val="20"/>
                <w:color w:val="auto"/>
              </w:rPr>
            </w:pPr>
            <w:r>
              <w:rPr>
                <w:rFonts w:ascii="Arial" w:cs="Arial" w:eastAsia="Arial" w:hAnsi="Arial"/>
                <w:sz w:val="17"/>
                <w:szCs w:val="17"/>
                <w:color w:val="auto"/>
              </w:rPr>
              <w:t>Series C preferred stock, $0.001 par value, 17,500,000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320"/>
              <w:spacing w:after="0"/>
              <w:rPr>
                <w:sz w:val="20"/>
                <w:szCs w:val="20"/>
                <w:color w:val="auto"/>
              </w:rPr>
            </w:pPr>
            <w:r>
              <w:rPr>
                <w:rFonts w:ascii="Arial" w:cs="Arial" w:eastAsia="Arial" w:hAnsi="Arial"/>
                <w:sz w:val="17"/>
                <w:szCs w:val="17"/>
                <w:color w:val="auto"/>
                <w:w w:val="92"/>
              </w:rPr>
              <w:t>582,284 shares outstanding, actual; and no shares issued or outstanding pro forma</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2"/>
          </w:tcPr>
          <w:p>
            <w:pPr>
              <w:ind w:left="320"/>
              <w:spacing w:after="0"/>
              <w:rPr>
                <w:sz w:val="20"/>
                <w:szCs w:val="20"/>
                <w:color w:val="auto"/>
              </w:rPr>
            </w:pPr>
            <w:r>
              <w:rPr>
                <w:rFonts w:ascii="Arial" w:cs="Arial" w:eastAsia="Arial" w:hAnsi="Arial"/>
                <w:sz w:val="17"/>
                <w:szCs w:val="17"/>
                <w:color w:val="auto"/>
              </w:rPr>
              <w:t>or pro forma as adjusted (2)</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21,802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Series D preferred stock, $0.001 par value, 11,800,000 shares authorized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92"/>
              </w:rPr>
              <w:t>380,441 shares outstanding, actual; and no shares issued or outstanding pro forma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or pro forma as adjusted (3)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gridSpan w:val="2"/>
          </w:tcPr>
          <w:p>
            <w:pPr>
              <w:ind w:left="160"/>
              <w:spacing w:after="0"/>
              <w:rPr>
                <w:sz w:val="20"/>
                <w:szCs w:val="20"/>
                <w:color w:val="auto"/>
              </w:rPr>
            </w:pPr>
            <w:r>
              <w:rPr>
                <w:rFonts w:ascii="Arial" w:cs="Arial" w:eastAsia="Arial" w:hAnsi="Arial"/>
                <w:sz w:val="17"/>
                <w:szCs w:val="17"/>
                <w:color w:val="auto"/>
              </w:rPr>
              <w:t>Series E preferred stock, $0.001 par value, 11,000,000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320"/>
              <w:spacing w:after="0"/>
              <w:rPr>
                <w:sz w:val="20"/>
                <w:szCs w:val="20"/>
                <w:color w:val="auto"/>
              </w:rPr>
            </w:pPr>
            <w:r>
              <w:rPr>
                <w:rFonts w:ascii="Arial" w:cs="Arial" w:eastAsia="Arial" w:hAnsi="Arial"/>
                <w:sz w:val="17"/>
                <w:szCs w:val="17"/>
                <w:color w:val="auto"/>
                <w:w w:val="92"/>
              </w:rPr>
              <w:t>344,581 shares outstanding, actual; and no shares issued or outstanding pro forma</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2"/>
          </w:tcPr>
          <w:p>
            <w:pPr>
              <w:ind w:left="320"/>
              <w:spacing w:after="0"/>
              <w:rPr>
                <w:sz w:val="20"/>
                <w:szCs w:val="20"/>
                <w:color w:val="auto"/>
              </w:rPr>
            </w:pPr>
            <w:r>
              <w:rPr>
                <w:rFonts w:ascii="Arial" w:cs="Arial" w:eastAsia="Arial" w:hAnsi="Arial"/>
                <w:sz w:val="17"/>
                <w:szCs w:val="17"/>
                <w:color w:val="auto"/>
              </w:rPr>
              <w:t>or pro forma as adjusted (4)</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28,055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Series F preferred stock, $0.001 par value, 82,000,000 shares authorized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97"/>
              </w:rPr>
              <w:t>2,676,954 shares outstanding, actual; and no shares issued or outstanding pro</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forma or pro forma as adjusted (5)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19,476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gridSpan w:val="2"/>
          </w:tcPr>
          <w:p>
            <w:pPr>
              <w:ind w:left="160"/>
              <w:spacing w:after="0"/>
              <w:rPr>
                <w:sz w:val="20"/>
                <w:szCs w:val="20"/>
                <w:color w:val="auto"/>
              </w:rPr>
            </w:pPr>
            <w:r>
              <w:rPr>
                <w:rFonts w:ascii="Arial" w:cs="Arial" w:eastAsia="Arial" w:hAnsi="Arial"/>
                <w:sz w:val="17"/>
                <w:szCs w:val="17"/>
                <w:color w:val="auto"/>
              </w:rPr>
              <w:t>Series G preferred stock, $0.001 par value, 45,000,000 shares authorized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320"/>
              <w:spacing w:after="0"/>
              <w:rPr>
                <w:sz w:val="20"/>
                <w:szCs w:val="20"/>
                <w:color w:val="auto"/>
              </w:rPr>
            </w:pPr>
            <w:r>
              <w:rPr>
                <w:rFonts w:ascii="Arial" w:cs="Arial" w:eastAsia="Arial" w:hAnsi="Arial"/>
                <w:sz w:val="17"/>
                <w:szCs w:val="17"/>
                <w:color w:val="auto"/>
                <w:w w:val="97"/>
              </w:rPr>
              <w:t>1,431,307 shares outstanding, actual; and no shares issued or outstanding pro</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2"/>
          </w:tcPr>
          <w:p>
            <w:pPr>
              <w:ind w:left="320"/>
              <w:spacing w:after="0"/>
              <w:rPr>
                <w:sz w:val="20"/>
                <w:szCs w:val="20"/>
                <w:color w:val="auto"/>
              </w:rPr>
            </w:pPr>
            <w:r>
              <w:rPr>
                <w:rFonts w:ascii="Arial" w:cs="Arial" w:eastAsia="Arial" w:hAnsi="Arial"/>
                <w:sz w:val="17"/>
                <w:szCs w:val="17"/>
                <w:color w:val="auto"/>
              </w:rPr>
              <w:t>forma or pro forma as adjusted (6)</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14,993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5"/>
              </w:rPr>
              <w:t>Common stock, $0.001 par value: 300,000,000 shares authorized; 284,279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98"/>
              </w:rPr>
              <w:t>outstanding, actual; 9,009,648 shares issued and outstanding, pro forma; and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12,609,648 shares issued and outstanding pro forma as adjusted (7)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6100" w:type="dxa"/>
            <w:vAlign w:val="bottom"/>
            <w:gridSpan w:val="2"/>
          </w:tcPr>
          <w:p>
            <w:pPr>
              <w:ind w:left="16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4,679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111,469</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155,637</w:t>
            </w: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16"/>
        </w:trPr>
        <w:tc>
          <w:tcPr>
            <w:tcW w:w="6100" w:type="dxa"/>
            <w:vAlign w:val="bottom"/>
            <w:gridSpan w:val="2"/>
          </w:tcPr>
          <w:p>
            <w:pPr>
              <w:ind w:left="16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(83,193)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(83,193)</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(83,193)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stockholders' equity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30,540</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74,712</w:t>
            </w:r>
          </w:p>
        </w:tc>
        <w:tc>
          <w:tcPr>
            <w:tcW w:w="0" w:type="dxa"/>
            <w:vAlign w:val="bottom"/>
          </w:tcPr>
          <w:p>
            <w:pPr>
              <w:spacing w:after="0"/>
              <w:rPr>
                <w:sz w:val="1"/>
                <w:szCs w:val="1"/>
                <w:color w:val="auto"/>
              </w:rPr>
            </w:pPr>
          </w:p>
        </w:tc>
      </w:tr>
      <w:tr>
        <w:trPr>
          <w:trHeight w:val="26"/>
        </w:trPr>
        <w:tc>
          <w:tcPr>
            <w:tcW w:w="6100" w:type="dxa"/>
            <w:vAlign w:val="bottom"/>
            <w:gridSpan w:val="2"/>
            <w:vMerge w:val="restart"/>
          </w:tcPr>
          <w:p>
            <w:pPr>
              <w:ind w:left="20"/>
              <w:spacing w:after="0"/>
              <w:rPr>
                <w:sz w:val="20"/>
                <w:szCs w:val="20"/>
                <w:color w:val="auto"/>
              </w:rPr>
            </w:pPr>
            <w:r>
              <w:rPr>
                <w:rFonts w:ascii="Arial" w:cs="Arial" w:eastAsia="Arial" w:hAnsi="Arial"/>
                <w:sz w:val="17"/>
                <w:szCs w:val="17"/>
                <w:color w:val="auto"/>
              </w:rPr>
              <w:t>Total capitalization</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87,634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12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160,180 shares of our redeemable Series A preferred stock outstanding on an actual basis will convert into 508,244 shares of common stock upon the closing of this offering.</w:t>
      </w:r>
    </w:p>
    <w:p>
      <w:pPr>
        <w:spacing w:after="0" w:line="148" w:lineRule="exact"/>
        <w:rPr>
          <w:rFonts w:ascii="Arial" w:cs="Arial" w:eastAsia="Arial" w:hAnsi="Arial"/>
          <w:sz w:val="11"/>
          <w:szCs w:val="11"/>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582,284 shares of our Series C preferred stock outstanding on an actual basis will convert into 1,345,403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380,441 shares of our Series D preferred stock outstanding on an actual basis will convert into 964,746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344,581 shares of our Series E preferred stock outstanding on an actual basis will convert into 1,246,857 shares of common stock upon the closing of this offering.</w:t>
      </w:r>
    </w:p>
    <w:p>
      <w:pPr>
        <w:spacing w:after="0" w:line="137" w:lineRule="exact"/>
        <w:rPr>
          <w:rFonts w:ascii="Arial" w:cs="Arial" w:eastAsia="Arial" w:hAnsi="Arial"/>
          <w:sz w:val="12"/>
          <w:szCs w:val="12"/>
          <w:color w:val="auto"/>
        </w:rPr>
      </w:pPr>
    </w:p>
    <w:p>
      <w:pPr>
        <w:ind w:left="1680" w:hanging="533"/>
        <w:spacing w:after="0"/>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2,676,954 shares of our Series F preferred stock outstanding on an actual basis will convert into 3,212,338 shares of common stock upon the closing of this offering.</w:t>
      </w: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1,431,307 shares of our Series G preferred stock outstanding on an actual basis will convert into 1,431,307 shares of common stock upon the closing of this offering.</w:t>
      </w:r>
    </w:p>
    <w:p>
      <w:pPr>
        <w:spacing w:after="0" w:line="137" w:lineRule="exact"/>
        <w:rPr>
          <w:rFonts w:ascii="Arial" w:cs="Arial" w:eastAsia="Arial" w:hAnsi="Arial"/>
          <w:sz w:val="12"/>
          <w:szCs w:val="12"/>
          <w:color w:val="auto"/>
        </w:rPr>
      </w:pPr>
    </w:p>
    <w:p>
      <w:pPr>
        <w:ind w:left="1680" w:right="20" w:hanging="533"/>
        <w:spacing w:after="0" w:line="256" w:lineRule="auto"/>
        <w:tabs>
          <w:tab w:leader="none" w:pos="1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Certain outstanding warrants to purchase shares of our preferred stock will, if unexercised, automatically convert upon the completion of this offering into an aggregate of 16,474 shares of our common stock, based on the midpoint of the price range set forth on the cover of this prospectus.</w:t>
      </w:r>
    </w:p>
    <w:p>
      <w:pPr>
        <w:spacing w:after="0" w:line="100" w:lineRule="exact"/>
        <w:rPr>
          <w:rFonts w:ascii="Arial" w:cs="Arial" w:eastAsia="Arial" w:hAnsi="Arial"/>
          <w:sz w:val="13"/>
          <w:szCs w:val="13"/>
          <w:color w:val="auto"/>
        </w:rPr>
      </w:pPr>
    </w:p>
    <w:p>
      <w:pPr>
        <w:ind w:left="1680" w:right="160" w:hanging="533"/>
        <w:spacing w:after="0" w:line="297" w:lineRule="auto"/>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$14.00 per share, which is the midpoint of the price range listed on the cover page of this prospectus, would increase (decrease) each of pro forma as adjusted additional paid-in capital, total stockholders' equity (deficit) and total capitalization by approximately $3.3 million.</w:t>
      </w:r>
    </w:p>
    <w:p>
      <w:pPr>
        <w:spacing w:after="0" w:line="157"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The number of shares of our common stock to be outstanding after this offering is based on 9,009,648 shares of our common stock outstanding as of June 30, 2013. This number of shares includes shares of common stock with respect to certain outstanding warrants to purchase shares of our preferred stock that, if not exercised prior to the completion of this offering, will automatically convert in the aggregate into 16,474 shares of common stock, based on the midpoint of the price range on the front cover of this prospectus. This number of shares does not include:</w:t>
      </w:r>
    </w:p>
    <w:p>
      <w:pPr>
        <w:spacing w:after="0" w:line="199"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736,138 shares of common stock subject to outstanding options as of June 30, 2013, with a weighted average exercise price of $6.65327 per share;</w:t>
      </w:r>
    </w:p>
    <w:p>
      <w:pPr>
        <w:spacing w:after="0" w:line="273" w:lineRule="exact"/>
        <w:rPr>
          <w:rFonts w:ascii="Arial" w:cs="Arial" w:eastAsia="Arial" w:hAnsi="Arial"/>
          <w:sz w:val="15"/>
          <w:szCs w:val="15"/>
          <w:color w:val="auto"/>
        </w:rPr>
      </w:pPr>
    </w:p>
    <w:p>
      <w:pPr>
        <w:ind w:left="1060" w:right="10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21,666 shares of Series F preferred stock issuable upon the exercise of outstanding warrants, with a weighted average exercise price of $11.5384 per share, which will automatically be adjusted upon the completion of this offering to be exercisable for an aggregate of 26,000 shares of common stock, with a weighted average exercise price of $9.6152 per share;</w:t>
      </w:r>
    </w:p>
    <w:p>
      <w:pPr>
        <w:spacing w:after="0" w:line="192"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6,667 shares of Series G preferred stock issuable upon the exercise of outstanding warrants, with an exercise price of $10.50 per share, which will automatically be adjusted upon the completion of this offering to be exercisable for 6,667 shares of common stock, with an exercise price of $10.50 per share; and</w:t>
      </w:r>
    </w:p>
    <w:p>
      <w:pPr>
        <w:spacing w:after="0" w:line="192"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800,000 shares of common stock available for future sale or issuance under our 2013 Long-Term Incentive Plan and 297,729 shares of common stock available for future sale or issuance under our prior stock option plans.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initial public offering price per share of our common stock and the pro forma net tangible book value per share of our common stock after this offering. We calculate actual net tangible book value per share by dividing the net tangible book value, or tangible assets less total liabilities, by the number of outstanding shares of common stock. Our actual net tangible book value at June 30, 2013, was $28.8 million, or $101.15 per share. We calculate pro forma net tangible book value per share by dividing the net tangible book value, tangible assets less total liabilities, by the number of outstanding shares of common stock after giving effect to the assumed conversion of all of our convertible preferred stock. Our pro forma net tangible book value at June 30, 2013, was $28.8 million, or $3.19 per share.</w:t>
      </w:r>
    </w:p>
    <w:p>
      <w:pPr>
        <w:spacing w:after="0" w:line="176"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After giving effect to the sale of the 3,600,000 shares of common stock by us at the assumed initial public offering price of $14.00 per share, which is the midpoint of the price range listed on the cover page of this prospectus, and after deducting the underwriting discounts and commissions and estimated offering expenses payable by us, our pro forma as adjusted net tangible book value at June 30, 2013, would be $72.9 million, or $5.78 per share. This represents an immediate increase in the pro forma net tangible book value of $2.59 per share to existing stockholders and an immediate dilution of $8.22 per share to new investors purchasing shares at the initial public offering price of $14.00 per share. The following table illustrates this per share dilution:</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14.00</w:t>
            </w:r>
          </w:p>
        </w:tc>
      </w:tr>
      <w:tr>
        <w:trPr>
          <w:trHeight w:val="418"/>
        </w:trPr>
        <w:tc>
          <w:tcPr>
            <w:tcW w:w="6120" w:type="dxa"/>
            <w:vAlign w:val="bottom"/>
          </w:tcPr>
          <w:p>
            <w:pPr>
              <w:ind w:left="180"/>
              <w:spacing w:after="0"/>
              <w:rPr>
                <w:sz w:val="20"/>
                <w:szCs w:val="20"/>
                <w:color w:val="auto"/>
              </w:rPr>
            </w:pPr>
            <w:r>
              <w:rPr>
                <w:rFonts w:ascii="Arial" w:cs="Arial" w:eastAsia="Arial" w:hAnsi="Arial"/>
                <w:sz w:val="17"/>
                <w:szCs w:val="17"/>
                <w:color w:val="auto"/>
              </w:rPr>
              <w:t>Actual net tangible book value per share at June 30, 2013</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75"/>
              <w:spacing w:after="0"/>
              <w:rPr>
                <w:sz w:val="20"/>
                <w:szCs w:val="20"/>
                <w:color w:val="auto"/>
              </w:rPr>
            </w:pPr>
            <w:r>
              <w:rPr>
                <w:rFonts w:ascii="Arial" w:cs="Arial" w:eastAsia="Arial" w:hAnsi="Arial"/>
                <w:sz w:val="17"/>
                <w:szCs w:val="17"/>
                <w:color w:val="auto"/>
              </w:rPr>
              <w:t>101.15</w:t>
            </w:r>
          </w:p>
        </w:tc>
      </w:tr>
      <w:tr>
        <w:trPr>
          <w:trHeight w:val="421"/>
        </w:trPr>
        <w:tc>
          <w:tcPr>
            <w:tcW w:w="6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Dilution per share to existing investors from conversion of preferred stock</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97.96</w:t>
            </w:r>
          </w:p>
        </w:tc>
      </w:tr>
      <w:tr>
        <w:trPr>
          <w:trHeight w:val="418"/>
        </w:trPr>
        <w:tc>
          <w:tcPr>
            <w:tcW w:w="6120" w:type="dxa"/>
            <w:vAlign w:val="bottom"/>
          </w:tcPr>
          <w:p>
            <w:pPr>
              <w:ind w:left="180"/>
              <w:spacing w:after="0"/>
              <w:rPr>
                <w:sz w:val="20"/>
                <w:szCs w:val="20"/>
                <w:color w:val="auto"/>
              </w:rPr>
            </w:pPr>
            <w:r>
              <w:rPr>
                <w:rFonts w:ascii="Arial" w:cs="Arial" w:eastAsia="Arial" w:hAnsi="Arial"/>
                <w:sz w:val="17"/>
                <w:szCs w:val="17"/>
                <w:color w:val="auto"/>
              </w:rPr>
              <w:t>Pro forma net tangible book value per share at June 30, 2013</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75"/>
              <w:spacing w:after="0"/>
              <w:rPr>
                <w:sz w:val="20"/>
                <w:szCs w:val="20"/>
                <w:color w:val="auto"/>
              </w:rPr>
            </w:pPr>
            <w:r>
              <w:rPr>
                <w:rFonts w:ascii="Arial" w:cs="Arial" w:eastAsia="Arial" w:hAnsi="Arial"/>
                <w:sz w:val="17"/>
                <w:szCs w:val="17"/>
                <w:color w:val="auto"/>
              </w:rPr>
              <w:t>3.19</w:t>
            </w:r>
          </w:p>
        </w:tc>
      </w:tr>
      <w:tr>
        <w:trPr>
          <w:trHeight w:val="421"/>
        </w:trPr>
        <w:tc>
          <w:tcPr>
            <w:tcW w:w="6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per share attributable to new investors</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2.59</w:t>
            </w:r>
          </w:p>
        </w:tc>
      </w:tr>
      <w:tr>
        <w:trPr>
          <w:trHeight w:val="418"/>
        </w:trPr>
        <w:tc>
          <w:tcPr>
            <w:tcW w:w="61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75"/>
              <w:spacing w:after="0"/>
              <w:rPr>
                <w:sz w:val="20"/>
                <w:szCs w:val="20"/>
                <w:color w:val="auto"/>
              </w:rPr>
            </w:pPr>
            <w:r>
              <w:rPr>
                <w:rFonts w:ascii="Arial" w:cs="Arial" w:eastAsia="Arial" w:hAnsi="Arial"/>
                <w:sz w:val="17"/>
                <w:szCs w:val="17"/>
                <w:color w:val="auto"/>
              </w:rPr>
              <w:t>5.78</w:t>
            </w:r>
          </w:p>
        </w:tc>
      </w:tr>
      <w:tr>
        <w:trPr>
          <w:trHeight w:val="421"/>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8.22</w:t>
            </w:r>
          </w:p>
        </w:tc>
      </w:tr>
    </w:tbl>
    <w:p>
      <w:pPr>
        <w:spacing w:after="0" w:line="201"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 $1.00 increase or decrease in the assumed initial public offering price of $14.00 would increase or decrease, respectively, our pro forma as adjusted net tangible book value per share after this offering by $0.27 per share and the dilution in pro forma as adjusted net tangible book value to new investors by $0.27 per share, assuming the number of shares offered by us, as set forth on the cover of this prospectus, remains the same. Similarly, each increase or decrease of 250,000 shares in the number of common stock offered by us would increase or decrease, respectively, our pro forma as adjusted net tangible book value per share by $0.14 per share and the dilution in pro forma as adjusted net tangible book value to new investors by $0.14 per share, assuming the assumed initial public offering price remains the same.</w:t>
      </w:r>
    </w:p>
    <w:p>
      <w:pPr>
        <w:spacing w:after="0" w:line="188" w:lineRule="exact"/>
        <w:rPr>
          <w:sz w:val="20"/>
          <w:szCs w:val="20"/>
          <w:color w:val="auto"/>
        </w:rPr>
      </w:pPr>
    </w:p>
    <w:p>
      <w:pPr>
        <w:jc w:val="both"/>
        <w:ind w:right="100" w:firstLine="338"/>
        <w:spacing w:after="0" w:line="294" w:lineRule="auto"/>
        <w:rPr>
          <w:sz w:val="20"/>
          <w:szCs w:val="20"/>
          <w:color w:val="auto"/>
        </w:rPr>
      </w:pPr>
      <w:r>
        <w:rPr>
          <w:rFonts w:ascii="Arial" w:cs="Arial" w:eastAsia="Arial" w:hAnsi="Arial"/>
          <w:sz w:val="16"/>
          <w:szCs w:val="16"/>
          <w:color w:val="auto"/>
        </w:rPr>
        <w:t>The following table shows on a pro forma as adjusted basis at June 30, 2013 and after giving effect to this offering the differences between existing stockholders and new investors with respect to the number of shares of common stock purchased from us, the total consideration paid to us and the average price paid per share by existing stockholders and by new investors purchasing common stock in this offering before deducting underwriting discounts and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commissions. The calculation below is based on an assumed initial public offering price of $14.00 per share:</w:t>
      </w:r>
    </w:p>
    <w:p>
      <w:pPr>
        <w:spacing w:after="0" w:line="200" w:lineRule="exact"/>
        <w:rPr>
          <w:sz w:val="20"/>
          <w:szCs w:val="20"/>
          <w:color w:val="auto"/>
        </w:rPr>
      </w:pP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960" w:type="dxa"/>
            <w:vAlign w:val="bottom"/>
          </w:tcPr>
          <w:p>
            <w:pPr>
              <w:spacing w:after="0"/>
              <w:rPr>
                <w:sz w:val="13"/>
                <w:szCs w:val="13"/>
                <w:color w:val="auto"/>
              </w:rPr>
            </w:pPr>
          </w:p>
        </w:tc>
        <w:tc>
          <w:tcPr>
            <w:tcW w:w="1900" w:type="dxa"/>
            <w:vAlign w:val="bottom"/>
            <w:gridSpan w:val="4"/>
            <w:vMerge w:val="restart"/>
          </w:tcPr>
          <w:p>
            <w:pPr>
              <w:jc w:val="right"/>
              <w:ind w:right="520"/>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3"/>
                <w:szCs w:val="13"/>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Total consideration</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05"/>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Average price</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top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60" w:type="dxa"/>
            <w:vAlign w:val="bottom"/>
          </w:tcPr>
          <w:p>
            <w:pPr>
              <w:spacing w:after="0"/>
              <w:rPr>
                <w:sz w:val="13"/>
                <w:szCs w:val="13"/>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per share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9,009,648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106,799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67.9%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7"/>
                <w:szCs w:val="17"/>
                <w:color w:val="auto"/>
              </w:rPr>
              <w:t>New investors</w:t>
            </w:r>
          </w:p>
        </w:tc>
        <w:tc>
          <w:tcPr>
            <w:tcW w:w="980" w:type="dxa"/>
            <w:vAlign w:val="bottom"/>
          </w:tcPr>
          <w:p>
            <w:pPr>
              <w:jc w:val="right"/>
              <w:spacing w:after="0"/>
              <w:rPr>
                <w:sz w:val="20"/>
                <w:szCs w:val="20"/>
                <w:color w:val="auto"/>
              </w:rPr>
            </w:pPr>
            <w:r>
              <w:rPr>
                <w:rFonts w:ascii="Arial" w:cs="Arial" w:eastAsia="Arial" w:hAnsi="Arial"/>
                <w:sz w:val="17"/>
                <w:szCs w:val="17"/>
                <w:color w:val="auto"/>
              </w:rPr>
              <w:t>3,600,000</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28.5%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50,400</w:t>
            </w: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32.1%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12,609,648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157,199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The number of shares of our common stock to be outstanding after this offering is based on 9,009,648 shares of our common stock outstanding as of June 30, 2013. This number of shares includes shares of common stock with respect to certain outstanding warrants to purchase shares of our preferred stock that, if not exercised prior to the completion of this offering, will automatically convert in the aggregate into 16,474 shares of common stock, based on the midpoint of the price range on the front cover of this prospectus. This number of shares does not include:</w:t>
      </w:r>
    </w:p>
    <w:p>
      <w:pPr>
        <w:spacing w:after="0" w:line="199"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736,138 shares of common stock subject to outstanding options as of June 30, 2013, with a weighted average exercise price of $6.65327 per share;</w:t>
      </w:r>
    </w:p>
    <w:p>
      <w:pPr>
        <w:spacing w:after="0" w:line="273" w:lineRule="exact"/>
        <w:rPr>
          <w:rFonts w:ascii="Arial" w:cs="Arial" w:eastAsia="Arial" w:hAnsi="Arial"/>
          <w:sz w:val="15"/>
          <w:szCs w:val="15"/>
          <w:color w:val="auto"/>
        </w:rPr>
      </w:pPr>
    </w:p>
    <w:p>
      <w:pPr>
        <w:ind w:left="1060" w:right="10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21,666 shares of Series F preferred stock issuable upon the exercise of outstanding warrants, with a weighted average exercise price of $11.5384 per share, which will automatically be adjusted upon the completion of this offering to be exercisable for an aggregate of 26,000 shares of common stock, with a weighted average exercise price of $9.6152 per share;</w:t>
      </w:r>
    </w:p>
    <w:p>
      <w:pPr>
        <w:spacing w:after="0" w:line="192"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6,667 shares of Series G preferred stock issuable upon the exercise of outstanding warrants, with an exercise price of $10.50 per share, which will automatically be adjusted upon the completion of this offering to be exercisable for 6,667 shares of common stock, with an exercise price of $10.50 per share; and</w:t>
      </w:r>
    </w:p>
    <w:p>
      <w:pPr>
        <w:spacing w:after="0" w:line="192"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800,000 shares of common stock available for future sale or issuance under our 2013 Long-Term Incentive Plan and 297,729 shares of common stock available for future sale or issuance under our prior stock option plans.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prospectus. We derived the consolidated statements of operations data for the years ended December 31, 2010, 2011 and 2012 and the consolidated balance sheet data as of December 31, 2011 and 2012 from our consolidated financial statements appearing elsewhere in this prospectus. The consolidated statements of operations data for the six months ended June 30, 2012 and 2013 and the consolidated balance sheet data as of June 30, 2013 have been derived from our unaudited consolidated financial statements included elsewhere in this prospectus. Our historical results are not necessarily indicative of the results to be expected in the future and results of interim periods are not necessarily indicative of results for the entire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12"/>
            <w:vMerge w:val="restart"/>
          </w:tcPr>
          <w:p>
            <w:pPr>
              <w:jc w:val="right"/>
              <w:spacing w:after="0"/>
              <w:rPr>
                <w:sz w:val="20"/>
                <w:szCs w:val="20"/>
                <w:color w:val="auto"/>
              </w:rPr>
            </w:pPr>
            <w:r>
              <w:rPr>
                <w:rFonts w:ascii="Arial" w:cs="Arial" w:eastAsia="Arial" w:hAnsi="Arial"/>
                <w:sz w:val="13"/>
                <w:szCs w:val="13"/>
                <w:b w:val="1"/>
                <w:bCs w:val="1"/>
                <w:color w:val="auto"/>
              </w:rPr>
              <w:t>(in thousands, except share and per share data)</w:t>
            </w:r>
          </w:p>
        </w:tc>
        <w:tc>
          <w:tcPr>
            <w:tcW w:w="13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60" w:type="dxa"/>
            <w:vAlign w:val="bottom"/>
            <w:gridSpan w:val="12"/>
            <w:vMerge w:val="continue"/>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spacing w:after="0" w:line="144" w:lineRule="exact"/>
              <w:rPr>
                <w:sz w:val="20"/>
                <w:szCs w:val="20"/>
                <w:color w:val="auto"/>
              </w:rPr>
            </w:pPr>
            <w:r>
              <w:rPr>
                <w:rFonts w:ascii="Arial" w:cs="Arial" w:eastAsia="Arial" w:hAnsi="Arial"/>
                <w:sz w:val="13"/>
                <w:szCs w:val="13"/>
                <w:color w:val="auto"/>
              </w:rPr>
              <w:t>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31,224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24,969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40,489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47,840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63,421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28,144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33,914</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Cost of goods sold (1)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25,562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21,525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27,539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34,468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44,492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19,331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23,882</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5,662</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12,950</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13,372</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18,929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Research and development (1)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7,117</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5,707</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5,176</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6,451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7,603</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3,284</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3,902</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Sales and marketing (1)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2,907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1,993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2,412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3,135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1,614</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1,959</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General and administrative (1)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10,171</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7,298</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8,382</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8,243</w:t>
            </w:r>
          </w:p>
        </w:tc>
        <w:tc>
          <w:tcPr>
            <w:tcW w:w="12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8,012</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3,912</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4,822</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Asset impairment charges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3,651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492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ind w:left="120"/>
              <w:spacing w:after="0"/>
              <w:rPr>
                <w:sz w:val="20"/>
                <w:szCs w:val="20"/>
                <w:color w:val="auto"/>
              </w:rPr>
            </w:pPr>
            <w:r>
              <w:rPr>
                <w:rFonts w:ascii="Arial" w:cs="Arial" w:eastAsia="Arial" w:hAnsi="Arial"/>
                <w:sz w:val="13"/>
                <w:szCs w:val="13"/>
                <w:color w:val="auto"/>
              </w:rPr>
              <w:t>Total operating expenses</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23,846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15,023</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16,043</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17,106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18,750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8,810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10,683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(18,184)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(11,580)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(3,093)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(3,734)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spacing w:after="0" w:line="144" w:lineRule="exact"/>
              <w:rPr>
                <w:sz w:val="20"/>
                <w:szCs w:val="20"/>
                <w:color w:val="auto"/>
              </w:rPr>
            </w:pPr>
            <w:r>
              <w:rPr>
                <w:rFonts w:ascii="Arial" w:cs="Arial" w:eastAsia="Arial" w:hAnsi="Arial"/>
                <w:sz w:val="13"/>
                <w:szCs w:val="13"/>
                <w:color w:val="auto"/>
              </w:rPr>
              <w:t>Interest and other income (expense), net: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(983)</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(1,038)</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(906)</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(1,338)</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(1,381)</w:t>
            </w: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(717)</w:t>
            </w: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Other income (expense), net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585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231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ind w:left="120"/>
              <w:spacing w:after="0"/>
              <w:rPr>
                <w:sz w:val="20"/>
                <w:szCs w:val="20"/>
                <w:color w:val="auto"/>
              </w:rPr>
            </w:pPr>
            <w:r>
              <w:rPr>
                <w:rFonts w:ascii="Arial" w:cs="Arial" w:eastAsia="Arial" w:hAnsi="Arial"/>
                <w:sz w:val="13"/>
                <w:szCs w:val="13"/>
                <w:color w:val="auto"/>
              </w:rPr>
              <w:t>Total interest and other income (expense), net</w:t>
            </w: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(1,159)</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(19,342)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(12,543)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(3,380)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(5,328)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(617)</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3"/>
                <w:szCs w:val="13"/>
                <w:color w:val="auto"/>
              </w:rPr>
              <w:t>Benefit from (provision for) income taxes</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Net income (loss) attributable to common stockholders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(19,397)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(12,505)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(3,380)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(5,328)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(617)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3860" w:type="dxa"/>
            <w:vAlign w:val="bottom"/>
            <w:gridSpan w:val="2"/>
          </w:tcPr>
          <w:p>
            <w:pPr>
              <w:spacing w:after="0" w:line="136" w:lineRule="exact"/>
              <w:rPr>
                <w:sz w:val="20"/>
                <w:szCs w:val="20"/>
                <w:color w:val="auto"/>
              </w:rPr>
            </w:pPr>
            <w:r>
              <w:rPr>
                <w:rFonts w:ascii="Arial" w:cs="Arial" w:eastAsia="Arial" w:hAnsi="Arial"/>
                <w:sz w:val="13"/>
                <w:szCs w:val="13"/>
                <w:color w:val="auto"/>
                <w:w w:val="98"/>
              </w:rPr>
              <w:t>Accretion of redeemable convertible preferred stock and convertible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860" w:type="dxa"/>
            <w:vAlign w:val="bottom"/>
            <w:gridSpan w:val="2"/>
          </w:tcPr>
          <w:p>
            <w:pPr>
              <w:ind w:left="120"/>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Net income (loss) attributable to common stockholders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(19,397)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(12,505)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(3,380)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(5,328)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(945)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(617)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spacing w:after="0"/>
              <w:rPr>
                <w:sz w:val="20"/>
                <w:szCs w:val="20"/>
                <w:color w:val="auto"/>
              </w:rPr>
            </w:pPr>
            <w:r>
              <w:rPr>
                <w:rFonts w:ascii="Arial" w:cs="Arial" w:eastAsia="Arial" w:hAnsi="Arial"/>
                <w:sz w:val="13"/>
                <w:szCs w:val="13"/>
                <w:color w:val="auto"/>
              </w:rPr>
              <w:t>Net income (loss) per share attributable to common stockholders: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3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Basic and 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(76.36)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(48.39)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(13.06)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(20.21)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gridSpan w:val="2"/>
            <w:vMerge w:val="restart"/>
          </w:tcPr>
          <w:p>
            <w:pPr>
              <w:spacing w:after="0"/>
              <w:rPr>
                <w:sz w:val="20"/>
                <w:szCs w:val="20"/>
                <w:color w:val="auto"/>
              </w:rPr>
            </w:pPr>
            <w:r>
              <w:rPr>
                <w:rFonts w:ascii="Arial" w:cs="Arial" w:eastAsia="Arial" w:hAnsi="Arial"/>
                <w:sz w:val="13"/>
                <w:szCs w:val="13"/>
                <w:color w:val="auto"/>
                <w:w w:val="93"/>
              </w:rPr>
              <w:t>Weighted average shares used to compute net income (loss) per share</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860" w:type="dxa"/>
            <w:vAlign w:val="bottom"/>
            <w:gridSpan w:val="2"/>
          </w:tcPr>
          <w:p>
            <w:pPr>
              <w:ind w:left="120"/>
              <w:spacing w:after="0"/>
              <w:rPr>
                <w:sz w:val="20"/>
                <w:szCs w:val="20"/>
                <w:color w:val="auto"/>
              </w:rPr>
            </w:pPr>
            <w:r>
              <w:rPr>
                <w:rFonts w:ascii="Arial" w:cs="Arial" w:eastAsia="Arial" w:hAnsi="Arial"/>
                <w:sz w:val="13"/>
                <w:szCs w:val="13"/>
                <w:color w:val="auto"/>
              </w:rPr>
              <w:t>attributable to common stockholders: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Basic and diluted</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254,009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258,414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258,901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263,658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7"/>
              </w:rPr>
              <w:t>265,576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93"/>
              </w:rPr>
              <w:t>265,252</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9"/>
              </w:rPr>
              <w:t>267,711</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right="380" w:hanging="515"/>
        <w:spacing w:after="0" w:line="256"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These expenses include stock-based compensation expense. Stock-based compensation expense is accounted for at fair value, using the Black-Scholes option-pricing model. Stock-based compensation expense is recognized over the vesting period of the stock options and was included in cost of goods sold and operating expenses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left="214"/>
              <w:spacing w:after="0"/>
              <w:rPr>
                <w:sz w:val="20"/>
                <w:szCs w:val="20"/>
                <w:color w:val="auto"/>
              </w:rPr>
            </w:pPr>
            <w:r>
              <w:rPr>
                <w:rFonts w:ascii="Arial" w:cs="Arial" w:eastAsia="Arial" w:hAnsi="Arial"/>
                <w:sz w:val="13"/>
                <w:szCs w:val="13"/>
                <w:b w:val="1"/>
                <w:bCs w:val="1"/>
                <w:color w:val="auto"/>
                <w:w w:val="91"/>
              </w:rPr>
              <w:t>Six</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months</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57"/>
        </w:trPr>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9"/>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89"/>
              </w:rPr>
              <w:t>2008</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82"/>
              </w:rPr>
              <w:t>2009</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20"/>
        </w:trPr>
        <w:tc>
          <w:tcPr>
            <w:tcW w:w="3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Cost of goods sold</w:t>
            </w:r>
          </w:p>
        </w:tc>
        <w:tc>
          <w:tcPr>
            <w:tcW w:w="12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110</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line="144" w:lineRule="exact"/>
              <w:rPr>
                <w:sz w:val="20"/>
                <w:szCs w:val="20"/>
                <w:color w:val="auto"/>
              </w:rPr>
            </w:pPr>
            <w:r>
              <w:rPr>
                <w:rFonts w:ascii="Arial" w:cs="Arial" w:eastAsia="Arial" w:hAnsi="Arial"/>
                <w:sz w:val="13"/>
                <w:szCs w:val="13"/>
                <w:color w:val="auto"/>
              </w:rPr>
              <w:t>Research and development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4" w:lineRule="exact"/>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20"/>
              <w:spacing w:after="0" w:line="144" w:lineRule="exact"/>
              <w:rPr>
                <w:sz w:val="20"/>
                <w:szCs w:val="20"/>
                <w:color w:val="auto"/>
              </w:rPr>
            </w:pPr>
            <w:r>
              <w:rPr>
                <w:rFonts w:ascii="Arial" w:cs="Arial" w:eastAsia="Arial" w:hAnsi="Arial"/>
                <w:sz w:val="13"/>
                <w:szCs w:val="13"/>
                <w:color w:val="auto"/>
              </w:rPr>
              <w:t>Sales and marketing</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stock-based compensation expense</w:t>
            </w:r>
          </w:p>
        </w:tc>
        <w:tc>
          <w:tcPr>
            <w:tcW w:w="12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1,033</w:t>
            </w:r>
          </w:p>
        </w:tc>
        <w:tc>
          <w:tcPr>
            <w:tcW w:w="2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913</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780</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563</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Six</w:t>
            </w:r>
          </w:p>
        </w:tc>
      </w:tr>
      <w:tr>
        <w:trPr>
          <w:trHeight w:val="144"/>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months</w:t>
            </w:r>
          </w:p>
        </w:tc>
      </w:tr>
      <w:tr>
        <w:trPr>
          <w:trHeight w:val="144"/>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ended</w:t>
            </w:r>
          </w:p>
        </w:tc>
      </w:tr>
      <w:tr>
        <w:trPr>
          <w:trHeight w:val="157"/>
        </w:trPr>
        <w:tc>
          <w:tcPr>
            <w:tcW w:w="1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6"/>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June 30,</w:t>
            </w:r>
          </w:p>
        </w:tc>
      </w:tr>
      <w:tr>
        <w:trPr>
          <w:trHeight w:val="190"/>
        </w:trPr>
        <w:tc>
          <w:tcPr>
            <w:tcW w:w="1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6"/>
                <w:szCs w:val="16"/>
                <w:color w:val="auto"/>
              </w:rPr>
            </w:pPr>
          </w:p>
        </w:tc>
      </w:tr>
      <w:tr>
        <w:trPr>
          <w:trHeight w:val="215"/>
        </w:trPr>
        <w:tc>
          <w:tcPr>
            <w:tcW w:w="1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(unaudited)</w:t>
            </w:r>
          </w:p>
        </w:tc>
      </w:tr>
      <w:tr>
        <w:trPr>
          <w:trHeight w:val="198"/>
        </w:trPr>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7"/>
                <w:szCs w:val="17"/>
                <w:color w:val="auto"/>
              </w:rPr>
              <w:t>Total cash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2,867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4,643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11,226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10,854</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14,003</w:t>
            </w:r>
          </w:p>
        </w:tc>
      </w:tr>
      <w:tr>
        <w:trPr>
          <w:trHeight w:val="210"/>
        </w:trPr>
        <w:tc>
          <w:tcPr>
            <w:tcW w:w="32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47,405</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45,560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52,934</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53,723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65,748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71,996</w:t>
            </w: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debt (3)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23,417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23,071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22,597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24,584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25,922</w:t>
            </w:r>
          </w:p>
        </w:tc>
      </w:tr>
      <w:tr>
        <w:trPr>
          <w:trHeight w:val="201"/>
        </w:trPr>
        <w:tc>
          <w:tcPr>
            <w:tcW w:w="3280" w:type="dxa"/>
            <w:vAlign w:val="bottom"/>
            <w:gridSpan w:val="2"/>
          </w:tcPr>
          <w:p>
            <w:pPr>
              <w:spacing w:after="0"/>
              <w:rPr>
                <w:sz w:val="20"/>
                <w:szCs w:val="20"/>
                <w:color w:val="auto"/>
              </w:rPr>
            </w:pPr>
            <w:r>
              <w:rPr>
                <w:rFonts w:ascii="Arial" w:cs="Arial" w:eastAsia="Arial" w:hAnsi="Arial"/>
                <w:sz w:val="17"/>
                <w:szCs w:val="17"/>
                <w:color w:val="auto"/>
                <w:w w:val="97"/>
              </w:rPr>
              <w:t>Redeemable convertible preferred stock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convertible preferred stock</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71,145</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90,423</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90,423</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94,373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105,367</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105,614</w:t>
            </w:r>
          </w:p>
        </w:tc>
      </w:tr>
      <w:tr>
        <w:trPr>
          <w:trHeight w:val="211"/>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Common stock and additional paid-in-capital</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3,939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4,723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5,864</w:t>
            </w:r>
          </w:p>
        </w:tc>
      </w:tr>
      <w:tr>
        <w:trPr>
          <w:trHeight w:val="216"/>
        </w:trPr>
        <w:tc>
          <w:tcPr>
            <w:tcW w:w="3280" w:type="dxa"/>
            <w:vAlign w:val="bottom"/>
            <w:gridSpan w:val="2"/>
          </w:tcPr>
          <w:p>
            <w:pPr>
              <w:spacing w:after="0"/>
              <w:rPr>
                <w:sz w:val="20"/>
                <w:szCs w:val="20"/>
                <w:color w:val="auto"/>
              </w:rPr>
            </w:pPr>
            <w:r>
              <w:rPr>
                <w:rFonts w:ascii="Arial" w:cs="Arial" w:eastAsia="Arial" w:hAnsi="Arial"/>
                <w:sz w:val="17"/>
                <w:szCs w:val="17"/>
                <w:color w:val="auto"/>
              </w:rPr>
              <w:t>Total deficit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(59,758)</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(72,263)</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(75,643)</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(80,972)</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(81,917)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(83,193)</w:t>
            </w:r>
          </w:p>
        </w:tc>
      </w:tr>
      <w:tr>
        <w:trPr>
          <w:trHeight w:val="99"/>
        </w:trPr>
        <w:tc>
          <w:tcPr>
            <w:tcW w:w="15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Total cash is defined as cash, cash equivalents and restricted cash.</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Working capital is defined as total current assets less total current liabilities.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Total debt is defined as short-term loans, notes payable and total long-term debt.</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prospectus. This discussion and other parts of this prospectus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100" w:firstLine="338"/>
        <w:spacing w:after="0" w:line="301" w:lineRule="auto"/>
        <w:rPr>
          <w:sz w:val="20"/>
          <w:szCs w:val="20"/>
          <w:color w:val="auto"/>
        </w:rPr>
      </w:pPr>
      <w:r>
        <w:rPr>
          <w:rFonts w:ascii="Arial" w:cs="Arial" w:eastAsia="Arial" w:hAnsi="Arial"/>
          <w:sz w:val="15"/>
          <w:szCs w:val="15"/>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64" w:lineRule="exact"/>
        <w:rPr>
          <w:sz w:val="20"/>
          <w:szCs w:val="20"/>
          <w:color w:val="auto"/>
        </w:rPr>
      </w:pPr>
    </w:p>
    <w:p>
      <w:pPr>
        <w:ind w:right="20" w:firstLine="338"/>
        <w:spacing w:after="0" w:line="293" w:lineRule="auto"/>
        <w:rPr>
          <w:sz w:val="20"/>
          <w:szCs w:val="20"/>
          <w:color w:val="auto"/>
        </w:rPr>
      </w:pPr>
      <w:r>
        <w:rPr>
          <w:rFonts w:ascii="Arial" w:cs="Arial" w:eastAsia="Arial" w:hAnsi="Arial"/>
          <w:sz w:val="15"/>
          <w:szCs w:val="15"/>
          <w:color w:val="auto"/>
        </w:rPr>
        <w:t>The three end markets we target are all driven by significant bandwidth demand fueled by the growth of network-connected devices, video traffic, cloud computing and online social networking.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Within the internet data center market, we benefit from the increasing use of higher-capacity optical networking technology as a replacement for copper cables, particularly as speeds reach</w:t>
      </w:r>
    </w:p>
    <w:p>
      <w:pPr>
        <w:spacing w:after="0" w:line="2"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10 gigabits per second and above, as well as the movement to open internet data center architectures and the increasing use of in-house equipment design among leading internet companies.</w:t>
      </w:r>
    </w:p>
    <w:p>
      <w:pPr>
        <w:spacing w:after="0" w:line="175" w:lineRule="exact"/>
        <w:rPr>
          <w:sz w:val="20"/>
          <w:szCs w:val="20"/>
          <w:color w:val="auto"/>
        </w:rPr>
      </w:pPr>
    </w:p>
    <w:p>
      <w:pPr>
        <w:ind w:firstLine="338"/>
        <w:spacing w:after="0" w:line="300" w:lineRule="auto"/>
        <w:rPr>
          <w:sz w:val="20"/>
          <w:szCs w:val="20"/>
          <w:color w:val="auto"/>
        </w:rPr>
      </w:pPr>
      <w:r>
        <w:rPr>
          <w:rFonts w:ascii="Arial" w:cs="Arial" w:eastAsia="Arial" w:hAnsi="Arial"/>
          <w:sz w:val="15"/>
          <w:szCs w:val="15"/>
          <w:color w:val="auto"/>
        </w:rPr>
        <w:t>We sell our products to leading original equipment manufacturers, or OEMs, in the CATV and FTTH markets as well as internet data center operators. In 2012, our products were used by the five largest CATV OEMs, consisting of Arris Group Inc., Aurora Networks, Inc., Cisco Systems, Inc., Harmonic Inc. and Motorola Mobility Holdings, Inc. and sales to such customers represented an aggregate of 42.5% of our total revenue in 2012. Specifically, in 2012, Cisco Systems, Inc. accounted for 33.2% of our revenue and the other four largest CATV OEMs accounted for an aggregate of 9.3% of our revenue. In 2013, Arris Group Inc. acquired the Motorola Home business and Aurora Networks, Inc. acquired the Harmonic optical business. In addition to our OEM customers, Biogenomics Corp., a distributor, represented 11.2% of our revenue in 2012. The two customers that contributed most to our revenue in the FTTH market in 2012 were Genexis B.V. and Askey, which accounted for 3.4% and 1.1% of our total revenue, respectively. In 2012, the two customers that contributed most to our revenue in the internet data center market were Microsoft Corporation and a leading internet retail company, which accounted for 2.6% and 5.7% of our total revenue, respectively. In 2012, 78.6% of our revenue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was attributable to sales of our products into the CATV market, 8.3% of our revenue was attributable to sales of our products into the internet data center market, 5.8% of our revenue was attributable to sales of our products into the FTTH market and the remaining 7.2% was attributable to other markets (including telecom networking). During the first six months of 2013, 55.4% of our revenue was attributable to sales of our products in the CATV market, 30.3% of our revenue was attributable to sales of our products in the internet data center market, 5.3% of our revenue was attributable to sales of our products in the FTTH market, and 9.0% of our revenue is attributable to sales of our products in other markets.</w:t>
      </w:r>
    </w:p>
    <w:p>
      <w:pPr>
        <w:spacing w:after="0" w:line="187"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74"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62"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In 2010, 2011, 2012 and the six months ended June 30, 2013, we had 12, 11, 15 and 13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2012 had an accumulated deficit of $81.9 million, we achieved profitability (net income on a GAAP basis) in the fourth quarter of 2012. We have grown our revenue at a 36.4% CAGR between 2009 and 2012, including 32.6% growth year-over-year from 2011 to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jc w:val="both"/>
        <w:ind w:right="220" w:firstLine="341"/>
        <w:spacing w:after="0" w:line="294"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 equipment and in</w:t>
      </w:r>
      <w:r>
        <w:rPr>
          <w:rFonts w:ascii="Arial" w:cs="Arial" w:eastAsia="Arial" w:hAnsi="Arial"/>
          <w:sz w:val="16"/>
          <w:szCs w:val="16"/>
          <w:i w:val="1"/>
          <w:iCs w:val="1"/>
          <w:color w:val="auto"/>
        </w:rPr>
        <w:t xml:space="preserve"> </w:t>
      </w:r>
      <w:r>
        <w:rPr>
          <w:rFonts w:ascii="Arial" w:cs="Arial" w:eastAsia="Arial" w:hAnsi="Arial"/>
          <w:sz w:val="16"/>
          <w:szCs w:val="16"/>
          <w:color w:val="auto"/>
        </w:rPr>
        <w:t>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63"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solution pricing varies depending upon the end market, the complexity of the product and the level of competition.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We sell a wide variety of products among our three target markets and our gross margin is heavily dependent in any quarter on the product mix achieved during that period.</w:t>
      </w:r>
    </w:p>
    <w:p>
      <w:pPr>
        <w:spacing w:after="0" w:line="169"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i w:val="1"/>
          <w:iCs w:val="1"/>
          <w:color w:val="auto"/>
        </w:rPr>
        <w:t xml:space="preserve">Decreasing Customer Concentration within End Markets. </w:t>
      </w:r>
      <w:r>
        <w:rPr>
          <w:rFonts w:ascii="Arial" w:cs="Arial" w:eastAsia="Arial" w:hAnsi="Arial"/>
          <w:sz w:val="16"/>
          <w:szCs w:val="16"/>
          <w:color w:val="auto"/>
        </w:rPr>
        <w:t>Historically, our revenue has been significantly concentrated within the CATV market and among a</w:t>
      </w:r>
      <w:r>
        <w:rPr>
          <w:rFonts w:ascii="Arial" w:cs="Arial" w:eastAsia="Arial" w:hAnsi="Arial"/>
          <w:sz w:val="16"/>
          <w:szCs w:val="16"/>
          <w:i w:val="1"/>
          <w:iCs w:val="1"/>
          <w:color w:val="auto"/>
        </w:rPr>
        <w:t xml:space="preserve"> </w:t>
      </w:r>
      <w:r>
        <w:rPr>
          <w:rFonts w:ascii="Arial" w:cs="Arial" w:eastAsia="Arial" w:hAnsi="Arial"/>
          <w:sz w:val="16"/>
          <w:szCs w:val="16"/>
          <w:color w:val="auto"/>
        </w:rPr>
        <w:t>few customers within this market. Over the past two years, we have developed new products within the FTTH and internet data center markets. Furthermore, we have developed additional original design manufacturer, or ODM, relationships with customers in each of our target markets which should enable us to diversify our revenue. Although we expect the CATV market to remain our largest market for the next several years, we anticipate that sales in the FTTH and internet data center markets will continue to account for a more significant percentage of our total revenue into the future. We believe that our entry into the FTTH and internet data center markets with new customers and with new products will continue to facilitate revenue growth and customer diversification.</w:t>
      </w:r>
    </w:p>
    <w:p>
      <w:pPr>
        <w:spacing w:after="0" w:line="176"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 allocated to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 provides the revenue contribution from each of the markets we serve for the years ended 2010, 2011 and 2012, and the six month periods ended June 30, 2012 and 2013, as well as the corresponding percentage of our total revenue for each period:</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rPr>
              <w:t>Years ended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 w:type="dxa"/>
            <w:vAlign w:val="bottom"/>
            <w:vMerge w:val="restart"/>
          </w:tcPr>
          <w:p>
            <w:pPr>
              <w:spacing w:after="0"/>
              <w:rPr>
                <w:sz w:val="20"/>
                <w:szCs w:val="20"/>
                <w:color w:val="auto"/>
              </w:rPr>
            </w:pPr>
            <w:r>
              <w:rPr>
                <w:rFonts w:ascii="Arial" w:cs="Arial" w:eastAsia="Arial" w:hAnsi="Arial"/>
                <w:sz w:val="13"/>
                <w:szCs w:val="13"/>
                <w:b w:val="1"/>
                <w:bCs w:val="1"/>
                <w:color w:val="auto"/>
              </w:rPr>
              <w:t>Market</w:t>
            </w:r>
          </w:p>
        </w:tc>
        <w:tc>
          <w:tcPr>
            <w:tcW w:w="29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2"/>
              </w:rPr>
              <w:t>Six Months Ended June 30,</w:t>
            </w:r>
          </w:p>
        </w:tc>
        <w:tc>
          <w:tcPr>
            <w:tcW w:w="0" w:type="dxa"/>
            <w:vAlign w:val="bottom"/>
          </w:tcPr>
          <w:p>
            <w:pPr>
              <w:spacing w:after="0"/>
              <w:rPr>
                <w:sz w:val="1"/>
                <w:szCs w:val="1"/>
                <w:color w:val="auto"/>
              </w:rPr>
            </w:pPr>
          </w:p>
        </w:tc>
      </w:tr>
      <w:tr>
        <w:trPr>
          <w:trHeight w:val="137"/>
        </w:trPr>
        <w:tc>
          <w:tcPr>
            <w:tcW w:w="480" w:type="dxa"/>
            <w:vAlign w:val="bottom"/>
            <w:tcBorders>
              <w:bottom w:val="single" w:sz="8" w:color="auto"/>
            </w:tcBorders>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gridSpan w:val="8"/>
          </w:tcPr>
          <w:p>
            <w:pPr>
              <w:jc w:val="right"/>
              <w:ind w:right="480"/>
              <w:spacing w:after="0" w:line="138" w:lineRule="exact"/>
              <w:rPr>
                <w:sz w:val="20"/>
                <w:szCs w:val="20"/>
                <w:color w:val="auto"/>
              </w:rPr>
            </w:pPr>
            <w:r>
              <w:rPr>
                <w:rFonts w:ascii="Arial" w:cs="Arial" w:eastAsia="Arial" w:hAnsi="Arial"/>
                <w:sz w:val="13"/>
                <w:szCs w:val="13"/>
                <w:b w:val="1"/>
                <w:bCs w:val="1"/>
                <w:color w:val="auto"/>
                <w:w w:val="93"/>
              </w:rPr>
              <w:t>(in thousands, except percentages)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CATV</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7"/>
                <w:szCs w:val="17"/>
                <w:color w:val="auto"/>
              </w:rPr>
              <w:t>Data Center</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FTTH</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40,489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47,840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63,421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28,144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33,914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Percentage of Revenue</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CATV</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7"/>
                <w:szCs w:val="17"/>
                <w:color w:val="auto"/>
              </w:rPr>
              <w:t>Data Center</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FTTH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2010, 2011 and 2012, our top ten customers represented 80.5% 76.6% and 77.6% of our revenue, respectively. Our largest customer Cisco Systems, Inc. represented 18.9%, 26.8% and 33.2% of our revenue in 2010, 2011 and 2012, respectively. Biogenomics Corp., a distributor, accounted for 13.8%, 11.7% and 11.2%, of our revenue in 2010, 2011 and 2012, respectively. In 2010, Aurora Networks, Inc. accounted for 10.8% of our revenue and Electroline Systems accounted for 10.2% of our revenue. No other customer represented more than 10.0% of our revenue in 2010, 2011 or 2012.</w:t>
      </w:r>
    </w:p>
    <w:p>
      <w:pPr>
        <w:spacing w:after="0" w:line="185" w:lineRule="exact"/>
        <w:rPr>
          <w:sz w:val="20"/>
          <w:szCs w:val="20"/>
          <w:color w:val="auto"/>
        </w:rPr>
      </w:pPr>
    </w:p>
    <w:p>
      <w:pPr>
        <w:ind w:right="140" w:firstLine="341"/>
        <w:spacing w:after="0" w:line="306" w:lineRule="auto"/>
        <w:rPr>
          <w:sz w:val="20"/>
          <w:szCs w:val="20"/>
          <w:color w:val="auto"/>
        </w:rPr>
      </w:pPr>
      <w:r>
        <w:rPr>
          <w:rFonts w:ascii="Arial" w:cs="Arial" w:eastAsia="Arial" w:hAnsi="Arial"/>
          <w:sz w:val="15"/>
          <w:szCs w:val="15"/>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2012, 18.1% of our total revenue was derived from our China-based subsidiary, with $11.4 million denominated in RMB, and an immaterial amount sold directly by our Taiwan location. We expect a similar portion of our sales to be denominated in foreign currencies in 2013.</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During 2012 compared to 2011, our average sales price across our product lines declined less than 8.0%. Certain of our competitors in the optical industry, who may have narrower market focus than us or broader product lines within a market, have publically stated that they typically experience annual price declines of 10-15%. Revenue from period to period is driven by the volume of shipments and may be impacted by pricing pressures, among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24" w:lineRule="exact"/>
        <w:rPr>
          <w:sz w:val="20"/>
          <w:szCs w:val="20"/>
          <w:color w:val="auto"/>
        </w:rPr>
      </w:pPr>
    </w:p>
    <w:p>
      <w:pPr>
        <w:ind w:right="680" w:firstLine="341"/>
        <w:spacing w:after="0" w:line="315" w:lineRule="auto"/>
        <w:rPr>
          <w:sz w:val="20"/>
          <w:szCs w:val="20"/>
          <w:color w:val="auto"/>
        </w:rPr>
      </w:pPr>
      <w:r>
        <w:rPr>
          <w:rFonts w:ascii="Arial" w:cs="Arial" w:eastAsia="Arial" w:hAnsi="Arial"/>
          <w:sz w:val="16"/>
          <w:szCs w:val="16"/>
          <w:color w:val="auto"/>
        </w:rPr>
        <w:t>Our cost of goods sold consists of material costs, direct labor, allocated overhead and periodic cost variances, including reserves for excess and obsolete inventory, with each representing approximately 69.5%, 9.3%, 16.1%, and 5.1% of our total cost of goods sold, respectively, in 2012.</w:t>
      </w:r>
    </w:p>
    <w:p>
      <w:pPr>
        <w:spacing w:after="0" w:line="146" w:lineRule="exact"/>
        <w:rPr>
          <w:sz w:val="20"/>
          <w:szCs w:val="20"/>
          <w:color w:val="auto"/>
        </w:rPr>
      </w:pPr>
    </w:p>
    <w:p>
      <w:pPr>
        <w:ind w:right="700" w:firstLine="341"/>
        <w:spacing w:after="0" w:line="270" w:lineRule="auto"/>
        <w:rPr>
          <w:sz w:val="20"/>
          <w:szCs w:val="20"/>
          <w:color w:val="auto"/>
        </w:rPr>
      </w:pPr>
      <w:r>
        <w:rPr>
          <w:rFonts w:ascii="Arial" w:cs="Arial" w:eastAsia="Arial" w:hAnsi="Arial"/>
          <w:sz w:val="17"/>
          <w:szCs w:val="17"/>
          <w:color w:val="auto"/>
        </w:rPr>
        <w:t>Our cost of goods sold is impacted by variances arising from changes in yields and production volume.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179" w:lineRule="exact"/>
        <w:rPr>
          <w:sz w:val="20"/>
          <w:szCs w:val="20"/>
          <w:color w:val="auto"/>
        </w:rPr>
      </w:pPr>
    </w:p>
    <w:p>
      <w:pPr>
        <w:ind w:right="200" w:firstLine="338"/>
        <w:spacing w:after="0" w:line="263" w:lineRule="auto"/>
        <w:rPr>
          <w:sz w:val="20"/>
          <w:szCs w:val="20"/>
          <w:color w:val="auto"/>
        </w:rPr>
      </w:pPr>
      <w:r>
        <w:rPr>
          <w:rFonts w:ascii="Arial" w:cs="Arial" w:eastAsia="Arial" w:hAnsi="Arial"/>
          <w:sz w:val="17"/>
          <w:szCs w:val="17"/>
          <w:color w:val="auto"/>
        </w:rPr>
        <w:t>We manufacture our products in all three of our facilities in the U.S., Taiwan and China. Generally, laser chips and optical components are manufactured in our U.S. facility, optical components and subassemblies are manufactured in our Taiwan facility, and equipment is manufactured in our China facility. Because of our vertical integration model, we utilize our own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87"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ind w:firstLine="341"/>
        <w:spacing w:after="0" w:line="260" w:lineRule="auto"/>
        <w:rPr>
          <w:sz w:val="20"/>
          <w:szCs w:val="20"/>
          <w:color w:val="auto"/>
        </w:rPr>
      </w:pPr>
      <w:r>
        <w:rPr>
          <w:rFonts w:ascii="Arial" w:cs="Arial" w:eastAsia="Arial" w:hAnsi="Arial"/>
          <w:sz w:val="17"/>
          <w:szCs w:val="17"/>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28.0% and 32.0%,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sell similar products to different geographic regions at different prices, and therefore realize different gross margins among those similar products. We generally realize a lower gross margin in sales to Asian markets.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4" w:lineRule="exact"/>
        <w:rPr>
          <w:sz w:val="20"/>
          <w:szCs w:val="20"/>
          <w:color w:val="auto"/>
        </w:rPr>
      </w:pPr>
    </w:p>
    <w:p>
      <w:pPr>
        <w:ind w:right="480" w:firstLine="341"/>
        <w:spacing w:after="0" w:line="270"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include salaries, benefits, bonuses and stock-based compensation. With regard to sales and marketing expense, personnel costs also include sales commissions.</w:t>
      </w:r>
    </w:p>
    <w:p>
      <w:pPr>
        <w:spacing w:after="0" w:line="179"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or R&amp;D, expense consists primarily of personnel costs, including stock-based compensation for R&amp;D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our revenue increases over time.</w:t>
      </w:r>
    </w:p>
    <w:p>
      <w:pPr>
        <w:spacing w:after="0" w:line="177"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primarily of personnel costs, including stock-based compensation for our sales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2012. Additionally, we pay commissions to third parties on certain product lines and identified customers, which also amounted to less than one percent of our revenue in 2012.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7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stock-based compensation, primarily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human resources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in the short term, as we develop the infrastructure necessary to operate as a public company,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our revenue increases over time.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4"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color w:val="auto"/>
        </w:rPr>
        <w:t>Interest income consists of income earned on our cash, cash equivalents and short-term investments. Interest expense consists of amounts paid for interest on our short-term and long-term debt borrowings.</w:t>
      </w:r>
    </w:p>
    <w:p>
      <w:pPr>
        <w:spacing w:after="0" w:line="170" w:lineRule="exact"/>
        <w:rPr>
          <w:sz w:val="20"/>
          <w:szCs w:val="20"/>
          <w:color w:val="auto"/>
        </w:rPr>
      </w:pPr>
    </w:p>
    <w:p>
      <w:pPr>
        <w:jc w:val="both"/>
        <w:ind w:right="180" w:firstLine="341"/>
        <w:spacing w:after="0" w:line="322" w:lineRule="auto"/>
        <w:rPr>
          <w:sz w:val="20"/>
          <w:szCs w:val="20"/>
          <w:color w:val="auto"/>
        </w:rPr>
      </w:pPr>
      <w:r>
        <w:rPr>
          <w:rFonts w:ascii="Arial" w:cs="Arial" w:eastAsia="Arial" w:hAnsi="Arial"/>
          <w:sz w:val="15"/>
          <w:szCs w:val="15"/>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24" w:lineRule="exact"/>
        <w:rPr>
          <w:sz w:val="20"/>
          <w:szCs w:val="20"/>
          <w:color w:val="auto"/>
        </w:rPr>
      </w:pPr>
    </w:p>
    <w:p>
      <w:pPr>
        <w:ind w:firstLine="338"/>
        <w:spacing w:after="0" w:line="292" w:lineRule="auto"/>
        <w:rPr>
          <w:sz w:val="20"/>
          <w:szCs w:val="20"/>
          <w:color w:val="auto"/>
        </w:rPr>
      </w:pPr>
      <w:r>
        <w:rPr>
          <w:rFonts w:ascii="Arial" w:cs="Arial" w:eastAsia="Arial" w:hAnsi="Arial"/>
          <w:sz w:val="15"/>
          <w:szCs w:val="15"/>
          <w:color w:val="auto"/>
        </w:rPr>
        <w:t>We conduct our business globally. However, our operating income is subject to varying rates of tax in the U.S., Taiwan and China. Consequently, our effective tax rate is dependent upon the geographic distribution of our earnings or losses and the tax laws and regulations in each geographical region. We expect that our income taxes will vary in relation to our profitability and the geographic distribution of our profits. Our effective U.S. federal income tax rate was 0% in the past three years as we have incurred operating losses. At December 31, 2012, our U.S. accumulated net operating loss, or NOL, was $66.7 million. As we earn profits in the U.S., we expect to reduce our cash tax obligations by the utilization of NOL carry-forwards. Our NOL benefits expire over the twelve-year period from 2020 to 2032. Under Section 382 of the Internal Revenue Code of 1986, as amended, if a corporation undergoes an "ownership change," the corporation's ability to use its pre-change NOLs, capital loss carry-forwards and other pre-change tax attributes to offset its post-change income may be limited going forward. Based upon an analysis of our equity ownership, we have experienced an ownership change and our NOL carryforwards are limited in dollar amount. As of December 31, 2012, of the total accumulated NOL only $38.7 million is available for utilization in 2013 and thereafter to shelter federal taxable income. Each year after 2013, an additional</w:t>
      </w:r>
    </w:p>
    <w:p>
      <w:pPr>
        <w:spacing w:after="0" w:line="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$0.3 million is added to the total available NOL, until a maximum of $64.1 million is reached. The amount of NOL available each year may decrease by the amount of NOL utilized and may increase by the amount of any operating losses incurred. Should we experience additional ownership changes our NOL carryforwards may be further limited.</w:t>
      </w:r>
    </w:p>
    <w:p>
      <w:pPr>
        <w:spacing w:after="0" w:line="183"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In China, our wholly owned China subsidiary has enjoyed preferential tax concessions as a "high-tech enterprise." Pursuant to China's State Council's Regulations on Encouraging Investment in and Development, our China subsidiary is entitled to full exemption from China's Foreign Enterprise Income Tax, or FEIT, for the first two years and a 50% reduction for the next three years, commencing from the first profit making year after offsetting all tax losses carried forward from the previous five years. In March 2007, China enacted the PRC Enterprise Income Tax Law, or EIT Law, under which, effective January 1, 2008, China adopted a uniform income tax rate of 25% for all enterprises (including foreign invested enterprises) and cancelled several tax incentives enjoyed previously by foreign invested enterprises. For foreign invested enterprises like our China subsidiary that were established before the promulgation of the EIT Law, a five-year transition period is provided during which reduced income tax rates will apply but gradually be phased out. The Chinese government has not yet announced implementation measures for the transitional policy concerning such preferential tax rates, so we are unable at this time to estimate the financial impact of the new tax law. We expect that our income tax liability from China profits will vary based upon the implementation of that tax policy and the utilization of our NOL carry-forwards. At December 31, 2012, our accumulated NOLs for our China subsidiary were $9.0 million, which expire over a four year period from 2013 to 2016. As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we earn profits in China, we expect to reduce our cash tax obligations by the utilization of NOL carry-forwards. The NOL benefits are available to reduce our tax obligations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0"/>
              </w:rPr>
              <w:t>Years ended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8"/>
          </w:tcPr>
          <w:p>
            <w:pPr>
              <w:jc w:val="right"/>
              <w:ind w:right="480"/>
              <w:spacing w:after="0"/>
              <w:rPr>
                <w:sz w:val="20"/>
                <w:szCs w:val="20"/>
                <w:color w:val="auto"/>
              </w:rPr>
            </w:pPr>
            <w:r>
              <w:rPr>
                <w:rFonts w:ascii="Arial" w:cs="Arial" w:eastAsia="Arial" w:hAnsi="Arial"/>
                <w:sz w:val="13"/>
                <w:szCs w:val="13"/>
                <w:b w:val="1"/>
                <w:bCs w:val="1"/>
                <w:color w:val="auto"/>
                <w:w w:val="93"/>
              </w:rPr>
              <w:t>(in thousands, except percentages)</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40,489</w:t>
            </w:r>
          </w:p>
        </w:tc>
        <w:tc>
          <w:tcPr>
            <w:tcW w:w="2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47,840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63,421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28,144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33,914</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Cost of goods sold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34,468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19,331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23,882</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13,372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8,813</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Gross margin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Research and development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3,294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3,902</w:t>
            </w:r>
          </w:p>
        </w:tc>
        <w:tc>
          <w:tcPr>
            <w:tcW w:w="0" w:type="dxa"/>
            <w:vAlign w:val="bottom"/>
          </w:tcPr>
          <w:p>
            <w:pPr>
              <w:spacing w:after="0"/>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Arial" w:cs="Arial" w:eastAsia="Arial" w:hAnsi="Arial"/>
                <w:sz w:val="17"/>
                <w:szCs w:val="17"/>
                <w:color w:val="auto"/>
              </w:rPr>
              <w:t>Sales and marketing (1)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2,412</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3,135</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1,614</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1,959</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General and administrative (1)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3,883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4,788</w:t>
            </w:r>
          </w:p>
        </w:tc>
        <w:tc>
          <w:tcPr>
            <w:tcW w:w="0" w:type="dxa"/>
            <w:vAlign w:val="bottom"/>
          </w:tcPr>
          <w:p>
            <w:pPr>
              <w:spacing w:after="0"/>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Asset impairment charges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17,106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18,750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8,810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10,683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(loss)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(3,093)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(3,734)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7"/>
                <w:szCs w:val="17"/>
                <w:color w:val="auto"/>
              </w:rPr>
              <w:t>Interest and other income (expense), net</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(1,124)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(620)</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(loss) before income taxes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(3,380)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ind w:left="180"/>
              <w:spacing w:after="0"/>
              <w:rPr>
                <w:sz w:val="20"/>
                <w:szCs w:val="20"/>
                <w:color w:val="auto"/>
              </w:rPr>
            </w:pPr>
            <w:r>
              <w:rPr>
                <w:rFonts w:ascii="Arial" w:cs="Arial" w:eastAsia="Arial" w:hAnsi="Arial"/>
                <w:sz w:val="17"/>
                <w:szCs w:val="17"/>
                <w:color w:val="auto"/>
              </w:rPr>
              <w:t>Benefit from (provision for) income taxes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(3,380)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Additional Financial Data:</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gross profit (2)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13,011</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10,058</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7"/>
                <w:szCs w:val="17"/>
                <w:color w:val="auto"/>
              </w:rPr>
              <w:t>Non-GAAP income (loss) from operations (2)</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(1,923)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Non-GAAP net income (loss) (2)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7"/>
                <w:szCs w:val="17"/>
                <w:color w:val="auto"/>
              </w:rPr>
              <w:t>Adjusted EBITDA (2)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2,881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(638)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1,607</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99"/>
        </w:trPr>
        <w:tc>
          <w:tcPr>
            <w:tcW w:w="25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80" w:hanging="519"/>
        <w:spacing w:after="0" w:line="256"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expenses include stock-based compensation expense, which is accounted for at fair value, using the Black-Scholes option-pricing model. Stock-based compensation expense is recognized over the vesting period of the stock options and was included in cost of goods sold and operating expenses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left="214"/>
              <w:spacing w:after="0"/>
              <w:rPr>
                <w:sz w:val="20"/>
                <w:szCs w:val="20"/>
                <w:color w:val="auto"/>
              </w:rPr>
            </w:pPr>
            <w:r>
              <w:rPr>
                <w:rFonts w:ascii="Arial" w:cs="Arial" w:eastAsia="Arial" w:hAnsi="Arial"/>
                <w:sz w:val="13"/>
                <w:szCs w:val="13"/>
                <w:b w:val="1"/>
                <w:bCs w:val="1"/>
                <w:color w:val="auto"/>
                <w:w w:val="91"/>
              </w:rPr>
              <w:t>Six</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months</w:t>
            </w:r>
          </w:p>
        </w:tc>
      </w:tr>
      <w:tr>
        <w:trPr>
          <w:trHeight w:val="144"/>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ended</w:t>
            </w:r>
          </w:p>
        </w:tc>
      </w:tr>
      <w:tr>
        <w:trPr>
          <w:trHeight w:val="157"/>
        </w:trPr>
        <w:tc>
          <w:tcPr>
            <w:tcW w:w="3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7"/>
          </w:tcPr>
          <w:p>
            <w:pPr>
              <w:jc w:val="right"/>
              <w:spacing w:after="0"/>
              <w:rPr>
                <w:sz w:val="20"/>
                <w:szCs w:val="20"/>
                <w:color w:val="auto"/>
              </w:rPr>
            </w:pPr>
            <w:r>
              <w:rPr>
                <w:rFonts w:ascii="Arial" w:cs="Arial" w:eastAsia="Arial" w:hAnsi="Arial"/>
                <w:sz w:val="13"/>
                <w:szCs w:val="13"/>
                <w:b w:val="1"/>
                <w:bCs w:val="1"/>
                <w:color w:val="auto"/>
                <w:w w:val="88"/>
              </w:rPr>
              <w:t>Years ended December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90"/>
        </w:trPr>
        <w:tc>
          <w:tcPr>
            <w:tcW w:w="3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6"/>
                <w:szCs w:val="16"/>
                <w:color w:val="auto"/>
              </w:rPr>
            </w:pPr>
          </w:p>
        </w:tc>
      </w:tr>
      <w:tr>
        <w:trPr>
          <w:trHeight w:val="137"/>
        </w:trPr>
        <w:tc>
          <w:tcPr>
            <w:tcW w:w="3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w w:val="87"/>
              </w:rPr>
              <w:t>(in</w:t>
            </w:r>
          </w:p>
        </w:tc>
        <w:tc>
          <w:tcPr>
            <w:tcW w:w="660" w:type="dxa"/>
            <w:vAlign w:val="bottom"/>
            <w:gridSpan w:val="4"/>
          </w:tcPr>
          <w:p>
            <w:pPr>
              <w:spacing w:after="0" w:line="138" w:lineRule="exact"/>
              <w:rPr>
                <w:sz w:val="20"/>
                <w:szCs w:val="20"/>
                <w:color w:val="auto"/>
              </w:rPr>
            </w:pPr>
            <w:r>
              <w:rPr>
                <w:rFonts w:ascii="Arial" w:cs="Arial" w:eastAsia="Arial" w:hAnsi="Arial"/>
                <w:sz w:val="13"/>
                <w:szCs w:val="13"/>
                <w:b w:val="1"/>
                <w:bCs w:val="1"/>
                <w:color w:val="auto"/>
                <w:w w:val="91"/>
              </w:rPr>
              <w:t>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4"/>
        </w:trPr>
        <w:tc>
          <w:tcPr>
            <w:tcW w:w="386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Cost of goods sold</w:t>
            </w:r>
          </w:p>
        </w:tc>
        <w:tc>
          <w:tcPr>
            <w:tcW w:w="1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w:t>
            </w:r>
          </w:p>
        </w:tc>
        <w:tc>
          <w:tcPr>
            <w:tcW w:w="240" w:type="dxa"/>
            <w:vAlign w:val="bottom"/>
            <w:gridSpan w:val="2"/>
            <w:shd w:val="clear" w:color="auto" w:fill="CCEEFF"/>
          </w:tcPr>
          <w:p>
            <w:pPr>
              <w:ind w:left="160"/>
              <w:spacing w:after="0" w:line="144"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c>
          <w:tcPr>
            <w:tcW w:w="2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2"/>
                <w:szCs w:val="12"/>
                <w:color w:val="auto"/>
              </w:rPr>
            </w:pPr>
          </w:p>
        </w:tc>
      </w:tr>
      <w:tr>
        <w:trPr>
          <w:trHeight w:val="144"/>
        </w:trPr>
        <w:tc>
          <w:tcPr>
            <w:tcW w:w="3860" w:type="dxa"/>
            <w:vAlign w:val="bottom"/>
          </w:tcPr>
          <w:p>
            <w:pPr>
              <w:ind w:left="140"/>
              <w:spacing w:after="0" w:line="144" w:lineRule="exact"/>
              <w:rPr>
                <w:sz w:val="20"/>
                <w:szCs w:val="20"/>
                <w:color w:val="auto"/>
              </w:rPr>
            </w:pPr>
            <w:r>
              <w:rPr>
                <w:rFonts w:ascii="Arial" w:cs="Arial" w:eastAsia="Arial" w:hAnsi="Arial"/>
                <w:sz w:val="13"/>
                <w:szCs w:val="13"/>
                <w:color w:val="auto"/>
              </w:rPr>
              <w:t>Research and development</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2"/>
                <w:szCs w:val="12"/>
                <w:color w:val="auto"/>
              </w:rPr>
            </w:pPr>
          </w:p>
        </w:tc>
      </w:tr>
      <w:tr>
        <w:trPr>
          <w:trHeight w:val="144"/>
        </w:trPr>
        <w:tc>
          <w:tcPr>
            <w:tcW w:w="386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r>
      <w:tr>
        <w:trPr>
          <w:trHeight w:val="168"/>
        </w:trPr>
        <w:tc>
          <w:tcPr>
            <w:tcW w:w="386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Pr>
          <w:p>
            <w:pPr>
              <w:spacing w:after="0"/>
              <w:rPr>
                <w:sz w:val="14"/>
                <w:szCs w:val="14"/>
                <w:color w:val="auto"/>
              </w:rPr>
            </w:pPr>
          </w:p>
        </w:tc>
      </w:tr>
      <w:tr>
        <w:trPr>
          <w:trHeight w:val="140"/>
        </w:trPr>
        <w:tc>
          <w:tcPr>
            <w:tcW w:w="38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stock-based compensation expense</w:t>
            </w:r>
          </w:p>
        </w:tc>
        <w:tc>
          <w:tcPr>
            <w:tcW w:w="18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780</w:t>
            </w:r>
          </w:p>
        </w:tc>
        <w:tc>
          <w:tcPr>
            <w:tcW w:w="24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563</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w:t>
            </w:r>
          </w:p>
        </w:tc>
        <w:tc>
          <w:tcPr>
            <w:tcW w:w="24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spacing w:after="0"/>
              <w:rPr>
                <w:sz w:val="12"/>
                <w:szCs w:val="12"/>
                <w:color w:val="auto"/>
              </w:rPr>
            </w:pPr>
          </w:p>
        </w:tc>
      </w:tr>
      <w:tr>
        <w:trPr>
          <w:trHeight w:val="26"/>
        </w:trPr>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980" w:hanging="519"/>
        <w:spacing w:after="0" w:line="238" w:lineRule="auto"/>
        <w:tabs>
          <w:tab w:leader="none" w:pos="9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prepare Adjusted EBITDA and our other non-GAAP measures to eliminate the impact of items that we do not consider indicative of our overall operating performance. To arrive at our non-GAAP gross profit, we exclude stock-based compensation expense from our GAAP gross profit. To arrive at our non-GAAP income (loss) from operations we exclude all amortization of intangible assets, stock-based compensation expense and non-recurring consulting fees, if any, from our GAAP net income (loss) from operations. To arrive at our Adjusted EBITDA, we exclude these same items and, additionally, exclude asset impairment charges, loss (gain) from disposal of idle assets, unrealized exchange loss (gain), interest (income) expense, on a net basis, provision for (benefit from) income taxes and all depreciation expense from our GAAP net income (loss).</w:t>
      </w:r>
    </w:p>
    <w:p>
      <w:pPr>
        <w:spacing w:after="0" w:line="202"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We believe that our non-GAAP measures are useful to investors in evaluating our operating performance for the following reasons:</w:t>
      </w:r>
    </w:p>
    <w:p>
      <w:pPr>
        <w:spacing w:after="0" w:line="200" w:lineRule="exact"/>
        <w:rPr>
          <w:rFonts w:ascii="Arial" w:cs="Arial" w:eastAsia="Arial" w:hAnsi="Arial"/>
          <w:sz w:val="13"/>
          <w:szCs w:val="13"/>
          <w:color w:val="auto"/>
        </w:rPr>
      </w:pPr>
    </w:p>
    <w:p>
      <w:pPr>
        <w:spacing w:after="0" w:line="266" w:lineRule="exact"/>
        <w:rPr>
          <w:rFonts w:ascii="Arial" w:cs="Arial" w:eastAsia="Arial" w:hAnsi="Arial"/>
          <w:sz w:val="13"/>
          <w:szCs w:val="13"/>
          <w:color w:val="auto"/>
        </w:rPr>
      </w:pPr>
    </w:p>
    <w:p>
      <w:pPr>
        <w:ind w:left="1520" w:hanging="534"/>
        <w:spacing w:after="0" w:line="214" w:lineRule="auto"/>
        <w:tabs>
          <w:tab w:leader="none" w:pos="1520" w:val="left"/>
        </w:tabs>
        <w:numPr>
          <w:ilvl w:val="1"/>
          <w:numId w:val="32"/>
        </w:numPr>
        <w:rPr>
          <w:rFonts w:ascii="Arial" w:cs="Arial" w:eastAsia="Arial" w:hAnsi="Arial"/>
          <w:sz w:val="17"/>
          <w:szCs w:val="17"/>
          <w:color w:val="auto"/>
        </w:rPr>
      </w:pPr>
      <w:r>
        <w:rPr>
          <w:rFonts w:ascii="Arial" w:cs="Arial" w:eastAsia="Arial" w:hAnsi="Arial"/>
          <w:sz w:val="13"/>
          <w:szCs w:val="13"/>
          <w:color w:val="auto"/>
        </w:rPr>
        <w:t>We believe that elimination of items, such as stock-based compensation expense, adjusted depreciation and amortization, income tax expense and other income, net, is appropriate because treatment of these items may vary for reasons unrelated to our overall operating performance;</w:t>
      </w:r>
    </w:p>
    <w:p>
      <w:pPr>
        <w:spacing w:after="0" w:line="203" w:lineRule="exact"/>
        <w:rPr>
          <w:rFonts w:ascii="Arial" w:cs="Arial" w:eastAsia="Arial" w:hAnsi="Arial"/>
          <w:sz w:val="17"/>
          <w:szCs w:val="17"/>
          <w:color w:val="auto"/>
        </w:rPr>
      </w:pPr>
    </w:p>
    <w:p>
      <w:pPr>
        <w:ind w:left="1520" w:hanging="534"/>
        <w:spacing w:after="0" w:line="230" w:lineRule="auto"/>
        <w:tabs>
          <w:tab w:leader="none" w:pos="1520" w:val="left"/>
        </w:tabs>
        <w:numPr>
          <w:ilvl w:val="1"/>
          <w:numId w:val="32"/>
        </w:numPr>
        <w:rPr>
          <w:rFonts w:ascii="Arial" w:cs="Arial" w:eastAsia="Arial" w:hAnsi="Arial"/>
          <w:sz w:val="16"/>
          <w:szCs w:val="16"/>
          <w:color w:val="auto"/>
        </w:rPr>
      </w:pPr>
      <w:r>
        <w:rPr>
          <w:rFonts w:ascii="Arial" w:cs="Arial" w:eastAsia="Arial" w:hAnsi="Arial"/>
          <w:sz w:val="12"/>
          <w:szCs w:val="12"/>
          <w:color w:val="auto"/>
        </w:rPr>
        <w:t>We use non-GAAP measures in conjunction with our GAAP financial measures for planning purposes, including the preparation of our annual operating budget, as a measure of operating performance and the effectiveness of our business strategies and in communications with our board of directors concerning our financial performance;</w:t>
      </w:r>
    </w:p>
    <w:p>
      <w:pPr>
        <w:spacing w:after="0" w:line="202" w:lineRule="exact"/>
        <w:rPr>
          <w:rFonts w:ascii="Arial" w:cs="Arial" w:eastAsia="Arial" w:hAnsi="Arial"/>
          <w:sz w:val="16"/>
          <w:szCs w:val="16"/>
          <w:color w:val="auto"/>
        </w:rPr>
      </w:pPr>
    </w:p>
    <w:p>
      <w:pPr>
        <w:ind w:left="1520" w:right="320" w:hanging="534"/>
        <w:spacing w:after="0" w:line="230" w:lineRule="auto"/>
        <w:tabs>
          <w:tab w:leader="none" w:pos="1520" w:val="left"/>
        </w:tabs>
        <w:numPr>
          <w:ilvl w:val="1"/>
          <w:numId w:val="32"/>
        </w:numPr>
        <w:rPr>
          <w:rFonts w:ascii="Arial" w:cs="Arial" w:eastAsia="Arial" w:hAnsi="Arial"/>
          <w:sz w:val="16"/>
          <w:szCs w:val="16"/>
          <w:color w:val="auto"/>
        </w:rPr>
      </w:pPr>
      <w:r>
        <w:rPr>
          <w:rFonts w:ascii="Arial" w:cs="Arial" w:eastAsia="Arial" w:hAnsi="Arial"/>
          <w:sz w:val="12"/>
          <w:szCs w:val="12"/>
          <w:color w:val="auto"/>
        </w:rPr>
        <w:t>We believe that non-GAAP measures provide better comparability with our past financial performance, facilitates better period-to-period comparisons of operational results and also facilitates comparisons with our peer companies, many of which also use similar non-GAAP financial measures to supplement their GAAP reporting; and</w:t>
      </w:r>
    </w:p>
    <w:p>
      <w:pPr>
        <w:spacing w:after="0" w:line="215" w:lineRule="exact"/>
        <w:rPr>
          <w:rFonts w:ascii="Arial" w:cs="Arial" w:eastAsia="Arial" w:hAnsi="Arial"/>
          <w:sz w:val="16"/>
          <w:szCs w:val="16"/>
          <w:color w:val="auto"/>
        </w:rPr>
      </w:pPr>
    </w:p>
    <w:p>
      <w:pPr>
        <w:ind w:left="1520" w:right="520" w:hanging="534"/>
        <w:spacing w:after="0" w:line="214" w:lineRule="auto"/>
        <w:tabs>
          <w:tab w:leader="none" w:pos="1520" w:val="left"/>
        </w:tabs>
        <w:numPr>
          <w:ilvl w:val="1"/>
          <w:numId w:val="32"/>
        </w:numPr>
        <w:rPr>
          <w:rFonts w:ascii="Arial" w:cs="Arial" w:eastAsia="Arial" w:hAnsi="Arial"/>
          <w:sz w:val="17"/>
          <w:szCs w:val="17"/>
          <w:color w:val="auto"/>
        </w:rPr>
      </w:pPr>
      <w:r>
        <w:rPr>
          <w:rFonts w:ascii="Arial" w:cs="Arial" w:eastAsia="Arial" w:hAnsi="Arial"/>
          <w:sz w:val="13"/>
          <w:szCs w:val="13"/>
          <w:color w:val="auto"/>
        </w:rPr>
        <w:t>We anticipate that, after consummating this offering, our investor presentations and those of securities analyst will include non-GAAP measures to evaluate our overall operating performance.</w:t>
      </w:r>
    </w:p>
    <w:p>
      <w:pPr>
        <w:spacing w:after="0" w:line="374" w:lineRule="exact"/>
        <w:rPr>
          <w:sz w:val="20"/>
          <w:szCs w:val="20"/>
          <w:color w:val="auto"/>
        </w:rPr>
      </w:pPr>
    </w:p>
    <w:p>
      <w:pPr>
        <w:ind w:left="980"/>
        <w:spacing w:after="0" w:line="238" w:lineRule="auto"/>
        <w:rPr>
          <w:sz w:val="20"/>
          <w:szCs w:val="20"/>
          <w:color w:val="auto"/>
        </w:rPr>
      </w:pPr>
      <w:r>
        <w:rPr>
          <w:rFonts w:ascii="Arial" w:cs="Arial" w:eastAsia="Arial" w:hAnsi="Arial"/>
          <w:sz w:val="13"/>
          <w:szCs w:val="13"/>
          <w:color w:val="auto"/>
        </w:rPr>
        <w:t>Adjusted EBITDA and other non-GAAP measures should not be considered as an alternative to gross profit, income (loss) from operations, net income (loss) or any other measure of financial performance calculated and presented in accordance with GAAP. Our Adjusted EBITDA and other non-GAAP measures may not be comparable to similarly titled measures of other organizations because other organizations may not calculate Adjusted EBITDA or such other non-GAAP measures in the same manner. You are encouraged to evaluate these adjustments and the reason we consider them appropriate. For a reconciliation between GAAP and Non-GAAP measures, see footnote (3) to the table in the section titled "Summary Consolidated Financial Data" on page 9 of this prospectus.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2013 and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820" w:type="dxa"/>
            <w:vAlign w:val="bottom"/>
            <w:gridSpan w:val="5"/>
          </w:tcPr>
          <w:p>
            <w:pPr>
              <w:ind w:left="340"/>
              <w:spacing w:after="0"/>
              <w:rPr>
                <w:sz w:val="20"/>
                <w:szCs w:val="20"/>
                <w:color w:val="auto"/>
              </w:rPr>
            </w:pPr>
            <w:r>
              <w:rPr>
                <w:rFonts w:ascii="Arial" w:cs="Arial" w:eastAsia="Arial" w:hAnsi="Arial"/>
                <w:sz w:val="13"/>
                <w:szCs w:val="13"/>
                <w:b w:val="1"/>
                <w:bCs w:val="1"/>
                <w:color w:val="auto"/>
              </w:rPr>
              <w:t>Six months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5900" w:type="dxa"/>
            <w:vAlign w:val="bottom"/>
          </w:tcPr>
          <w:p>
            <w:pPr>
              <w:spacing w:after="0"/>
              <w:rPr>
                <w:sz w:val="13"/>
                <w:szCs w:val="13"/>
                <w:color w:val="auto"/>
              </w:rPr>
            </w:pPr>
          </w:p>
        </w:tc>
        <w:tc>
          <w:tcPr>
            <w:tcW w:w="112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96"/>
              </w:rPr>
              <w:t>June 30,</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6"/>
              </w:rPr>
              <w:t>Change</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w w:val="96"/>
              </w:rPr>
              <w:t>2013</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r>
      <w:tr>
        <w:trPr>
          <w:trHeight w:val="203"/>
        </w:trPr>
        <w:tc>
          <w:tcPr>
            <w:tcW w:w="5900" w:type="dxa"/>
            <w:vAlign w:val="bottom"/>
          </w:tcPr>
          <w:p>
            <w:pPr>
              <w:spacing w:after="0"/>
              <w:rPr>
                <w:sz w:val="17"/>
                <w:szCs w:val="17"/>
                <w:color w:val="auto"/>
              </w:rPr>
            </w:pPr>
          </w:p>
        </w:tc>
        <w:tc>
          <w:tcPr>
            <w:tcW w:w="2720" w:type="dxa"/>
            <w:vAlign w:val="bottom"/>
            <w:gridSpan w:val="8"/>
          </w:tcPr>
          <w:p>
            <w:pPr>
              <w:ind w:left="580"/>
              <w:spacing w:after="0"/>
              <w:rPr>
                <w:sz w:val="20"/>
                <w:szCs w:val="20"/>
                <w:color w:val="auto"/>
              </w:rPr>
            </w:pPr>
            <w:r>
              <w:rPr>
                <w:rFonts w:ascii="Arial" w:cs="Arial" w:eastAsia="Arial" w:hAnsi="Arial"/>
                <w:sz w:val="13"/>
                <w:szCs w:val="13"/>
                <w:b w:val="1"/>
                <w:bCs w:val="1"/>
                <w:color w:val="auto"/>
                <w:w w:val="97"/>
              </w:rPr>
              <w:t>(in thousands, except percentages)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28,144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33,914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5,770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20.5%</w:t>
            </w:r>
          </w:p>
        </w:tc>
      </w:tr>
    </w:tbl>
    <w:p>
      <w:pPr>
        <w:spacing w:after="0" w:line="201" w:lineRule="exact"/>
        <w:rPr>
          <w:sz w:val="20"/>
          <w:szCs w:val="20"/>
          <w:color w:val="auto"/>
        </w:rPr>
      </w:pPr>
    </w:p>
    <w:p>
      <w:pPr>
        <w:ind w:right="280" w:firstLine="341"/>
        <w:spacing w:after="0" w:line="282" w:lineRule="auto"/>
        <w:rPr>
          <w:sz w:val="20"/>
          <w:szCs w:val="20"/>
          <w:color w:val="auto"/>
        </w:rPr>
      </w:pPr>
      <w:r>
        <w:rPr>
          <w:rFonts w:ascii="Arial" w:cs="Arial" w:eastAsia="Arial" w:hAnsi="Arial"/>
          <w:sz w:val="17"/>
          <w:szCs w:val="17"/>
          <w:color w:val="auto"/>
        </w:rPr>
        <w:t>Of our total revenue in the six months ended June 30, 2013, we generated $18.8 million, or 55.4%, from the CATV market, $10.3 million, or 30.3%, from the internet data center market, $1.8 million, or 5.3%, in the FTTH market, and $3.1 million, or, 9.0%, from other markets.</w:t>
      </w:r>
    </w:p>
    <w:p>
      <w:pPr>
        <w:spacing w:after="0" w:line="170"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The increase in revenue was attributable to a $8.9 million increase from the internet data center market, and a $1.1 million increase from the other markets, which increases were partially offset by a $4.3 million decrease in the CATV market. Revenues in the internet data center market were driven by increasing sales to new customers acquired late in 2012. Revenues in the FTTH and other markets were driven by the addition of new customers in the FTTH market and increasing sales to existing customers in the other markets. The decline in revenues in the CATV market in 2013 was a result of market-wide weakness in the first half of 2013, particularly in China, as well as delays in orders as a consequence of mergers among several of our CATV customers.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0"/>
              </w:rPr>
              <w:t>Six months ended 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380" w:type="dxa"/>
            <w:vAlign w:val="bottom"/>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2012</w:t>
            </w: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4"/>
              </w:rPr>
              <w:t>% of</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8"/>
          </w:tcPr>
          <w:p>
            <w:pPr>
              <w:ind w:left="460"/>
              <w:spacing w:after="0"/>
              <w:rPr>
                <w:sz w:val="20"/>
                <w:szCs w:val="20"/>
                <w:color w:val="auto"/>
              </w:rPr>
            </w:pPr>
            <w:r>
              <w:rPr>
                <w:rFonts w:ascii="Arial" w:cs="Arial" w:eastAsia="Arial" w:hAnsi="Arial"/>
                <w:sz w:val="13"/>
                <w:szCs w:val="13"/>
                <w:b w:val="1"/>
                <w:bCs w:val="1"/>
                <w:color w:val="auto"/>
                <w:w w:val="95"/>
              </w:rPr>
              <w:t>(in thousands, except percentages)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19,331</w:t>
            </w:r>
          </w:p>
        </w:tc>
        <w:tc>
          <w:tcPr>
            <w:tcW w:w="10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97"/>
              </w:rPr>
              <w:t>68.7%$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23,882</w:t>
            </w:r>
          </w:p>
        </w:tc>
        <w:tc>
          <w:tcPr>
            <w:tcW w:w="8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90"/>
              </w:rPr>
              <w:t>70.4%$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Gross margin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7"/>
                <w:szCs w:val="17"/>
                <w:color w:val="auto"/>
                <w:w w:val="91"/>
              </w:rPr>
              <w:t>31.3%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7"/>
                <w:szCs w:val="17"/>
                <w:color w:val="auto"/>
                <w:w w:val="91"/>
              </w:rPr>
              <w:t>29.6%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Cost of goods sold increased by $4.6 million, or 23.5%, from the six months ended June 30, 2012 to the six months ended June 30, 2013, primarily due to a combination of a $3.3 million increase in direct material costs and a $0.7 million increase in labor and overhead costs, both of which were associated with our increase in revenues. Within our markets, we sell similar products in different geographic regions at different prices, and therefore realize different gross margins among those similar products. The decrease in gross margin was primarily the result of an unfavorable product mix in the Asian market, leading to higher than normal direct labor and overhead charges in the three-months ended June 30, 2013. Additionally, in the six-month period ended June 30, 2013, we recorded a higher than normal inventory reserve from discontinued products associated with inventory on hand in our Asia operations.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w w:val="88"/>
              </w:rPr>
              <w:t>Six months ended 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7"/>
          </w:tcPr>
          <w:p>
            <w:pPr>
              <w:jc w:val="right"/>
              <w:ind w:right="60"/>
              <w:spacing w:after="0"/>
              <w:rPr>
                <w:sz w:val="20"/>
                <w:szCs w:val="20"/>
                <w:color w:val="auto"/>
              </w:rPr>
            </w:pPr>
            <w:r>
              <w:rPr>
                <w:rFonts w:ascii="Arial" w:cs="Arial" w:eastAsia="Arial" w:hAnsi="Arial"/>
                <w:sz w:val="13"/>
                <w:szCs w:val="13"/>
                <w:b w:val="1"/>
                <w:bCs w:val="1"/>
                <w:color w:val="auto"/>
              </w:rPr>
              <w:t>(in thousands, except percentages)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3,284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18.8%</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1,614</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1,959</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w w:val="87"/>
              </w:rPr>
              <w:t>21.4%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3,883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4,788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23.3%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w w:val="87"/>
              </w:rPr>
              <w:t>18.3%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10,683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1,873</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21.3%</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Research and development expense increased by $0.6 million, or 18.8%, from the six months ended June 30, 2012 to the six months ended June 30, 2013. This was primarily due to increases in personnel costs and R&amp;D work order and project costs related to new product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24"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Sales and marketing expense increased by $0.3 million, or 21.4%, from the six months ended June 30, 2012 to the six months ended June 30, 2013. This was primarily due to an increase in personnel costs due to additional sales and marketing staff.</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General and administrative expense increased by $0.9 million, or 23.3%, from the six months ended June 30, 2012 to the six months ended June 30, 2013. This was primarily due to an increase in personnel costs, professional fees and travel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jc w:val="center"/>
              <w:ind w:right="234"/>
              <w:spacing w:after="0"/>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420"/>
              <w:spacing w:after="0"/>
              <w:rPr>
                <w:sz w:val="20"/>
                <w:szCs w:val="20"/>
                <w:color w:val="auto"/>
              </w:rPr>
            </w:pPr>
            <w:r>
              <w:rPr>
                <w:rFonts w:ascii="Arial" w:cs="Arial" w:eastAsia="Arial" w:hAnsi="Arial"/>
                <w:sz w:val="13"/>
                <w:szCs w:val="13"/>
                <w:b w:val="1"/>
                <w:bCs w:val="1"/>
                <w:color w:val="auto"/>
                <w:w w:val="92"/>
              </w:rPr>
              <w:t>Change</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8"/>
              </w:rPr>
              <w:t>revenue</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7"/>
              </w:rPr>
              <w:t>(in thousands, except percentages)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c>
          <w:tcPr>
            <w:tcW w:w="940" w:type="dxa"/>
            <w:vAlign w:val="bottom"/>
            <w:gridSpan w:val="2"/>
          </w:tcPr>
          <w:p>
            <w:pPr>
              <w:jc w:val="right"/>
              <w:ind w:right="54"/>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9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(164.4)%</w:t>
            </w:r>
          </w:p>
        </w:tc>
        <w:tc>
          <w:tcPr>
            <w:tcW w:w="0" w:type="dxa"/>
            <w:vAlign w:val="bottom"/>
          </w:tcPr>
          <w:p>
            <w:pPr>
              <w:spacing w:after="0"/>
              <w:rPr>
                <w:sz w:val="1"/>
                <w:szCs w:val="1"/>
                <w:color w:val="auto"/>
              </w:rPr>
            </w:pPr>
          </w:p>
        </w:tc>
      </w:tr>
      <w:tr>
        <w:trPr>
          <w:trHeight w:val="26"/>
        </w:trPr>
        <w:tc>
          <w:tcPr>
            <w:tcW w:w="3900" w:type="dxa"/>
            <w:vAlign w:val="bottom"/>
            <w:vMerge w:val="restart"/>
          </w:tcPr>
          <w:p>
            <w:pPr>
              <w:ind w:left="180"/>
              <w:spacing w:after="0"/>
              <w:rPr>
                <w:sz w:val="20"/>
                <w:szCs w:val="20"/>
                <w:color w:val="auto"/>
              </w:rPr>
            </w:pPr>
            <w:r>
              <w:rPr>
                <w:rFonts w:ascii="Arial" w:cs="Arial" w:eastAsia="Arial" w:hAnsi="Arial"/>
                <w:sz w:val="17"/>
                <w:szCs w:val="17"/>
                <w:color w:val="auto"/>
              </w:rPr>
              <w:t>Total other income (expense), net</w:t>
            </w: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(620)</w:t>
            </w:r>
          </w:p>
        </w:tc>
        <w:tc>
          <w:tcPr>
            <w:tcW w:w="160" w:type="dxa"/>
            <w:vAlign w:val="bottom"/>
          </w:tcPr>
          <w:p>
            <w:pPr>
              <w:spacing w:after="0"/>
              <w:rPr>
                <w:sz w:val="18"/>
                <w:szCs w:val="18"/>
                <w:color w:val="auto"/>
              </w:rPr>
            </w:pPr>
          </w:p>
        </w:tc>
        <w:tc>
          <w:tcPr>
            <w:tcW w:w="940" w:type="dxa"/>
            <w:vAlign w:val="bottom"/>
            <w:gridSpan w:val="2"/>
          </w:tcPr>
          <w:p>
            <w:pPr>
              <w:jc w:val="right"/>
              <w:ind w:right="54"/>
              <w:spacing w:after="0"/>
              <w:rPr>
                <w:sz w:val="20"/>
                <w:szCs w:val="20"/>
                <w:color w:val="auto"/>
              </w:rPr>
            </w:pPr>
            <w:r>
              <w:rPr>
                <w:rFonts w:ascii="Arial" w:cs="Arial" w:eastAsia="Arial" w:hAnsi="Arial"/>
                <w:sz w:val="17"/>
                <w:szCs w:val="17"/>
                <w:color w:val="auto"/>
              </w:rPr>
              <w:t>(2.2)%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other income (expense), net remained relatively unchanged from the six months ended June 30, 2012 to the six months ended June 30, 2013.</w:t>
      </w:r>
    </w:p>
    <w:p>
      <w:pPr>
        <w:spacing w:after="0" w:line="23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Interest expense decreased for the six months ended June 30, 2012 to the six months ended June 30, 2013 due to the benefit of lower interest rates on relatively unchanged loan balances.</w:t>
      </w:r>
    </w:p>
    <w:p>
      <w:pPr>
        <w:spacing w:after="0" w:line="170"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Other income (expense) increased due to government subsidies received in China offset by an unrealized foreign exchange loss recognized resulting from the depreciation of the NT dollar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60"/>
        <w:spacing w:after="0" w:line="282" w:lineRule="auto"/>
        <w:rPr>
          <w:sz w:val="20"/>
          <w:szCs w:val="20"/>
          <w:color w:val="auto"/>
        </w:rPr>
      </w:pPr>
      <w:r>
        <w:rPr>
          <w:rFonts w:ascii="Arial" w:cs="Arial" w:eastAsia="Arial" w:hAnsi="Arial"/>
          <w:sz w:val="17"/>
          <w:szCs w:val="17"/>
          <w:color w:val="auto"/>
        </w:rPr>
        <w:t>against the U.S. dollar. We qualify as a high-tech enterprise and are paid subsidies from time to time based upon the revenue earned in China by the Chinese government to foster local high-tech manufacturing.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20" w:lineRule="exact"/>
        <w:rPr>
          <w:sz w:val="20"/>
          <w:szCs w:val="20"/>
          <w:color w:val="auto"/>
        </w:rPr>
      </w:pPr>
    </w:p>
    <w:p>
      <w:pPr>
        <w:jc w:val="center"/>
        <w:ind w:left="6160"/>
        <w:spacing w:after="0"/>
        <w:rPr>
          <w:sz w:val="20"/>
          <w:szCs w:val="20"/>
          <w:color w:val="auto"/>
        </w:rPr>
      </w:pPr>
      <w:r>
        <w:rPr>
          <w:rFonts w:ascii="Arial" w:cs="Arial" w:eastAsia="Arial" w:hAnsi="Arial"/>
          <w:sz w:val="13"/>
          <w:szCs w:val="13"/>
          <w:b w:val="1"/>
          <w:bCs w:val="1"/>
          <w:color w:val="auto"/>
        </w:rPr>
        <w:t>Six</w:t>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3"/>
          <w:szCs w:val="13"/>
          <w:b w:val="1"/>
          <w:bCs w:val="1"/>
          <w:color w:val="auto"/>
        </w:rPr>
        <w:t>Months</w:t>
      </w:r>
    </w:p>
    <w:p>
      <w:pPr>
        <w:jc w:val="center"/>
        <w:ind w:left="6160"/>
        <w:spacing w:after="0" w:line="231" w:lineRule="auto"/>
        <w:rPr>
          <w:sz w:val="20"/>
          <w:szCs w:val="20"/>
          <w:color w:val="auto"/>
        </w:rPr>
      </w:pPr>
      <w:r>
        <w:rPr>
          <w:rFonts w:ascii="Arial" w:cs="Arial" w:eastAsia="Arial" w:hAnsi="Arial"/>
          <w:sz w:val="13"/>
          <w:szCs w:val="13"/>
          <w:b w:val="1"/>
          <w:bCs w:val="1"/>
          <w:color w:val="auto"/>
        </w:rPr>
        <w:t>ended</w:t>
      </w:r>
    </w:p>
    <w:p>
      <w:pPr>
        <w:jc w:val="center"/>
        <w:ind w:left="616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-3175</wp:posOffset>
            </wp:positionV>
            <wp:extent cx="715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6" w:lineRule="exact"/>
        <w:rPr>
          <w:sz w:val="20"/>
          <w:szCs w:val="20"/>
          <w:color w:val="auto"/>
        </w:rPr>
      </w:pPr>
    </w:p>
    <w:p>
      <w:pPr>
        <w:ind w:left="8320"/>
        <w:spacing w:after="0"/>
        <w:tabs>
          <w:tab w:leader="none" w:pos="8980" w:val="left"/>
          <w:tab w:leader="none" w:pos="9580" w:val="left"/>
        </w:tabs>
        <w:rPr>
          <w:sz w:val="20"/>
          <w:szCs w:val="20"/>
          <w:color w:val="auto"/>
        </w:rPr>
      </w:pPr>
      <w:r>
        <w:rPr>
          <w:rFonts w:ascii="Arial" w:cs="Arial" w:eastAsia="Arial" w:hAnsi="Arial"/>
          <w:sz w:val="13"/>
          <w:szCs w:val="13"/>
          <w:b w:val="1"/>
          <w:bCs w:val="1"/>
          <w:color w:val="auto"/>
        </w:rPr>
        <w:t>2012</w:t>
      </w:r>
      <w:r>
        <w:rPr>
          <w:sz w:val="20"/>
          <w:szCs w:val="20"/>
          <w:color w:val="auto"/>
        </w:rPr>
        <w:tab/>
      </w:r>
      <w:r>
        <w:rPr>
          <w:rFonts w:ascii="Arial" w:cs="Arial" w:eastAsia="Arial" w:hAnsi="Arial"/>
          <w:sz w:val="13"/>
          <w:szCs w:val="13"/>
          <w:b w:val="1"/>
          <w:bCs w:val="1"/>
          <w:color w:val="auto"/>
        </w:rPr>
        <w:t>2013</w:t>
      </w:r>
      <w:r>
        <w:rPr>
          <w:sz w:val="20"/>
          <w:szCs w:val="20"/>
          <w:color w:val="auto"/>
        </w:rPr>
        <w:tab/>
      </w:r>
      <w:r>
        <w:rPr>
          <w:rFonts w:ascii="Arial" w:cs="Arial" w:eastAsia="Arial" w:hAnsi="Arial"/>
          <w:sz w:val="11"/>
          <w:szCs w:val="11"/>
          <w:b w:val="1"/>
          <w:bCs w:val="1"/>
          <w:color w:val="auto"/>
        </w:rPr>
        <w:t>Change</w:t>
      </w:r>
    </w:p>
    <w:p>
      <w:pPr>
        <w:spacing w:after="0" w:line="28"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4"/>
        </w:trPr>
        <w:tc>
          <w:tcPr>
            <w:tcW w:w="7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gridSpan w:val="4"/>
          </w:tcPr>
          <w:p>
            <w:pPr>
              <w:jc w:val="center"/>
              <w:ind w:right="160"/>
              <w:spacing w:after="0" w:line="105" w:lineRule="exact"/>
              <w:rPr>
                <w:sz w:val="20"/>
                <w:szCs w:val="20"/>
                <w:color w:val="auto"/>
              </w:rPr>
            </w:pPr>
            <w:r>
              <w:rPr>
                <w:rFonts w:ascii="Arial" w:cs="Arial" w:eastAsia="Arial" w:hAnsi="Arial"/>
                <w:sz w:val="12"/>
                <w:szCs w:val="12"/>
                <w:b w:val="1"/>
                <w:bCs w:val="1"/>
                <w:color w:val="auto"/>
                <w:w w:val="95"/>
              </w:rPr>
              <w:t>(in thousands,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57"/>
        </w:trPr>
        <w:tc>
          <w:tcPr>
            <w:tcW w:w="7080" w:type="dxa"/>
            <w:vAlign w:val="bottom"/>
          </w:tcPr>
          <w:p>
            <w:pPr>
              <w:spacing w:after="0"/>
              <w:rPr>
                <w:sz w:val="13"/>
                <w:szCs w:val="13"/>
                <w:color w:val="auto"/>
              </w:rPr>
            </w:pPr>
          </w:p>
        </w:tc>
        <w:tc>
          <w:tcPr>
            <w:tcW w:w="1600" w:type="dxa"/>
            <w:vAlign w:val="bottom"/>
            <w:gridSpan w:val="5"/>
          </w:tcPr>
          <w:p>
            <w:pPr>
              <w:jc w:val="center"/>
              <w:ind w:left="221"/>
              <w:spacing w:after="0"/>
              <w:rPr>
                <w:sz w:val="20"/>
                <w:szCs w:val="20"/>
                <w:color w:val="auto"/>
              </w:rPr>
            </w:pPr>
            <w:r>
              <w:rPr>
                <w:rFonts w:ascii="Arial" w:cs="Arial" w:eastAsia="Arial" w:hAnsi="Arial"/>
                <w:sz w:val="13"/>
                <w:szCs w:val="13"/>
                <w:b w:val="1"/>
                <w:bCs w:val="1"/>
                <w:color w:val="auto"/>
                <w:w w:val="87"/>
              </w:rPr>
              <w:t>except percentages)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60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   —   $   —  $</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08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effective tax rate was 0.0% for the six months ended June 30, 2013 and the six months ended June 30, 2012, as we did not generate positive taxable income.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00" w:type="dxa"/>
            <w:vAlign w:val="bottom"/>
          </w:tcPr>
          <w:p>
            <w:pPr>
              <w:spacing w:after="0"/>
              <w:rPr>
                <w:sz w:val="13"/>
                <w:szCs w:val="13"/>
                <w:color w:val="auto"/>
              </w:rPr>
            </w:pPr>
          </w:p>
        </w:tc>
        <w:tc>
          <w:tcPr>
            <w:tcW w:w="1800" w:type="dxa"/>
            <w:vAlign w:val="bottom"/>
            <w:gridSpan w:val="5"/>
          </w:tcPr>
          <w:p>
            <w:pPr>
              <w:ind w:left="10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8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r>
      <w:tr>
        <w:trPr>
          <w:trHeight w:val="203"/>
        </w:trPr>
        <w:tc>
          <w:tcPr>
            <w:tcW w:w="5800" w:type="dxa"/>
            <w:vAlign w:val="bottom"/>
          </w:tcPr>
          <w:p>
            <w:pPr>
              <w:spacing w:after="0"/>
              <w:rPr>
                <w:sz w:val="17"/>
                <w:szCs w:val="17"/>
                <w:color w:val="auto"/>
              </w:rPr>
            </w:pPr>
          </w:p>
        </w:tc>
        <w:tc>
          <w:tcPr>
            <w:tcW w:w="2720" w:type="dxa"/>
            <w:vAlign w:val="bottom"/>
            <w:gridSpan w:val="8"/>
          </w:tcPr>
          <w:p>
            <w:pPr>
              <w:jc w:val="right"/>
              <w:ind w:right="180"/>
              <w:spacing w:after="0"/>
              <w:rPr>
                <w:sz w:val="20"/>
                <w:szCs w:val="20"/>
                <w:color w:val="auto"/>
              </w:rPr>
            </w:pPr>
            <w:r>
              <w:rPr>
                <w:rFonts w:ascii="Arial" w:cs="Arial" w:eastAsia="Arial" w:hAnsi="Arial"/>
                <w:sz w:val="13"/>
                <w:szCs w:val="13"/>
                <w:b w:val="1"/>
                <w:bCs w:val="1"/>
                <w:color w:val="auto"/>
              </w:rPr>
              <w:t>(in thousands, except percentages)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47,840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63,421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15,581</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7"/>
              </w:rPr>
              <w:t>32.6%</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our total revenue in 2012, we generated $49.8 million, or 78.6%, from the CATV market, $5.3 million, or 8.3%, from the internet data center market,</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$3.7 million, or 5.8%, from the FTTH market, and $4.6 million, or 7.3%, from other markets. Total revenue increased by $15.6 million, or 32.6%, from 2011 to 2012. The increase in revenue was attributable to an $11.0 million increase in revenue from our CATV market, a $5.3 million increase from the internet data center market, and a $0.4 million increase in the FTTH market, which increases were partially offset by a $1.0 million decrease from other markets. Our CATV market revenue increased in 2012 primarily due to increased capital expenditures by CATV service providers and increased shipments of our CATV equipment products. Revenues in 2012 were also driven by sales increases from two customers in the internet data center market. Our FTTH market revenue increased primarily because of the sale of new transceiver products to existing customers. Revenue declined in other markets because of a de-emphasis by our sales staff and the decline in sales of certain legacy products within those markets.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1"/>
              </w:rPr>
              <w:t>Years ended December 31,</w:t>
            </w: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260" w:type="dxa"/>
            <w:vAlign w:val="bottom"/>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w w:val="88"/>
              </w:rPr>
              <w:t>Change</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34"/>
              <w:spacing w:after="0"/>
              <w:rPr>
                <w:sz w:val="20"/>
                <w:szCs w:val="20"/>
                <w:color w:val="auto"/>
              </w:rPr>
            </w:pPr>
            <w:r>
              <w:rPr>
                <w:rFonts w:ascii="Arial" w:cs="Arial" w:eastAsia="Arial" w:hAnsi="Arial"/>
                <w:sz w:val="13"/>
                <w:szCs w:val="13"/>
                <w:b w:val="1"/>
                <w:bCs w:val="1"/>
                <w:color w:val="auto"/>
              </w:rPr>
              <w:t>%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 of</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Arial" w:cs="Arial" w:eastAsia="Arial" w:hAnsi="Arial"/>
                <w:sz w:val="11"/>
                <w:szCs w:val="11"/>
                <w:b w:val="1"/>
                <w:bCs w:val="1"/>
                <w:color w:val="auto"/>
                <w:w w:val="74"/>
              </w:rPr>
              <w:t>(in</w:t>
            </w:r>
          </w:p>
        </w:tc>
        <w:tc>
          <w:tcPr>
            <w:tcW w:w="160" w:type="dxa"/>
            <w:vAlign w:val="bottom"/>
          </w:tcPr>
          <w:p>
            <w:pPr>
              <w:spacing w:after="0"/>
              <w:rPr>
                <w:sz w:val="11"/>
                <w:szCs w:val="11"/>
                <w:color w:val="auto"/>
              </w:rPr>
            </w:pPr>
          </w:p>
        </w:tc>
        <w:tc>
          <w:tcPr>
            <w:tcW w:w="9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7"/>
              </w:rPr>
              <w:t>thousands, except</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74"/>
              </w:rPr>
              <w:t>percentages)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34,468</w:t>
            </w:r>
          </w:p>
        </w:tc>
        <w:tc>
          <w:tcPr>
            <w:tcW w:w="10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89"/>
              </w:rPr>
              <w:t>72.0% $</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44,492</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6"/>
              </w:rPr>
              <w:t>70.2% $</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10,024</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7"/>
              </w:rPr>
              <w:t>29.1%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7"/>
                <w:szCs w:val="17"/>
                <w:color w:val="auto"/>
              </w:rPr>
              <w:t>Gross margin</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7"/>
                <w:szCs w:val="17"/>
                <w:color w:val="auto"/>
                <w:w w:val="91"/>
              </w:rPr>
              <w:t>28.0%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7"/>
                <w:szCs w:val="17"/>
                <w:color w:val="auto"/>
                <w:w w:val="87"/>
              </w:rPr>
              <w:t>29.8%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Cost of goods sold increased by $10.0 million, or 29.1%, from 2011 to 2012, primarily due to a combination of an $8.5 million increase in direct material costs and a $1.3 million increase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in labor and overhead costs, both of which were associated with our increase in revenues. The increase in gross margin was caused by lower direct labor costs and lower overhead from improved efficiency, combined with a reduction in our inventory reserve. The inventory reserves were higher in 2011 primarily due to discontinued products and aging of inventory on hand.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1"/>
              </w:rPr>
              <w:t>Years ended December 31,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Change</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60"/>
              <w:spacing w:after="0" w:line="138" w:lineRule="exact"/>
              <w:rPr>
                <w:sz w:val="20"/>
                <w:szCs w:val="20"/>
                <w:color w:val="auto"/>
              </w:rPr>
            </w:pPr>
            <w:r>
              <w:rPr>
                <w:rFonts w:ascii="Arial" w:cs="Arial" w:eastAsia="Arial" w:hAnsi="Arial"/>
                <w:sz w:val="13"/>
                <w:szCs w:val="13"/>
                <w:b w:val="1"/>
                <w:bCs w:val="1"/>
                <w:color w:val="auto"/>
                <w:w w:val="87"/>
              </w:rPr>
              <w:t>(in</w:t>
            </w:r>
          </w:p>
        </w:tc>
        <w:tc>
          <w:tcPr>
            <w:tcW w:w="160" w:type="dxa"/>
            <w:vAlign w:val="bottom"/>
          </w:tcPr>
          <w:p>
            <w:pPr>
              <w:spacing w:after="0"/>
              <w:rPr>
                <w:sz w:val="11"/>
                <w:szCs w:val="11"/>
                <w:color w:val="auto"/>
              </w:rPr>
            </w:pPr>
          </w:p>
        </w:tc>
        <w:tc>
          <w:tcPr>
            <w:tcW w:w="9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w w:val="77"/>
              </w:rPr>
              <w:t>thousands, except</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79"/>
              </w:rPr>
              <w:t>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6,451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17.9%</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2,412</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3,135</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723</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30.0%</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8,197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7,952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w w:val="99"/>
              </w:rPr>
              <w:t>29.4%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17,106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1,644</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Research and development expense increased by $1.2 million, or 17.9%, from 2011 to 2012, $0.7 million of which was attributable to R&amp;D material expenses associated with new product development. The remaining $0.5 million increase was a result of a reallocation of existing personnel costs to R&amp;D work orders and an increase in R&amp;D staffing. Because our R&amp;D staff is integral to new product development, our R&amp;D staff often rotate between R&amp;D work orders (non-production orders) and production orders. As we shift those personnel from production back to R&amp;D, our R&amp;D expenses vary.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24"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Sales and marketing expense increased by $0.7 million, or 30.0%, from 2011 to 2012. This was due to a $0.5 million increase in personnel costs due to additional sales and marketing staff to better serve our customers, and an increase in sales commissions of $0.2 million because of our revenue growth.</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General and administrative expense decreased by $0.2 million, or 3.0%, from 2011 to 2012. This was primarily due to a decrease in stock option compensation expense because of the use of a reduced volatility assumption and prior grants becoming fully vested.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rPr>
              <w:t>Years ended December 31,</w:t>
            </w:r>
          </w:p>
        </w:tc>
        <w:tc>
          <w:tcPr>
            <w:tcW w:w="5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ind w:left="380"/>
              <w:spacing w:after="0"/>
              <w:rPr>
                <w:sz w:val="20"/>
                <w:szCs w:val="20"/>
                <w:color w:val="auto"/>
              </w:rPr>
            </w:pPr>
            <w:r>
              <w:rPr>
                <w:rFonts w:ascii="Arial" w:cs="Arial" w:eastAsia="Arial" w:hAnsi="Arial"/>
                <w:sz w:val="13"/>
                <w:szCs w:val="13"/>
                <w:b w:val="1"/>
                <w:bCs w:val="1"/>
                <w:color w:val="auto"/>
                <w:w w:val="92"/>
              </w:rPr>
              <w:t>Change</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rPr>
              <w: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 of</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20" w:type="dxa"/>
            <w:vAlign w:val="bottom"/>
            <w:gridSpan w:val="7"/>
          </w:tcPr>
          <w:p>
            <w:pPr>
              <w:jc w:val="center"/>
              <w:ind w:right="10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0.0% $</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(1,338)</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(1,381)</w:t>
            </w:r>
          </w:p>
        </w:tc>
        <w:tc>
          <w:tcPr>
            <w:tcW w:w="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186.0%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40" w:type="dxa"/>
            <w:vAlign w:val="bottom"/>
            <w:vMerge w:val="restart"/>
          </w:tcPr>
          <w:p>
            <w:pPr>
              <w:ind w:left="180"/>
              <w:spacing w:after="0"/>
              <w:rPr>
                <w:sz w:val="20"/>
                <w:szCs w:val="20"/>
                <w:color w:val="auto"/>
              </w:rPr>
            </w:pPr>
            <w:r>
              <w:rPr>
                <w:rFonts w:ascii="Arial" w:cs="Arial" w:eastAsia="Arial" w:hAnsi="Arial"/>
                <w:sz w:val="17"/>
                <w:szCs w:val="17"/>
                <w:color w:val="auto"/>
              </w:rPr>
              <w:t>Total Other income (expense), net</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rPr>
              <w:t>(3.3)% $</w:t>
            </w:r>
          </w:p>
        </w:tc>
        <w:tc>
          <w:tcPr>
            <w:tcW w:w="580" w:type="dxa"/>
            <w:vAlign w:val="bottom"/>
          </w:tcPr>
          <w:p>
            <w:pPr>
              <w:jc w:val="right"/>
              <w:spacing w:after="0"/>
              <w:rPr>
                <w:sz w:val="20"/>
                <w:szCs w:val="20"/>
                <w:color w:val="auto"/>
              </w:rPr>
            </w:pPr>
            <w:r>
              <w:rPr>
                <w:rFonts w:ascii="Arial" w:cs="Arial" w:eastAsia="Arial" w:hAnsi="Arial"/>
                <w:sz w:val="17"/>
                <w:szCs w:val="17"/>
                <w:color w:val="auto"/>
              </w:rPr>
              <w:t>(1,124)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80"/>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Total net other expense decreased by $0.5 million, or 29.5%, from 2011 to 2012. Interest expense remained relatively unchanged from 2011 to 2012. While average loan balances increased from 2011 to 2012 by about $2.0 million, we benefited from a reduction in interest rates in 2012. The net other expense decreased by $0.5 million from 2011 to 2012 primarily due to foreign currency revaluation gains from U.S. denominated accounts in 2012 when the NT dollar appreciated against the U.S. dollar.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Years ended</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70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4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6"/>
                <w:szCs w:val="16"/>
                <w:color w:val="auto"/>
              </w:rPr>
            </w:pPr>
          </w:p>
        </w:tc>
      </w:tr>
      <w:tr>
        <w:trPr>
          <w:trHeight w:val="137"/>
        </w:trPr>
        <w:tc>
          <w:tcPr>
            <w:tcW w:w="7040" w:type="dxa"/>
            <w:vAlign w:val="bottom"/>
          </w:tcPr>
          <w:p>
            <w:pPr>
              <w:spacing w:after="0"/>
              <w:rPr>
                <w:sz w:val="11"/>
                <w:szCs w:val="11"/>
                <w:color w:val="auto"/>
              </w:rPr>
            </w:pPr>
          </w:p>
        </w:tc>
        <w:tc>
          <w:tcPr>
            <w:tcW w:w="2080" w:type="dxa"/>
            <w:vAlign w:val="bottom"/>
            <w:gridSpan w:val="7"/>
          </w:tcPr>
          <w:p>
            <w:pPr>
              <w:jc w:val="right"/>
              <w:ind w:right="16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effective tax rate was 0.0% for 2011 and 2012, as we did not generate positive taxable income.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Years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5900" w:type="dxa"/>
            <w:vAlign w:val="bottom"/>
          </w:tcPr>
          <w:p>
            <w:pPr>
              <w:spacing w:after="0"/>
              <w:rPr>
                <w:sz w:val="13"/>
                <w:szCs w:val="13"/>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c>
          <w:tcPr>
            <w:tcW w:w="900" w:type="dxa"/>
            <w:vAlign w:val="bottom"/>
            <w:gridSpan w:val="3"/>
          </w:tcPr>
          <w:p>
            <w:pPr>
              <w:ind w:left="420"/>
              <w:spacing w:after="0"/>
              <w:rPr>
                <w:sz w:val="20"/>
                <w:szCs w:val="20"/>
                <w:color w:val="auto"/>
              </w:rPr>
            </w:pPr>
            <w:r>
              <w:rPr>
                <w:rFonts w:ascii="Arial" w:cs="Arial" w:eastAsia="Arial" w:hAnsi="Arial"/>
                <w:sz w:val="13"/>
                <w:szCs w:val="13"/>
                <w:b w:val="1"/>
                <w:bCs w:val="1"/>
                <w:color w:val="auto"/>
                <w:w w:val="96"/>
              </w:rPr>
              <w:t>Change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9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r>
      <w:tr>
        <w:trPr>
          <w:trHeight w:val="137"/>
        </w:trPr>
        <w:tc>
          <w:tcPr>
            <w:tcW w:w="5900" w:type="dxa"/>
            <w:vAlign w:val="bottom"/>
          </w:tcPr>
          <w:p>
            <w:pPr>
              <w:spacing w:after="0"/>
              <w:rPr>
                <w:sz w:val="11"/>
                <w:szCs w:val="11"/>
                <w:color w:val="auto"/>
              </w:rPr>
            </w:pPr>
          </w:p>
        </w:tc>
        <w:tc>
          <w:tcPr>
            <w:tcW w:w="760" w:type="dxa"/>
            <w:vAlign w:val="bottom"/>
          </w:tcPr>
          <w:p>
            <w:pPr>
              <w:ind w:left="580"/>
              <w:spacing w:after="0" w:line="138" w:lineRule="exact"/>
              <w:rPr>
                <w:sz w:val="20"/>
                <w:szCs w:val="20"/>
                <w:color w:val="auto"/>
              </w:rPr>
            </w:pPr>
            <w:r>
              <w:rPr>
                <w:rFonts w:ascii="Arial" w:cs="Arial" w:eastAsia="Arial" w:hAnsi="Arial"/>
                <w:sz w:val="13"/>
                <w:szCs w:val="13"/>
                <w:b w:val="1"/>
                <w:bCs w:val="1"/>
                <w:color w:val="auto"/>
              </w:rPr>
              <w:t>(in</w:t>
            </w:r>
          </w:p>
        </w:tc>
        <w:tc>
          <w:tcPr>
            <w:tcW w:w="140" w:type="dxa"/>
            <w:vAlign w:val="bottom"/>
          </w:tcPr>
          <w:p>
            <w:pPr>
              <w:spacing w:after="0"/>
              <w:rPr>
                <w:sz w:val="11"/>
                <w:szCs w:val="11"/>
                <w:color w:val="auto"/>
              </w:rPr>
            </w:pPr>
          </w:p>
        </w:tc>
        <w:tc>
          <w:tcPr>
            <w:tcW w:w="1820" w:type="dxa"/>
            <w:vAlign w:val="bottom"/>
            <w:gridSpan w:val="6"/>
          </w:tcPr>
          <w:p>
            <w:pPr>
              <w:spacing w:after="0" w:line="138" w:lineRule="exact"/>
              <w:rPr>
                <w:sz w:val="20"/>
                <w:szCs w:val="20"/>
                <w:color w:val="auto"/>
              </w:rPr>
            </w:pPr>
            <w:r>
              <w:rPr>
                <w:rFonts w:ascii="Arial" w:cs="Arial" w:eastAsia="Arial" w:hAnsi="Arial"/>
                <w:sz w:val="13"/>
                <w:szCs w:val="13"/>
                <w:b w:val="1"/>
                <w:bCs w:val="1"/>
                <w:color w:val="auto"/>
                <w:w w:val="90"/>
              </w:rPr>
              <w:t>thousands, except percentages)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40,489</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47,840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7,351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18.2%</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our total revenue in 2011, we generated $38.9 million, or 81.4%, from the CATV market, $3.3 million, or 6.9%, from the FTTH market, $5.6 million,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11.6%, from other markets and an immaterial amount from the internet data center market. Total revenue increased by $7.4 million, or 18.2%, from 2010 to 2011.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was attributable to a $5.9 million increase in revenue from our CATV market, a $1.4 million increase in the FTTH market, and immaterial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increases from other markets, including the internet data center market. Our CATV market revenue increased in 2011 primarily due to increased capital expenditures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by CATV service providers and increased shipments of our CATV equipment products. Our FTTH market revenue increased primarily because of the sale of new</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transceiver products within our existing customer base. Revenue in other markets was flat because of a de-emphasis by our sales staff on certain legacy products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within those markets.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 and gross margin</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3"/>
                <w:szCs w:val="13"/>
                <w:b w:val="1"/>
                <w:bCs w:val="1"/>
                <w:color w:val="auto"/>
                <w:w w:val="91"/>
              </w:rPr>
              <w:t>Years ended December 31,</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38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2010</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214"/>
              <w:spacing w:after="0"/>
              <w:rPr>
                <w:sz w:val="20"/>
                <w:szCs w:val="20"/>
                <w:color w:val="auto"/>
              </w:rPr>
            </w:pPr>
            <w:r>
              <w:rPr>
                <w:rFonts w:ascii="Arial" w:cs="Arial" w:eastAsia="Arial" w:hAnsi="Arial"/>
                <w:sz w:val="13"/>
                <w:szCs w:val="13"/>
                <w:b w:val="1"/>
                <w:bCs w:val="1"/>
                <w:color w:val="auto"/>
                <w:w w:val="94"/>
              </w:rPr>
              <w:t>%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60"/>
              <w:spacing w:after="0" w:line="138" w:lineRule="exact"/>
              <w:rPr>
                <w:sz w:val="20"/>
                <w:szCs w:val="20"/>
                <w:color w:val="auto"/>
              </w:rPr>
            </w:pPr>
            <w:r>
              <w:rPr>
                <w:rFonts w:ascii="Arial" w:cs="Arial" w:eastAsia="Arial" w:hAnsi="Arial"/>
                <w:sz w:val="13"/>
                <w:szCs w:val="13"/>
                <w:b w:val="1"/>
                <w:bCs w:val="1"/>
                <w:color w:val="auto"/>
                <w:w w:val="87"/>
              </w:rPr>
              <w:t>(in</w:t>
            </w:r>
          </w:p>
        </w:tc>
        <w:tc>
          <w:tcPr>
            <w:tcW w:w="160" w:type="dxa"/>
            <w:vAlign w:val="bottom"/>
          </w:tcPr>
          <w:p>
            <w:pPr>
              <w:spacing w:after="0"/>
              <w:rPr>
                <w:sz w:val="11"/>
                <w:szCs w:val="11"/>
                <w:color w:val="auto"/>
              </w:rPr>
            </w:pPr>
          </w:p>
        </w:tc>
        <w:tc>
          <w:tcPr>
            <w:tcW w:w="900" w:type="dxa"/>
            <w:vAlign w:val="bottom"/>
            <w:gridSpan w:val="3"/>
          </w:tcPr>
          <w:p>
            <w:pPr>
              <w:jc w:val="right"/>
              <w:ind w:right="40"/>
              <w:spacing w:after="0" w:line="138" w:lineRule="exact"/>
              <w:rPr>
                <w:sz w:val="20"/>
                <w:szCs w:val="20"/>
                <w:color w:val="auto"/>
              </w:rPr>
            </w:pPr>
            <w:r>
              <w:rPr>
                <w:rFonts w:ascii="Arial" w:cs="Arial" w:eastAsia="Arial" w:hAnsi="Arial"/>
                <w:sz w:val="13"/>
                <w:szCs w:val="13"/>
                <w:b w:val="1"/>
                <w:bCs w:val="1"/>
                <w:color w:val="auto"/>
                <w:w w:val="73"/>
              </w:rPr>
              <w:t>thousands, except</w:t>
            </w: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79"/>
              </w:rPr>
              <w:t>percentages)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27,539</w:t>
            </w:r>
          </w:p>
        </w:tc>
        <w:tc>
          <w:tcPr>
            <w:tcW w:w="100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w w:val="89"/>
              </w:rPr>
              <w:t>68.0% $</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34,468</w:t>
            </w:r>
          </w:p>
        </w:tc>
        <w:tc>
          <w:tcPr>
            <w:tcW w:w="8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3"/>
              </w:rPr>
              <w:t>72.0%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6,930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7"/>
              </w:rPr>
              <w:t>25.2%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Gross margin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7"/>
                <w:szCs w:val="17"/>
                <w:color w:val="auto"/>
                <w:w w:val="91"/>
              </w:rPr>
              <w:t>32.0%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7"/>
                <w:szCs w:val="17"/>
                <w:color w:val="auto"/>
                <w:w w:val="91"/>
              </w:rPr>
              <w:t>28.0%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Cost of goods sold increased by $6.9 million, or 25.2%, from 2010 to 2011. The increase was primarily due to higher sales volumes in the CATV market. Cost of goods sold in 2011 was also affected by an increase in inventory reserves of $0.7 million, including a specific write-off of discontinued products in the fourth quarter of 2011.</w:t>
      </w:r>
    </w:p>
    <w:p>
      <w:pPr>
        <w:spacing w:after="0" w:line="179"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decrease in gross margin was primarily the result of an unfavorable product mix in the CATV market in addition to the $0.7 million in higher inventory loss reserve through the application of our inventory reserve policy.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3"/>
                <w:szCs w:val="13"/>
                <w:b w:val="1"/>
                <w:bCs w:val="1"/>
                <w:color w:val="auto"/>
                <w:w w:val="94"/>
              </w:rPr>
              <w:t>Years ended December 31,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0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2010</w:t>
            </w:r>
          </w:p>
        </w:tc>
        <w:tc>
          <w:tcPr>
            <w:tcW w:w="6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vMerge w:val="restart"/>
          </w:tcPr>
          <w:p>
            <w:pPr>
              <w:ind w:left="400"/>
              <w:spacing w:after="0"/>
              <w:rPr>
                <w:sz w:val="20"/>
                <w:szCs w:val="20"/>
                <w:color w:val="auto"/>
              </w:rPr>
            </w:pPr>
            <w:r>
              <w:rPr>
                <w:rFonts w:ascii="Arial" w:cs="Arial" w:eastAsia="Arial" w:hAnsi="Arial"/>
                <w:sz w:val="13"/>
                <w:szCs w:val="13"/>
                <w:b w:val="1"/>
                <w:bCs w:val="1"/>
                <w:color w:val="auto"/>
                <w:w w:val="88"/>
              </w:rPr>
              <w:t>Change</w:t>
            </w: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 of</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7"/>
          </w:tcPr>
          <w:p>
            <w:pPr>
              <w:jc w:val="right"/>
              <w:ind w:right="20"/>
              <w:spacing w:after="0" w:line="138" w:lineRule="exact"/>
              <w:rPr>
                <w:sz w:val="20"/>
                <w:szCs w:val="20"/>
                <w:color w:val="auto"/>
              </w:rPr>
            </w:pPr>
            <w:r>
              <w:rPr>
                <w:rFonts w:ascii="Arial" w:cs="Arial" w:eastAsia="Arial" w:hAnsi="Arial"/>
                <w:sz w:val="13"/>
                <w:szCs w:val="13"/>
                <w:b w:val="1"/>
                <w:bCs w:val="1"/>
                <w:color w:val="auto"/>
              </w:rPr>
              <w:t>(in thousands, except percentages)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5,176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1,993</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2,412</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8,341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41</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 charges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(100.0)%</w:t>
            </w:r>
          </w:p>
        </w:tc>
        <w:tc>
          <w:tcPr>
            <w:tcW w:w="0" w:type="dxa"/>
            <w:vAlign w:val="bottom"/>
          </w:tcPr>
          <w:p>
            <w:pPr>
              <w:spacing w:after="0"/>
              <w:rPr>
                <w:sz w:val="1"/>
                <w:szCs w:val="1"/>
                <w:color w:val="auto"/>
              </w:rPr>
            </w:pPr>
          </w:p>
        </w:tc>
      </w:tr>
      <w:tr>
        <w:trPr>
          <w:trHeight w:val="26"/>
        </w:trPr>
        <w:tc>
          <w:tcPr>
            <w:tcW w:w="4020" w:type="dxa"/>
            <w:vAlign w:val="bottom"/>
            <w:vMerge w:val="restart"/>
          </w:tcPr>
          <w:p>
            <w:pPr>
              <w:ind w:left="18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16,043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39.6%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17,106</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1,063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Research and development expense increased by $1.3 million, or 24.6%, from 2010 to 2011. This was primarily due to a $0.6 million increase in personnel costs and a $0.4 million increase in R&amp;D work order and project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w:t>
      </w:r>
    </w:p>
    <w:p>
      <w:pPr>
        <w:spacing w:after="0" w:line="224" w:lineRule="exact"/>
        <w:rPr>
          <w:sz w:val="20"/>
          <w:szCs w:val="20"/>
          <w:color w:val="auto"/>
        </w:rPr>
      </w:pPr>
    </w:p>
    <w:p>
      <w:pPr>
        <w:ind w:right="440" w:firstLine="341"/>
        <w:spacing w:after="0" w:line="352" w:lineRule="auto"/>
        <w:rPr>
          <w:sz w:val="20"/>
          <w:szCs w:val="20"/>
          <w:color w:val="auto"/>
        </w:rPr>
      </w:pPr>
      <w:r>
        <w:rPr>
          <w:rFonts w:ascii="Arial" w:cs="Arial" w:eastAsia="Arial" w:hAnsi="Arial"/>
          <w:sz w:val="15"/>
          <w:szCs w:val="15"/>
          <w:color w:val="auto"/>
        </w:rPr>
        <w:t>Sales and marketing expense increased by $0.4 million, or 21.0%, from 2010 to 2011. The increase was primarily attributable to a $0.2 million increase in personnel costs from additional sales personnel, and a $0.2 million increase in shipping and samples expense as we expanded our customer base and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General and administrative expense decreased by $0.1 million, or 1.7%, from 2010 to 2011. The decrease was due primarily to a change in accounting for stock-based compensation expense and other savings and lower professional service fees, offset by an increase in personnel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impairment charges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2010, we recognized a $0.5 million asset impairment charge related to equipment with carrying values lower than the estimated fair values.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3"/>
                <w:szCs w:val="13"/>
                <w:b w:val="1"/>
                <w:bCs w:val="1"/>
                <w:color w:val="auto"/>
                <w:w w:val="88"/>
              </w:rPr>
              <w:t>Years ended December 31,</w:t>
            </w:r>
          </w:p>
        </w:tc>
        <w:tc>
          <w:tcPr>
            <w:tcW w:w="5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8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2010</w:t>
            </w:r>
          </w:p>
        </w:tc>
        <w:tc>
          <w:tcPr>
            <w:tcW w:w="56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3"/>
            <w:vMerge w:val="restart"/>
          </w:tcPr>
          <w:p>
            <w:pPr>
              <w:ind w:left="400"/>
              <w:spacing w:after="0"/>
              <w:rPr>
                <w:sz w:val="20"/>
                <w:szCs w:val="20"/>
                <w:color w:val="auto"/>
              </w:rPr>
            </w:pPr>
            <w:r>
              <w:rPr>
                <w:rFonts w:ascii="Arial" w:cs="Arial" w:eastAsia="Arial" w:hAnsi="Arial"/>
                <w:sz w:val="13"/>
                <w:szCs w:val="13"/>
                <w:b w:val="1"/>
                <w:bCs w:val="1"/>
                <w:color w:val="auto"/>
                <w:w w:val="96"/>
              </w:rPr>
              <w:t>Change</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274"/>
              <w:spacing w:after="0"/>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rPr>
              <w:t>% of</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gridSpan w:val="7"/>
          </w:tcPr>
          <w:p>
            <w:pPr>
              <w:jc w:val="right"/>
              <w:ind w:right="60"/>
              <w:spacing w:after="0" w:line="138" w:lineRule="exact"/>
              <w:rPr>
                <w:sz w:val="20"/>
                <w:szCs w:val="20"/>
                <w:color w:val="auto"/>
              </w:rPr>
            </w:pPr>
            <w:r>
              <w:rPr>
                <w:rFonts w:ascii="Arial" w:cs="Arial" w:eastAsia="Arial" w:hAnsi="Arial"/>
                <w:sz w:val="13"/>
                <w:szCs w:val="13"/>
                <w:b w:val="1"/>
                <w:bCs w:val="1"/>
                <w:color w:val="auto"/>
                <w:w w:val="92"/>
              </w:rPr>
              <w:t>(in thousands, except percentages)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(906)</w:t>
            </w:r>
          </w:p>
        </w:tc>
        <w:tc>
          <w:tcPr>
            <w:tcW w:w="60" w:type="dxa"/>
            <w:vAlign w:val="bottom"/>
          </w:tcPr>
          <w:p>
            <w:pPr>
              <w:spacing w:after="0"/>
              <w:rPr>
                <w:sz w:val="18"/>
                <w:szCs w:val="18"/>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(1,338)</w:t>
            </w: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(431)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5"/>
              </w:rPr>
              <w:t>(146.3)%</w:t>
            </w:r>
          </w:p>
        </w:tc>
        <w:tc>
          <w:tcPr>
            <w:tcW w:w="0" w:type="dxa"/>
            <w:vAlign w:val="bottom"/>
          </w:tcPr>
          <w:p>
            <w:pPr>
              <w:spacing w:after="0"/>
              <w:rPr>
                <w:sz w:val="1"/>
                <w:szCs w:val="1"/>
                <w:color w:val="auto"/>
              </w:rPr>
            </w:pPr>
          </w:p>
        </w:tc>
      </w:tr>
      <w:tr>
        <w:trPr>
          <w:trHeight w:val="26"/>
        </w:trPr>
        <w:tc>
          <w:tcPr>
            <w:tcW w:w="3860" w:type="dxa"/>
            <w:vAlign w:val="bottom"/>
            <w:vMerge w:val="restart"/>
          </w:tcPr>
          <w:p>
            <w:pPr>
              <w:ind w:left="180"/>
              <w:spacing w:after="0"/>
              <w:rPr>
                <w:sz w:val="20"/>
                <w:szCs w:val="20"/>
                <w:color w:val="auto"/>
              </w:rPr>
            </w:pPr>
            <w:r>
              <w:rPr>
                <w:rFonts w:ascii="Arial" w:cs="Arial" w:eastAsia="Arial" w:hAnsi="Arial"/>
                <w:sz w:val="17"/>
                <w:szCs w:val="17"/>
                <w:color w:val="auto"/>
              </w:rPr>
              <w:t>Total Other income (expense), net</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7"/>
                <w:szCs w:val="17"/>
                <w:color w:val="auto"/>
              </w:rPr>
              <w:t>(0.7)%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455.6%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increase in interest expense of $0.4 million, or 47.7%, from 2010 to 2011 was due to additional debt in 2011 related to loans for our China subsidiary and loans from stockholders in 2010.</w:t>
      </w:r>
    </w:p>
    <w:p>
      <w:pPr>
        <w:spacing w:after="0" w:line="170"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Other income (expense), net decreased by $0.9 million, or 146.4%, from 2010 to 2011 primarily related to an unrealized foreign exchange loss recognized resulting from the depreciation of the NT dollar against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Years ended</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7040" w:type="dxa"/>
            <w:vAlign w:val="bottom"/>
          </w:tcPr>
          <w:p>
            <w:pPr>
              <w:spacing w:after="0"/>
              <w:rPr>
                <w:sz w:val="13"/>
                <w:szCs w:val="13"/>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4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2010</w:t>
            </w: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6"/>
                <w:szCs w:val="16"/>
                <w:color w:val="auto"/>
              </w:rPr>
            </w:pPr>
          </w:p>
        </w:tc>
      </w:tr>
      <w:tr>
        <w:trPr>
          <w:trHeight w:val="137"/>
        </w:trPr>
        <w:tc>
          <w:tcPr>
            <w:tcW w:w="7040" w:type="dxa"/>
            <w:vAlign w:val="bottom"/>
          </w:tcPr>
          <w:p>
            <w:pPr>
              <w:spacing w:after="0"/>
              <w:rPr>
                <w:sz w:val="11"/>
                <w:szCs w:val="11"/>
                <w:color w:val="auto"/>
              </w:rPr>
            </w:pPr>
          </w:p>
        </w:tc>
        <w:tc>
          <w:tcPr>
            <w:tcW w:w="2080" w:type="dxa"/>
            <w:vAlign w:val="bottom"/>
            <w:gridSpan w:val="7"/>
          </w:tcPr>
          <w:p>
            <w:pPr>
              <w:jc w:val="right"/>
              <w:ind w:right="16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effective tax rate was 0.0% for 2010 and 2011, as we did not generate positive taxable income.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tables set forth selected unaudited quarterly statements of operations data for our last ten completed fiscal quarters. The information for each of these quarters has been prepared on the same basis as the consolidated financial statements appearing elsewhere in this prospectus and, in the opinion of management, includes all adjustments necessary for the fair presentation of the results of operations for these periods. These data should be read in conjunction with our consolidated financial statements and related notes appearing elsewhere in this prospectus. These quarterly operating results are not necessarily indicative of our operating results for any future period.</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Jun. 30,</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Sep. 30,</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Dec. 31,</w:t>
            </w: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6"/>
              </w:rPr>
              <w:t>Jun. 30,</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Sep. 30,</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Dec. 31,</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Jun. 30,</w:t>
            </w: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8"/>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(in thousands, except percentages)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9,507</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11,489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12,094</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14,750</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12,506</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15,638</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16,416</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18,861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14,317</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19,597</w:t>
            </w:r>
          </w:p>
        </w:tc>
        <w:tc>
          <w:tcPr>
            <w:tcW w:w="0" w:type="dxa"/>
            <w:vAlign w:val="bottom"/>
          </w:tcPr>
          <w:p>
            <w:pPr>
              <w:spacing w:after="0"/>
              <w:rPr>
                <w:sz w:val="1"/>
                <w:szCs w:val="1"/>
                <w:color w:val="auto"/>
              </w:rPr>
            </w:pPr>
          </w:p>
        </w:tc>
      </w:tr>
      <w:tr>
        <w:trPr>
          <w:trHeight w:val="168"/>
        </w:trPr>
        <w:tc>
          <w:tcPr>
            <w:tcW w:w="1740" w:type="dxa"/>
            <w:vAlign w:val="bottom"/>
            <w:gridSpan w:val="2"/>
          </w:tcPr>
          <w:p>
            <w:pPr>
              <w:spacing w:after="0"/>
              <w:rPr>
                <w:sz w:val="20"/>
                <w:szCs w:val="20"/>
                <w:color w:val="auto"/>
              </w:rPr>
            </w:pPr>
            <w:r>
              <w:rPr>
                <w:rFonts w:ascii="Arial" w:cs="Arial" w:eastAsia="Arial" w:hAnsi="Arial"/>
                <w:sz w:val="13"/>
                <w:szCs w:val="13"/>
                <w:color w:val="auto"/>
              </w:rPr>
              <w:t>Cost of goods sold (1)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6,844</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7,956</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8,297</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11,371</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8,393</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10,938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11,743</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13,418</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9,732</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14,150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Gross profit</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2,663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3,533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3,797</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3,379</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4,113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4,700</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4,673</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5,443</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4,585</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5,447</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Arial" w:cs="Arial" w:eastAsia="Arial" w:hAnsi="Arial"/>
                <w:sz w:val="13"/>
                <w:szCs w:val="13"/>
                <w:color w:val="auto"/>
              </w:rPr>
              <w:t>Gross margin</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28.0%</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30.8%</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31.4%</w:t>
            </w:r>
          </w:p>
        </w:tc>
        <w:tc>
          <w:tcPr>
            <w:tcW w:w="8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22.9%</w:t>
            </w:r>
          </w:p>
        </w:tc>
        <w:tc>
          <w:tcPr>
            <w:tcW w:w="10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32.9%</w:t>
            </w:r>
          </w:p>
        </w:tc>
        <w:tc>
          <w:tcPr>
            <w:tcW w:w="80" w:type="dxa"/>
            <w:vAlign w:val="bottom"/>
          </w:tcPr>
          <w:p>
            <w:pPr>
              <w:spacing w:after="0"/>
              <w:rPr>
                <w:sz w:val="11"/>
                <w:szCs w:val="11"/>
                <w:color w:val="auto"/>
              </w:rPr>
            </w:pPr>
          </w:p>
        </w:tc>
        <w:tc>
          <w:tcPr>
            <w:tcW w:w="6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30.1%</w:t>
            </w:r>
          </w:p>
        </w:tc>
        <w:tc>
          <w:tcPr>
            <w:tcW w:w="8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28.5%</w:t>
            </w:r>
          </w:p>
        </w:tc>
        <w:tc>
          <w:tcPr>
            <w:tcW w:w="10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28.9%</w:t>
            </w:r>
          </w:p>
        </w:tc>
        <w:tc>
          <w:tcPr>
            <w:tcW w:w="80" w:type="dxa"/>
            <w:vAlign w:val="bottom"/>
          </w:tcPr>
          <w:p>
            <w:pPr>
              <w:spacing w:after="0"/>
              <w:rPr>
                <w:sz w:val="11"/>
                <w:szCs w:val="11"/>
                <w:color w:val="auto"/>
              </w:rPr>
            </w:pPr>
          </w:p>
        </w:tc>
        <w:tc>
          <w:tcPr>
            <w:tcW w:w="7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32.0%</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302"/>
        </w:trPr>
        <w:tc>
          <w:tcPr>
            <w:tcW w:w="1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140"/>
              <w:spacing w:after="0" w:line="136" w:lineRule="exact"/>
              <w:rPr>
                <w:sz w:val="20"/>
                <w:szCs w:val="20"/>
                <w:color w:val="auto"/>
              </w:rPr>
            </w:pPr>
            <w:r>
              <w:rPr>
                <w:rFonts w:ascii="Arial" w:cs="Arial" w:eastAsia="Arial" w:hAnsi="Arial"/>
                <w:sz w:val="13"/>
                <w:szCs w:val="13"/>
                <w:color w:val="auto"/>
                <w:w w:val="99"/>
              </w:rPr>
              <w:t>Research and development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28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1,520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1,396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1,758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1,777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1,575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1,708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2,178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2,144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2,004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 (1)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736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806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759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907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35"/>
        </w:trPr>
        <w:tc>
          <w:tcPr>
            <w:tcW w:w="174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80"/>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2,043</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2,064</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2,048</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2,087</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1,965</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1,947</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1,892</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2,213</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2,374</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 operating expenses</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4,056</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4,020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4,431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4,601</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4,349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4,460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4,829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5,112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5,285</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5,398</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740" w:type="dxa"/>
            <w:vAlign w:val="bottom"/>
            <w:gridSpan w:val="2"/>
            <w:vMerge w:val="continue"/>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(1,392)</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(487)</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(634)</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(1,221)</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(236)</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240</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(156)</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331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(700)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Interest and other income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(expense), net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6"/>
        </w:trPr>
        <w:tc>
          <w:tcPr>
            <w:tcW w:w="1740" w:type="dxa"/>
            <w:vAlign w:val="bottom"/>
            <w:gridSpan w:val="2"/>
            <w:vMerge w:val="restart"/>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740" w:type="dxa"/>
            <w:vAlign w:val="bottom"/>
            <w:gridSpan w:val="2"/>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(1,268)</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(1,568)</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74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b w:val="1"/>
                <w:bCs w:val="1"/>
                <w:color w:val="auto"/>
              </w:rPr>
              <w:t>Additional Financial Data:</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4" w:lineRule="exact"/>
              <w:rPr>
                <w:sz w:val="20"/>
                <w:szCs w:val="20"/>
                <w:color w:val="auto"/>
              </w:rPr>
            </w:pPr>
            <w:r>
              <w:rPr>
                <w:rFonts w:ascii="Arial" w:cs="Arial" w:eastAsia="Arial" w:hAnsi="Arial"/>
                <w:sz w:val="13"/>
                <w:szCs w:val="13"/>
                <w:color w:val="auto"/>
              </w:rPr>
              <w:t>Non-GAAP gross profit (2)</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2,672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3,542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3,806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3,388</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4,115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4,702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4,675</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5,445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4,597</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5,460</w:t>
            </w:r>
          </w:p>
        </w:tc>
        <w:tc>
          <w:tcPr>
            <w:tcW w:w="0" w:type="dxa"/>
            <w:vAlign w:val="bottom"/>
          </w:tcPr>
          <w:p>
            <w:pPr>
              <w:spacing w:after="0"/>
              <w:rPr>
                <w:sz w:val="1"/>
                <w:szCs w:val="1"/>
                <w:color w:val="auto"/>
              </w:rPr>
            </w:pPr>
          </w:p>
        </w:tc>
      </w:tr>
      <w:tr>
        <w:trPr>
          <w:trHeight w:val="135"/>
        </w:trPr>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w w:val="98"/>
              </w:rPr>
              <w:t>Non-GAAP income (loss) from</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operations (2)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35"/>
        </w:trPr>
        <w:tc>
          <w:tcPr>
            <w:tcW w:w="1740" w:type="dxa"/>
            <w:vAlign w:val="bottom"/>
            <w:gridSpan w:val="2"/>
          </w:tcPr>
          <w:p>
            <w:pPr>
              <w:spacing w:after="0" w:line="136" w:lineRule="exact"/>
              <w:rPr>
                <w:sz w:val="20"/>
                <w:szCs w:val="20"/>
                <w:color w:val="auto"/>
              </w:rPr>
            </w:pPr>
            <w:r>
              <w:rPr>
                <w:rFonts w:ascii="Arial" w:cs="Arial" w:eastAsia="Arial" w:hAnsi="Arial"/>
                <w:sz w:val="13"/>
                <w:szCs w:val="13"/>
                <w:color w:val="auto"/>
              </w:rPr>
              <w:t>Non-GAAP net income (loss)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ind w:left="140"/>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(1,469)</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(832)</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(1,340)</w:t>
            </w: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(443)</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EBITDA (2)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656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1,275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350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960</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expenses include stock-based compensation expense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Sep. 30,</w:t>
            </w:r>
          </w:p>
        </w:tc>
        <w:tc>
          <w:tcPr>
            <w:tcW w:w="100" w:type="dxa"/>
            <w:vAlign w:val="bottom"/>
          </w:tcPr>
          <w:p>
            <w:pPr>
              <w:spacing w:after="0"/>
              <w:rPr>
                <w:sz w:val="12"/>
                <w:szCs w:val="12"/>
                <w:color w:val="auto"/>
              </w:rPr>
            </w:pPr>
          </w:p>
        </w:tc>
        <w:tc>
          <w:tcPr>
            <w:tcW w:w="520" w:type="dxa"/>
            <w:vAlign w:val="bottom"/>
          </w:tcPr>
          <w:p>
            <w:pPr>
              <w:jc w:val="right"/>
              <w:ind w:right="14"/>
              <w:spacing w:after="0"/>
              <w:rPr>
                <w:sz w:val="20"/>
                <w:szCs w:val="20"/>
                <w:color w:val="auto"/>
              </w:rPr>
            </w:pPr>
            <w:r>
              <w:rPr>
                <w:rFonts w:ascii="Arial" w:cs="Arial" w:eastAsia="Arial" w:hAnsi="Arial"/>
                <w:sz w:val="13"/>
                <w:szCs w:val="13"/>
                <w:b w:val="1"/>
                <w:bCs w:val="1"/>
                <w:color w:val="auto"/>
                <w:w w:val="85"/>
              </w:rPr>
              <w:t>Dec.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Sep. 30,</w:t>
            </w:r>
          </w:p>
        </w:tc>
        <w:tc>
          <w:tcPr>
            <w:tcW w:w="8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Dec. 31,</w:t>
            </w: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Jun. 30,</w:t>
            </w:r>
          </w:p>
        </w:tc>
      </w:tr>
      <w:tr>
        <w:trPr>
          <w:trHeight w:val="157"/>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1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24</w:t>
            </w:r>
          </w:p>
        </w:tc>
      </w:tr>
      <w:tr>
        <w:trPr>
          <w:trHeight w:val="144"/>
        </w:trPr>
        <w:tc>
          <w:tcPr>
            <w:tcW w:w="2100" w:type="dxa"/>
            <w:vAlign w:val="bottom"/>
          </w:tcPr>
          <w:p>
            <w:pPr>
              <w:ind w:left="8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22</w:t>
            </w:r>
          </w:p>
        </w:tc>
      </w:tr>
      <w:tr>
        <w:trPr>
          <w:trHeight w:val="144"/>
        </w:trPr>
        <w:tc>
          <w:tcPr>
            <w:tcW w:w="21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Sales and marketing</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w:t>
            </w:r>
          </w:p>
        </w:tc>
      </w:tr>
      <w:tr>
        <w:trPr>
          <w:trHeight w:val="168"/>
        </w:trPr>
        <w:tc>
          <w:tcPr>
            <w:tcW w:w="2100" w:type="dxa"/>
            <w:vAlign w:val="bottom"/>
          </w:tcPr>
          <w:p>
            <w:pPr>
              <w:ind w:left="8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65</w:t>
            </w:r>
          </w:p>
        </w:tc>
      </w:tr>
      <w:tr>
        <w:trPr>
          <w:trHeight w:val="131"/>
        </w:trPr>
        <w:tc>
          <w:tcPr>
            <w:tcW w:w="2100" w:type="dxa"/>
            <w:vAlign w:val="bottom"/>
            <w:shd w:val="clear" w:color="auto" w:fill="CCEEFF"/>
          </w:tcPr>
          <w:p>
            <w:pPr>
              <w:ind w:left="80"/>
              <w:spacing w:after="0" w:line="131" w:lineRule="exact"/>
              <w:rPr>
                <w:sz w:val="20"/>
                <w:szCs w:val="20"/>
                <w:color w:val="auto"/>
              </w:rPr>
            </w:pPr>
            <w:r>
              <w:rPr>
                <w:rFonts w:ascii="Arial" w:cs="Arial" w:eastAsia="Arial" w:hAnsi="Arial"/>
                <w:sz w:val="13"/>
                <w:szCs w:val="13"/>
                <w:color w:val="auto"/>
              </w:rPr>
              <w:t>Total stock-based compensation</w:t>
            </w: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2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w:t>
            </w:r>
          </w:p>
        </w:tc>
      </w:tr>
      <w:tr>
        <w:trPr>
          <w:trHeight w:val="26"/>
        </w:trPr>
        <w:tc>
          <w:tcPr>
            <w:tcW w:w="2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line="256"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See footnote 3 to the table in the section titled "Summary Consolidated Financial Data" on page 9 of this prospectus for further discussion regarding Non-GAAP measures. The following table reflects the reconciliation of U.S. GAAP financial measures to non-GAAP financial measures: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Mar. 31,</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Jun. 30,</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5"/>
              </w:rPr>
              <w:t>Sep. 30,</w:t>
            </w:r>
          </w:p>
        </w:tc>
        <w:tc>
          <w:tcPr>
            <w:tcW w:w="100" w:type="dxa"/>
            <w:vAlign w:val="bottom"/>
          </w:tcPr>
          <w:p>
            <w:pPr>
              <w:spacing w:after="0"/>
              <w:rPr>
                <w:sz w:val="13"/>
                <w:szCs w:val="13"/>
                <w:color w:val="auto"/>
              </w:rPr>
            </w:pPr>
          </w:p>
        </w:tc>
        <w:tc>
          <w:tcPr>
            <w:tcW w:w="60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w w:val="85"/>
              </w:rPr>
              <w:t>Dec. 31,</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Jun. 30,</w:t>
            </w:r>
          </w:p>
        </w:tc>
        <w:tc>
          <w:tcPr>
            <w:tcW w:w="8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5"/>
              </w:rPr>
              <w:t>Sep. 30,</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Dec. 31,</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Mar. 31,</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Jun. 30,</w:t>
            </w: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0"/>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profits</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2,663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3,533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3,797</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3,379</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4,113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4,700</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4,673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5,443</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4,585</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5,447</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Non-GAAP gross profit</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3,542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3,806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4,702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4,675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5,445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4,597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5,461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Non-GAAP income (loss) from</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40"/>
              <w:spacing w:after="0"/>
              <w:rPr>
                <w:sz w:val="20"/>
                <w:szCs w:val="20"/>
                <w:color w:val="auto"/>
              </w:rPr>
            </w:pPr>
            <w:r>
              <w:rPr>
                <w:rFonts w:ascii="Arial" w:cs="Arial" w:eastAsia="Arial" w:hAnsi="Arial"/>
                <w:sz w:val="13"/>
                <w:szCs w:val="13"/>
                <w:color w:val="auto"/>
              </w:rPr>
              <w:t>operations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(1,160)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(280)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(1,076)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(203)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278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474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(555)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6" w:lineRule="exact"/>
              <w:rPr>
                <w:sz w:val="20"/>
                <w:szCs w:val="20"/>
                <w:color w:val="auto"/>
              </w:rPr>
            </w:pPr>
            <w:r>
              <w:rPr>
                <w:rFonts w:ascii="Arial" w:cs="Arial" w:eastAsia="Arial" w:hAnsi="Arial"/>
                <w:sz w:val="13"/>
                <w:szCs w:val="13"/>
                <w:color w:val="auto"/>
              </w:rPr>
              <w:t>Loss (gain) from disposal of idle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600" w:type="dxa"/>
            <w:vAlign w:val="bottom"/>
            <w:gridSpan w:val="2"/>
          </w:tcPr>
          <w:p>
            <w:pPr>
              <w:jc w:val="right"/>
              <w:ind w:right="14"/>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Non-GAAP net income (loss)</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44"/>
        </w:trPr>
        <w:tc>
          <w:tcPr>
            <w:tcW w:w="2100" w:type="dxa"/>
            <w:vAlign w:val="bottom"/>
          </w:tcPr>
          <w:p>
            <w:pPr>
              <w:spacing w:after="0" w:line="144" w:lineRule="exact"/>
              <w:rPr>
                <w:sz w:val="20"/>
                <w:szCs w:val="20"/>
                <w:color w:val="auto"/>
              </w:rPr>
            </w:pPr>
            <w:r>
              <w:rPr>
                <w:rFonts w:ascii="Arial" w:cs="Arial" w:eastAsia="Arial" w:hAnsi="Arial"/>
                <w:sz w:val="13"/>
                <w:szCs w:val="13"/>
                <w:color w:val="auto"/>
              </w:rPr>
              <w:t>Non-GAAP adjustments: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w w:val="92"/>
              </w:rPr>
              <w:t>Stock-based compensation expense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139</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Depreciation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763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768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783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725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721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751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rPr>
              <w:t>Non-recurring consultant fee</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75</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Loss (gain) from disposal of idle</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00" w:type="dxa"/>
            <w:vAlign w:val="bottom"/>
          </w:tcPr>
          <w:p>
            <w:pPr>
              <w:ind w:left="140"/>
              <w:spacing w:after="0" w:line="144" w:lineRule="exact"/>
              <w:rPr>
                <w:sz w:val="20"/>
                <w:szCs w:val="20"/>
                <w:color w:val="auto"/>
              </w:rPr>
            </w:pPr>
            <w:r>
              <w:rPr>
                <w:rFonts w:ascii="Arial" w:cs="Arial" w:eastAsia="Arial" w:hAnsi="Arial"/>
                <w:sz w:val="13"/>
                <w:szCs w:val="13"/>
                <w:color w:val="auto"/>
              </w:rPr>
              <w:t>Unrealized exchange loss (gain)</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(209)</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(138)</w:t>
            </w:r>
          </w:p>
        </w:tc>
        <w:tc>
          <w:tcPr>
            <w:tcW w:w="100" w:type="dxa"/>
            <w:vAlign w:val="bottom"/>
          </w:tcPr>
          <w:p>
            <w:pPr>
              <w:spacing w:after="0"/>
              <w:rPr>
                <w:sz w:val="12"/>
                <w:szCs w:val="12"/>
                <w:color w:val="auto"/>
              </w:rPr>
            </w:pPr>
          </w:p>
        </w:tc>
        <w:tc>
          <w:tcPr>
            <w:tcW w:w="600" w:type="dxa"/>
            <w:vAlign w:val="bottom"/>
            <w:gridSpan w:val="2"/>
          </w:tcPr>
          <w:p>
            <w:pPr>
              <w:jc w:val="right"/>
              <w:ind w:right="14"/>
              <w:spacing w:after="0" w:line="144"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83</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163</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4"/>
        </w:trPr>
        <w:tc>
          <w:tcPr>
            <w:tcW w:w="21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
              <w:spacing w:after="0" w:line="144" w:lineRule="exact"/>
              <w:rPr>
                <w:sz w:val="20"/>
                <w:szCs w:val="20"/>
                <w:color w:val="auto"/>
              </w:rPr>
            </w:pPr>
            <w:r>
              <w:rPr>
                <w:rFonts w:ascii="Arial" w:cs="Arial" w:eastAsia="Arial" w:hAnsi="Arial"/>
                <w:sz w:val="13"/>
                <w:szCs w:val="13"/>
                <w:color w:val="auto"/>
              </w:rPr>
              <w:t>356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374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345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1,275</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unaudited quarterly results as a percentage of revenue.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Mar. 31,</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Jun. 30,</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Sep. 30,</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Dec. 31,</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Mar. 31,</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Jun. 30,</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Sep. 30,</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Dec. 31,</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Mar. 31,</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Jun. 30,</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Cost of goods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sold</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72.0%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69.2%</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68.6%</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77.1%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67.1%</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69.9%</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71.5%</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71.1%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68.0%</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Arial" w:cs="Arial" w:eastAsia="Arial" w:hAnsi="Arial"/>
                <w:sz w:val="17"/>
                <w:szCs w:val="17"/>
                <w:color w:val="auto"/>
              </w:rPr>
              <w:t>Operating</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20" w:type="dxa"/>
            <w:vAlign w:val="bottom"/>
          </w:tcPr>
          <w:p>
            <w:pPr>
              <w:ind w:left="14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development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1"/>
        </w:trPr>
        <w:tc>
          <w:tcPr>
            <w:tcW w:w="1320" w:type="dxa"/>
            <w:vAlign w:val="bottom"/>
          </w:tcPr>
          <w:p>
            <w:pPr>
              <w:ind w:left="140"/>
              <w:spacing w:after="0"/>
              <w:rPr>
                <w:sz w:val="20"/>
                <w:szCs w:val="20"/>
                <w:color w:val="auto"/>
              </w:rPr>
            </w:pPr>
            <w:r>
              <w:rPr>
                <w:rFonts w:ascii="Arial" w:cs="Arial" w:eastAsia="Arial" w:hAnsi="Arial"/>
                <w:sz w:val="17"/>
                <w:szCs w:val="17"/>
                <w:color w:val="auto"/>
              </w:rPr>
              <w:t>Sales and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20" w:type="dxa"/>
            <w:vAlign w:val="bottom"/>
          </w:tcPr>
          <w:p>
            <w:pPr>
              <w:ind w:left="280"/>
              <w:spacing w:after="0"/>
              <w:rPr>
                <w:sz w:val="20"/>
                <w:szCs w:val="20"/>
                <w:color w:val="auto"/>
              </w:rPr>
            </w:pPr>
            <w:r>
              <w:rPr>
                <w:rFonts w:ascii="Arial" w:cs="Arial" w:eastAsia="Arial" w:hAnsi="Arial"/>
                <w:sz w:val="17"/>
                <w:szCs w:val="17"/>
                <w:color w:val="auto"/>
              </w:rPr>
              <w:t>marketing</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5.2%</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4.9%</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4.6%</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6.3%</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administrative</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Arial" w:cs="Arial" w:eastAsia="Arial" w:hAnsi="Arial"/>
                <w:sz w:val="17"/>
                <w:szCs w:val="17"/>
                <w:color w:val="auto"/>
              </w:rPr>
              <w:t>Total operating</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expenses</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42.7%</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35.0%</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36.6%</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34.8%</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28.5%</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29.4%</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27.1%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36.9%</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(loss)</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from operations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7"/>
              </w:rPr>
              <w:t>Interest and other</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color w:val="auto"/>
              </w:rPr>
              <w:t>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(expense), net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8"/>
              </w:rPr>
              <w:t>Net income (loss)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1320" w:type="dxa"/>
            <w:vAlign w:val="bottom"/>
            <w:vMerge w:val="restart"/>
          </w:tcPr>
          <w:p>
            <w:pPr>
              <w:spacing w:after="0"/>
              <w:rPr>
                <w:sz w:val="20"/>
                <w:szCs w:val="20"/>
                <w:color w:val="auto"/>
              </w:rPr>
            </w:pPr>
            <w:r>
              <w:rPr>
                <w:rFonts w:ascii="Arial" w:cs="Arial" w:eastAsia="Arial" w:hAnsi="Arial"/>
                <w:sz w:val="17"/>
                <w:szCs w:val="17"/>
                <w:b w:val="1"/>
                <w:bCs w:val="1"/>
                <w:color w:val="auto"/>
              </w:rPr>
              <w:t>Additional</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b w:val="1"/>
                <w:bCs w:val="1"/>
                <w:color w:val="auto"/>
              </w:rPr>
              <w:t>Financial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ind w:left="140"/>
              <w:spacing w:after="0"/>
              <w:rPr>
                <w:sz w:val="20"/>
                <w:szCs w:val="20"/>
                <w:color w:val="auto"/>
              </w:rPr>
            </w:pPr>
            <w:r>
              <w:rPr>
                <w:rFonts w:ascii="Arial" w:cs="Arial" w:eastAsia="Arial" w:hAnsi="Arial"/>
                <w:sz w:val="17"/>
                <w:szCs w:val="17"/>
                <w:b w:val="1"/>
                <w:bCs w:val="1"/>
                <w:color w:val="auto"/>
              </w:rPr>
              <w:t>Data:</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9"/>
              </w:rPr>
              <w:t>Non-GAAP gross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profit (1)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Non-GAAP</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color w:val="auto"/>
              </w:rPr>
              <w:t>income (loss)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140"/>
              <w:spacing w:after="0"/>
              <w:rPr>
                <w:sz w:val="20"/>
                <w:szCs w:val="20"/>
                <w:color w:val="auto"/>
              </w:rPr>
            </w:pPr>
            <w:r>
              <w:rPr>
                <w:rFonts w:ascii="Arial" w:cs="Arial" w:eastAsia="Arial" w:hAnsi="Arial"/>
                <w:sz w:val="17"/>
                <w:szCs w:val="17"/>
                <w:color w:val="auto"/>
                <w:w w:val="98"/>
              </w:rPr>
              <w:t>from operations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ind w:left="140"/>
              <w:spacing w:after="0"/>
              <w:rPr>
                <w:sz w:val="20"/>
                <w:szCs w:val="20"/>
                <w:color w:val="auto"/>
              </w:rPr>
            </w:pPr>
            <w:r>
              <w:rPr>
                <w:rFonts w:ascii="Arial" w:cs="Arial" w:eastAsia="Arial" w:hAnsi="Arial"/>
                <w:sz w:val="17"/>
                <w:szCs w:val="17"/>
                <w:color w:val="auto"/>
              </w:rPr>
              <w:t>(1)</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(12.2)%</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(0.7)%</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Non-GAAP net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Adjusted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7"/>
                <w:szCs w:val="17"/>
                <w:color w:val="auto"/>
              </w:rPr>
              <w:t>EBITDA (1)</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(4.5)%</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07"/>
        </w:trPr>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See footnote 2 to the preceding table.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Quarterly revenue trends and seasonality</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Our quarterly results reflect seasonality in the sale of our products. Historically, our revenue has been highest in the fourth quarter and lowest in the first quarter. The first quarter of the year has historically been negatively affected by reduced economic activity due to the Chinese New Year holiday and the lower level of deployment of outdoor CATV equipment in cold weather environments.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Quarterly gross margin trends</w:t>
      </w:r>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Our gross margin varies quarter to quarter but has been within a range of 27.8% and 32.9% over the past ten quarters, except for the fourth quarter of 2011 when we incurred an additional charge to inventory of $0.7 million from the application of our inventory reserve policy. Our gross margin varies primarily due to the product mix in a particular quarter, as well as from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level of manufacturing efficiencies, production yields (particularly in the laser chip fabrication process) and overall supply costs.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Quarterly operating result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quarterly operating results are likely to fluctuate due to seasonality and other factors such as:</w:t>
      </w:r>
    </w:p>
    <w:p>
      <w:pPr>
        <w:spacing w:after="0" w:line="237"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 our target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CATV customers' willingness to outsource more of their internal design and manufacturing;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mix of products within a quarter or changes in the volume of products sold within a particular target 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obtain new orders, and the timing of such orders;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level of revenues from our orders;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pricing policies by us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fulfill sales orders in a timely manner within normal lead times or as otherwise demanded by customers;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adjust our production in response to quarter-over-quarter variations in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adjust sales, general and administrative costs in response to changes in revenue;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control costs and capital expenditures.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occurrence of one or more of these factors could cause our revenue and corresponding operating results to vary widely. As such, we believe that our quarterly levels of revenue and expenses may vary significantly in the future, and that period-to-period comparisons of our results may not be meaningful and should not be relied upon as an indication of future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Since inception, we have financed our operations through private sales of equity securities and cash generated from operations and from various lending arrangements. At June 30, 2013, our cash, cash equivalents and restricted cash totaled $10.9 million. Cash and cash equivalents were held for working capital purposes and were invested primarily in money market funds. We do not enter into investments for trading or speculative purposes.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sets forth selected cash flow data for the periods presented:</w:t>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Six months ended</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62"/>
              <w:spacing w:after="0" w:line="138" w:lineRule="exact"/>
              <w:rPr>
                <w:sz w:val="20"/>
                <w:szCs w:val="20"/>
                <w:color w:val="auto"/>
              </w:rPr>
            </w:pPr>
            <w:r>
              <w:rPr>
                <w:rFonts w:ascii="Arial" w:cs="Arial" w:eastAsia="Arial" w:hAnsi="Arial"/>
                <w:sz w:val="13"/>
                <w:szCs w:val="13"/>
                <w:b w:val="1"/>
                <w:bCs w:val="1"/>
                <w:color w:val="auto"/>
                <w:w w:val="89"/>
              </w:rPr>
              <w:t>June 30, 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(2,914)</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(1,571)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(3,290)</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(3,573)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8,975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12,754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(621)</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8,956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the six months ended June 30, 2013, net cash provided by operating activities was $1.5 million. Cash provided by operating activities primarily related to payments from customers from the sale of our products in excess of cash paid to our suppliers. During the six months ended June 30, 2013, we recognized a net loss of $1.3 million. The net loss incorporated non-cash charges, including depreciation and amortization of $1.6 million, stock-based compensation expenses of $0.2 million and non-cash increases to our inventory reserve accounts of $0.4 million.</w:t>
      </w:r>
    </w:p>
    <w:p>
      <w:pPr>
        <w:spacing w:after="0" w:line="185"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In 2012, net cash used in operating activities was $0.4 million. Cash used in operating activities primarily related to payments to suppliers in excess of cash received from our customers from the sale of our products. During 2012, we recognized a net loss of $0.9 million. However, that net loss incorporated non-cash charges, including depreciation and amortization of $2.9 million, stock-based compensation expense of $0.1 million and non-cash increases to our inventory reserve accounts of $0.9 million. In addition, we spent $0.5 million in 2012 to increase our inventories in anticipation of expected increases in sales volumes.</w:t>
      </w:r>
    </w:p>
    <w:p>
      <w:pPr>
        <w:spacing w:after="0" w:line="155"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In 2011, net cash used in operating activities was $4.1 million. Cash used in operating activities primarily related to payments to suppliers in excess of cash received from our customers from the sale of our products. During 2011, we recognized a net loss of $5.3 million. However, that net loss incorporated non-cash charges, including depreciation and amortization of $3.1 million, stock-based compensation expense of $0.6 million and non-cash increases to our inventory reserve accounts of $1.6 million. In addition, we spent $1.6 million in 2011 to increase our inventories in anticipation of expected increases in sales volumes.</w:t>
      </w:r>
    </w:p>
    <w:p>
      <w:pPr>
        <w:spacing w:after="0" w:line="15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2010, net cash used in operating activities was $3.2 million. Cash used in operating activities primarily related to payments to suppliers in excess of cash received from our customers from the sale of our products. During 2010, we recognized a net loss of $3.4 million. However, that net loss incorporated non-cash charges, including depreciation and amortization of $3.3 million, asset impairment charges of $0.5 million and stock-based compensation expense of $0.8 million and non-cash increases to our asset reserve accounts of $0.6 million.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investing activities consisted primarily of capital expenditures and purchases of intangible assets.</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the six months ended June 30, 2013, we used $3.6 million of cash for investing activities for the purchase of additional machinery and equipment to support our research and development efforts and manufacturing activities.</w:t>
      </w:r>
    </w:p>
    <w:p>
      <w:pPr>
        <w:spacing w:after="0" w:line="170" w:lineRule="exact"/>
        <w:rPr>
          <w:sz w:val="20"/>
          <w:szCs w:val="20"/>
          <w:color w:val="auto"/>
        </w:rPr>
      </w:pPr>
    </w:p>
    <w:p>
      <w:pPr>
        <w:ind w:firstLine="341"/>
        <w:spacing w:after="0" w:line="315" w:lineRule="auto"/>
        <w:rPr>
          <w:sz w:val="20"/>
          <w:szCs w:val="20"/>
          <w:color w:val="auto"/>
        </w:rPr>
      </w:pPr>
      <w:r>
        <w:rPr>
          <w:rFonts w:ascii="Arial" w:cs="Arial" w:eastAsia="Arial" w:hAnsi="Arial"/>
          <w:sz w:val="16"/>
          <w:szCs w:val="16"/>
          <w:color w:val="auto"/>
        </w:rPr>
        <w:t>In 2012, we used $3.3 million of cash for investing activities. We used $3.2 million of cash for the purchase of additional machinery and equipment to support our research and development efforts and manufacturing activities, partially offset by $0.1 million of cash provided by the sale of obsolete equipment.</w:t>
      </w:r>
    </w:p>
    <w:p>
      <w:pPr>
        <w:spacing w:after="0" w:line="146"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In 2011, we used $1.6 million of cash for investing activities. We used $1.8 million of cash for the purchase of property and equipment, partially offset by $0.4 million of cash provided by the sale of obsolete equipment.</w:t>
      </w:r>
    </w:p>
    <w:p>
      <w:pPr>
        <w:spacing w:after="0" w:line="170"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In 2010, we used $2.9 million of cash for investing activities, including $3.0 million of capital expenditures associated with the purchase of machinery and equipment and the expansion of our operations in China.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financing activities consisted primarily of proceeds from the issuance of preferred stock and activity associated with our various lending arrangements.</w:t>
      </w:r>
    </w:p>
    <w:p>
      <w:pPr>
        <w:spacing w:after="0" w:line="236"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In the six months ended June 30, 2013, our financing activities provided $0.9 million in cash. We received $1.1 million in net borrowings associated with our bank loans and received $0.4 million from the exercise of stock options and warrants. These increases were offset by an increase in our restricted cash by $0.6 million, related to the compensating balances required by our loans in China.</w:t>
      </w:r>
    </w:p>
    <w:p>
      <w:pPr>
        <w:spacing w:after="0" w:line="179" w:lineRule="exact"/>
        <w:rPr>
          <w:sz w:val="20"/>
          <w:szCs w:val="20"/>
          <w:color w:val="auto"/>
        </w:rPr>
      </w:pPr>
    </w:p>
    <w:p>
      <w:pPr>
        <w:ind w:right="340" w:firstLine="341"/>
        <w:spacing w:after="0" w:line="270" w:lineRule="auto"/>
        <w:rPr>
          <w:sz w:val="20"/>
          <w:szCs w:val="20"/>
          <w:color w:val="auto"/>
        </w:rPr>
      </w:pPr>
      <w:r>
        <w:rPr>
          <w:rFonts w:ascii="Arial" w:cs="Arial" w:eastAsia="Arial" w:hAnsi="Arial"/>
          <w:sz w:val="17"/>
          <w:szCs w:val="17"/>
          <w:color w:val="auto"/>
        </w:rPr>
        <w:t>In 2012, our financing activities provided $12.8 million in cash. We received $10.2 million in cash from the issuance of preferred stock, $2.7 million in net borrowings associated with our bank loans and $0.8 million from the issuance of notes payable, offset in part by $0.7 million of payments of principal on our term loans and notes payable and $0.2 million to repay loans from stockholders.</w:t>
      </w:r>
    </w:p>
    <w:p>
      <w:pPr>
        <w:spacing w:after="0" w:line="179" w:lineRule="exact"/>
        <w:rPr>
          <w:sz w:val="20"/>
          <w:szCs w:val="20"/>
          <w:color w:val="auto"/>
        </w:rPr>
      </w:pPr>
    </w:p>
    <w:p>
      <w:pPr>
        <w:jc w:val="both"/>
        <w:ind w:right="60" w:firstLine="341"/>
        <w:spacing w:after="0" w:line="270" w:lineRule="auto"/>
        <w:rPr>
          <w:sz w:val="20"/>
          <w:szCs w:val="20"/>
          <w:color w:val="auto"/>
        </w:rPr>
      </w:pPr>
      <w:r>
        <w:rPr>
          <w:rFonts w:ascii="Arial" w:cs="Arial" w:eastAsia="Arial" w:hAnsi="Arial"/>
          <w:sz w:val="17"/>
          <w:szCs w:val="17"/>
          <w:color w:val="auto"/>
        </w:rPr>
        <w:t>In 2011, our financing activities provided $2.8 million in cash, primarily resulting from $2.9 million of cash from the issuance of preferred stock and $1.6 million in net borrowings associated with our bank loans, offset in part by $0.2 million of payments of principal on our term loans and notes payable and $1.2 million to repay loans from stockholders.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2010, our financing activities provided $9.0 million in cash, primarily resulting from $6.1 million of net borrowings associated with our bank loans,</w:t>
      </w:r>
    </w:p>
    <w:p>
      <w:pPr>
        <w:spacing w:after="0" w:line="20" w:lineRule="exact"/>
        <w:rPr>
          <w:sz w:val="20"/>
          <w:szCs w:val="20"/>
          <w:color w:val="auto"/>
        </w:rPr>
      </w:pPr>
    </w:p>
    <w:p>
      <w:pPr>
        <w:spacing w:after="0" w:line="343" w:lineRule="auto"/>
        <w:rPr>
          <w:sz w:val="20"/>
          <w:szCs w:val="20"/>
          <w:color w:val="auto"/>
        </w:rPr>
      </w:pPr>
      <w:r>
        <w:rPr>
          <w:rFonts w:ascii="Arial" w:cs="Arial" w:eastAsia="Arial" w:hAnsi="Arial"/>
          <w:sz w:val="15"/>
          <w:szCs w:val="15"/>
          <w:color w:val="auto"/>
        </w:rPr>
        <w:t>$0.4 million from the issuance notes payable and $3.2 million from the proceeds of loans from stockholders. Restricted cash increased during 2010 by $0.5 million due to less compensating balance required for our loan in China. Such proceeds were offset by $0.4 million of payments of principal on our term loans and notes payable.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and commitments</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have lending arrangements with several financial institutions, including a loan and security agreement with East West Bank in the U.S., several lines of credit arrangements for our China subsidiary and a financing agreement for our Taiwan location.</w:t>
      </w:r>
    </w:p>
    <w:p>
      <w:pPr>
        <w:spacing w:after="0" w:line="170"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of June 30, 2013, our loan and security agreement in the U.S. included a $10.5 million revolving line of credit which matures on November 15, 2014. Also included with the same bank are two term loans with monthly payments of principal and interest that mature on May 4, 2014. As of June 30, 2013, we had $9.1 million outstanding under the revolving line of credit and $0.1 and $3.1 million outstanding on the term loans. On April 11, 2013, we extended the maturity dates of these loans to November 15, 2014.</w:t>
      </w:r>
    </w:p>
    <w:p>
      <w:pPr>
        <w:spacing w:after="0" w:line="185"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Our loan and security agreement requires us to maintain certain financial covenants, including a liquidity ratio, and restricts our ability to incur additional debt or to engage in certain transactions and is secured by substantially all of our U.S. assets. As of June 30, 2013, we were in compliance with all covenants contained in this agreement.</w:t>
      </w:r>
    </w:p>
    <w:p>
      <w:pPr>
        <w:spacing w:after="0" w:line="179" w:lineRule="exact"/>
        <w:rPr>
          <w:sz w:val="20"/>
          <w:szCs w:val="20"/>
          <w:color w:val="auto"/>
        </w:rPr>
      </w:pPr>
    </w:p>
    <w:p>
      <w:pPr>
        <w:ind w:right="60" w:firstLine="332"/>
        <w:spacing w:after="0" w:line="283" w:lineRule="auto"/>
        <w:rPr>
          <w:sz w:val="20"/>
          <w:szCs w:val="20"/>
          <w:color w:val="auto"/>
        </w:rPr>
      </w:pPr>
      <w:r>
        <w:rPr>
          <w:rFonts w:ascii="Arial" w:cs="Arial" w:eastAsia="Arial" w:hAnsi="Arial"/>
          <w:sz w:val="16"/>
          <w:szCs w:val="16"/>
          <w:color w:val="auto"/>
        </w:rPr>
        <w:t>As of June 30, 2013, our China subsidiary had a line of credit facility and bank acceptances with China banks totaling $15.0 million. As of June 30, 2013, a total of $13.6 million was outstanding under various notes and bank acceptances, each with its own maturity date and each renewing annually from July 2013 to November 2014. The notes that matured from May 2013 until June 2013 were renewed with one-year terms. The notes that begin to mature in July 2013 are expected to be renewed on the same terms and with new one year terms. These loans have renewed each year for the past three years. While there can be no assurance of renewal as each loan matures, we expect these loans to renew this year as they have over the past periods.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2013, our Taiwan location had fully paid and extinguished a note payable to a financing company that matured on June 20, 2013.</w:t>
      </w:r>
    </w:p>
    <w:p>
      <w:pPr>
        <w:spacing w:after="0" w:line="22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color w:val="auto"/>
        </w:rPr>
        <w:t>On September 10, 2013, our loan and security agreement in the U.S. was amended to add $5.0 million of borrowing capability to the existing credit line, for the purpose of financing equipment. The additional equipment term loan allows us to draw up to the lesser of (i) $5.0 million, or (ii) 90% of the costs of equipment purchased between March 31, 2013 and March 10, 2014. Through March 10, 2014, we are required to pay interest only on the then-outstanding balance, and then pay equal principal payments plus accrued interest monthly for the following 42 months. The interest rate for such equipment term loan is the bank's prime lending rate plus 1.25%, currently a total of 4.5%. We anticipate drawing $2.0 million to $3.0 million on this additional equipment term loan in the next six months.</w:t>
      </w:r>
    </w:p>
    <w:p>
      <w:pPr>
        <w:spacing w:after="0" w:line="15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2010, we borrowed $3.2 million from 12 shareholders under the terms of unsecured promissory note agreements. These notes bore an interest rate of 6.0% with maturity dates that were 18 months from their original note date. All of these notes were extended until December 31, 2012. During 2011 or 2012, all of these note holders converted their respective notes into preferred stock, or the notes were paid and extinguished.</w:t>
      </w:r>
    </w:p>
    <w:p>
      <w:pPr>
        <w:spacing w:after="0" w:line="179"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six months, and such notes receivable may be redeemed with the issuing bank prior to maturity at a discount. Historically, we have collected on the notes receivable in full at the time of maturity.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Frequently, we also direct our banking partners to issue notes payable to our suppliers in China in exchange for accounts payable. Our China subsidiary's banks issue the notes to vendors and issue payment to the vendors upon redemption. We owe the payable balance to the issuing bank. The notes payable are non-interest bearing and are generally due within six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June 30, 2013, our restricted cash totaled $1.1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Future liquidity needs</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development efforts, the expansion of our sales and marketing activities, the introduction of new and enhanced products, the costs to increase our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our contractual obligations as of December 31, 2012:</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8"/>
          </w:tcPr>
          <w:p>
            <w:pPr>
              <w:ind w:left="600"/>
              <w:spacing w:after="0"/>
              <w:rPr>
                <w:sz w:val="20"/>
                <w:szCs w:val="20"/>
                <w:color w:val="auto"/>
              </w:rPr>
            </w:pPr>
            <w:r>
              <w:rPr>
                <w:rFonts w:ascii="Arial" w:cs="Arial" w:eastAsia="Arial" w:hAnsi="Arial"/>
                <w:sz w:val="13"/>
                <w:szCs w:val="13"/>
                <w:b w:val="1"/>
                <w:bCs w:val="1"/>
                <w:color w:val="auto"/>
              </w:rPr>
              <w:t>Payments due by period</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4" w:lineRule="exact"/>
              <w:rPr>
                <w:sz w:val="20"/>
                <w:szCs w:val="20"/>
                <w:color w:val="auto"/>
              </w:rPr>
            </w:pPr>
            <w:r>
              <w:rPr>
                <w:rFonts w:ascii="Arial" w:cs="Arial" w:eastAsia="Arial" w:hAnsi="Arial"/>
                <w:sz w:val="13"/>
                <w:szCs w:val="13"/>
                <w:b w:val="1"/>
                <w:bCs w:val="1"/>
                <w:color w:val="auto"/>
                <w:w w:val="93"/>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9"/>
              </w:rPr>
              <w:t>1 - 3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3 - 5 Years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0"/>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payable and long-term debt (1)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24,584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7"/>
                <w:szCs w:val="17"/>
                <w:color w:val="auto"/>
              </w:rPr>
              <w:t>Operating leases (2)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obligations (3)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60" w:type="dxa"/>
            <w:vAlign w:val="bottom"/>
            <w:gridSpan w:val="2"/>
            <w:vMerge w:val="restart"/>
          </w:tcPr>
          <w:p>
            <w:pPr>
              <w:spacing w:after="0"/>
              <w:rPr>
                <w:sz w:val="20"/>
                <w:szCs w:val="20"/>
                <w:color w:val="auto"/>
              </w:rPr>
            </w:pPr>
            <w:r>
              <w:rPr>
                <w:rFonts w:ascii="Arial" w:cs="Arial" w:eastAsia="Arial" w:hAnsi="Arial"/>
                <w:sz w:val="17"/>
                <w:szCs w:val="17"/>
                <w:color w:val="auto"/>
              </w:rPr>
              <w:t>Total commitments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9,329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9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right="300" w:hanging="533"/>
        <w:spacing w:after="0" w:line="25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have several loan and security agreements in China and the U.S. that provide various credit facilities, including lines of credit and term loans. The amount presented in the table represents the principal portion of the obligations.</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have entered into various non-cancellable operating lease agreements for our offices in Taiwan and the U.S.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are obligated to make payments under various arrangements with suppliers for the procurement of goods and services.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Risks</w:t>
      </w:r>
    </w:p>
    <w:p>
      <w:pPr>
        <w:spacing w:after="0" w:line="224"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not historically attempted to reduce our market risks through hedging instruments; we may, however, do so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are exposed to interest rate fluctuations on our cash and cash equivalents. We had unrestricted cash and cash equivalents of $4.5 million, $1.8 million and</w:t>
      </w:r>
    </w:p>
    <w:p>
      <w:pPr>
        <w:spacing w:after="0" w:line="3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$10.7 million at December 31, 2010, 2011 and 2012, respectively. Our cash and cash equivalents are subject to limited interest rate risk and are primarily maintained in money market funds and bank deposits.</w:t>
      </w:r>
    </w:p>
    <w:p>
      <w:pPr>
        <w:spacing w:after="0" w:line="175"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We have entered into various loan agreements with East West Bank in the U.S., China Construction Bank and Shanghai Pu-Dong Development Bank in China and Chailease Finance Co LTD in Taiwan. At December 31, 2012:</w:t>
      </w:r>
    </w:p>
    <w:p>
      <w:pPr>
        <w:spacing w:after="0" w:line="183" w:lineRule="exact"/>
        <w:rPr>
          <w:sz w:val="20"/>
          <w:szCs w:val="20"/>
          <w:color w:val="auto"/>
        </w:rPr>
      </w:pPr>
    </w:p>
    <w:p>
      <w:pPr>
        <w:ind w:left="1060" w:right="28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short-term U.S.-based loans had a principal balance of $8.6 million, bearing interest at rates based on the prime rate plus a premium of 1.25% or floor rate of 4.5% whichever is higher,</w:t>
      </w:r>
    </w:p>
    <w:p>
      <w:pPr>
        <w:spacing w:after="0" w:line="196" w:lineRule="exact"/>
        <w:rPr>
          <w:rFonts w:ascii="Arial" w:cs="Arial" w:eastAsia="Arial" w:hAnsi="Arial"/>
          <w:sz w:val="17"/>
          <w:szCs w:val="17"/>
          <w:color w:val="auto"/>
        </w:rPr>
      </w:pPr>
    </w:p>
    <w:p>
      <w:pPr>
        <w:ind w:left="1060" w:right="32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term loan with a U.S. bank had a principal balance of $3.32 million, with monthly payment of principal and interest at prime rate plus 1.25% or swap contract with fixed 5%, maturing May 3, 2014,</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Chinese-based loan had a principal balance of $10.7 million, bearing interest at 110%-125% of LIBOR,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Chinese bank acceptance notes issued to vendors had a balance of $1.5 million, bearing no interest rate, and</w:t>
      </w:r>
    </w:p>
    <w:p>
      <w:pPr>
        <w:spacing w:after="0" w:line="250"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Taiwanese-based loan had $0.4 million principal balance outstanding, with monthly payment of principal and interest at interest rate of 3.3%, maturing on June 20, 2013.</w:t>
      </w:r>
    </w:p>
    <w:p>
      <w:pPr>
        <w:spacing w:after="0" w:line="170"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With respect to our interest expense for the year ended December 31, 2012, an increase or decrease of 1.0% in each of our interest rates would have resulted in an increase or decrease of $0.2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Rates</w:t>
      </w:r>
    </w:p>
    <w:p>
      <w:pPr>
        <w:spacing w:after="0" w:line="224" w:lineRule="exact"/>
        <w:rPr>
          <w:sz w:val="20"/>
          <w:szCs w:val="20"/>
          <w:color w:val="auto"/>
        </w:rPr>
      </w:pPr>
    </w:p>
    <w:p>
      <w:pPr>
        <w:ind w:right="160" w:firstLine="338"/>
        <w:spacing w:after="0" w:line="287"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however, because we have revenue and expenses in each of these foreign currencies.</w:t>
      </w:r>
    </w:p>
    <w:p>
      <w:pPr>
        <w:spacing w:after="0" w:line="169" w:lineRule="exact"/>
        <w:rPr>
          <w:sz w:val="20"/>
          <w:szCs w:val="20"/>
          <w:color w:val="auto"/>
        </w:rPr>
      </w:pPr>
    </w:p>
    <w:p>
      <w:pPr>
        <w:ind w:right="260" w:firstLine="338"/>
        <w:spacing w:after="0" w:line="322" w:lineRule="auto"/>
        <w:rPr>
          <w:sz w:val="20"/>
          <w:szCs w:val="20"/>
          <w:color w:val="auto"/>
        </w:rPr>
      </w:pPr>
      <w:r>
        <w:rPr>
          <w:rFonts w:ascii="Arial" w:cs="Arial" w:eastAsia="Arial" w:hAnsi="Arial"/>
          <w:sz w:val="15"/>
          <w:szCs w:val="15"/>
          <w:color w:val="auto"/>
        </w:rPr>
        <w:t>We maintain certain assets, including certain bank accounts, accounts receivables, land and building, in RMB and the NT dollar, which are sensitive to foreign currency exchange rate fluctuations. Additionally, certain of our current and long-term liabilities are denominated in these currencies. As of December 31, 2012, currency changes resulted in assets and liabilities denominated in these currencies being translated into $0.3 million more U.S. dollars than at December 31, 2011.</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2"/>
        <w:spacing w:after="0" w:line="300" w:lineRule="auto"/>
        <w:rPr>
          <w:sz w:val="20"/>
          <w:szCs w:val="20"/>
          <w:color w:val="auto"/>
        </w:rPr>
      </w:pPr>
      <w:r>
        <w:rPr>
          <w:rFonts w:ascii="Arial" w:cs="Arial" w:eastAsia="Arial" w:hAnsi="Arial"/>
          <w:sz w:val="15"/>
          <w:szCs w:val="15"/>
          <w:color w:val="auto"/>
        </w:rPr>
        <w:t>Additionally, the value of the RMB against the U.S. dollar and other currencies fluctuates and is affected by, among other things, changes in political and economic conditions in China. The conversion of RMB into foreign currencies, including U.S. dollars, has been based on rates set by the People's Bank of China. On July 21, 2005, the Chinese government changed its policy of pegging the value of the RMB to the U.S. dollar and began allowing modest appreciation of the RMB against the U.S. dollar. Fluctuation of the RMB exchange rate is, however, restricted to a rise or fall of no more than 0.5% per day versus the U.S. dollar, and the People's Bank of China continues to intervene in the foreign exchange market to prevent significant short-term fluctuations in the RMB exchange rate. Nevertheless, under China's current exchange rate regime, the RMB may appreciate or depreciate significantly in value against the U.S. dollar in the medium to long term. The RMB has appreciated 8.63% against the U.S. dollar from Jan. 1, 2010 to December 31, 2012. There remains international pressure on the Chinese government to adopt a substantial liberalization of its currency policy, which could result in a further and more significant appreciation in the value of the RMB against the U.S. dollar.</w:t>
      </w:r>
    </w:p>
    <w:p>
      <w:pPr>
        <w:spacing w:after="0" w:line="163" w:lineRule="exact"/>
        <w:rPr>
          <w:sz w:val="20"/>
          <w:szCs w:val="20"/>
          <w:color w:val="auto"/>
        </w:rPr>
      </w:pPr>
    </w:p>
    <w:p>
      <w:pPr>
        <w:ind w:firstLine="338"/>
        <w:spacing w:after="0" w:line="278"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year in 2010, 2011 and using quarterly average rate for 2012.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(expenses).</w:t>
      </w:r>
    </w:p>
    <w:p>
      <w:pPr>
        <w:spacing w:after="0" w:line="179" w:lineRule="exact"/>
        <w:rPr>
          <w:sz w:val="20"/>
          <w:szCs w:val="20"/>
          <w:color w:val="auto"/>
        </w:rPr>
      </w:pPr>
    </w:p>
    <w:p>
      <w:pPr>
        <w:ind w:right="80" w:firstLine="338"/>
        <w:spacing w:after="0" w:line="278" w:lineRule="auto"/>
        <w:rPr>
          <w:sz w:val="20"/>
          <w:szCs w:val="20"/>
          <w:color w:val="auto"/>
        </w:rPr>
      </w:pPr>
      <w:r>
        <w:rPr>
          <w:rFonts w:ascii="Arial" w:cs="Arial" w:eastAsia="Arial" w:hAnsi="Arial"/>
          <w:sz w:val="16"/>
          <w:szCs w:val="16"/>
          <w:color w:val="auto"/>
        </w:rPr>
        <w:t>We incurred approximately 51.1% of our operating expenses in currencies other than the U.S. dollar during 2012. As of December 31, 2012, we held the U.S. dollar equivalent of approximately $1.5 million in RMB and $0.1 million in NT dollars, included in cash and cash equivalents. Fluctuations in exchange rates directly affect our cost of revenues and net income, and have a significant impact on fluctuations in our operating margins. For example, in 2012, 81.9% of our revenues were generated from sales denominated in U.S. dollars, and 25.5% of our operating costs and expenses were denominated in RMB and 25.6% of our operating costs were denominated in NT dollars. Fluctuations in exchange rates also affect our balance sheet. For example, if we need to convert U.S. dollars into RMB or NT dollars for our operations, appreciation of the RMB or the NT dollar against the U.S. dollar would have an adverse effect on the RMB or NT dollar amount that we receive from the conversion. With respect to our cash and cash equivalents as of December 31, 2012, a 1.0% change in the exchange rates between the RMB and the U.S. dollar would result in an immaterial change in our total cash and cash equivalents, and a 1.0% change in the exchange rates between the NT dollar and the U.S. dollar would result in an immaterial change our total cash and cash equivalents.</w:t>
      </w:r>
    </w:p>
    <w:p>
      <w:pPr>
        <w:spacing w:after="0" w:line="179"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Fluctuations in currency exchange rates of the above currencies we hold against the U.S. dollar would have a corresponding impact on the U.S. dollar equivalent of such currencies included in the cash and cash equivalents reported in our financial statements from period to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224"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24" w:lineRule="exact"/>
        <w:rPr>
          <w:sz w:val="20"/>
          <w:szCs w:val="20"/>
          <w:color w:val="auto"/>
        </w:rPr>
      </w:pPr>
    </w:p>
    <w:p>
      <w:pPr>
        <w:ind w:right="120" w:firstLine="341"/>
        <w:spacing w:after="0" w:line="352" w:lineRule="auto"/>
        <w:rPr>
          <w:sz w:val="20"/>
          <w:szCs w:val="20"/>
          <w:color w:val="auto"/>
        </w:rPr>
      </w:pPr>
      <w:r>
        <w:rPr>
          <w:rFonts w:ascii="Arial" w:cs="Arial" w:eastAsia="Arial" w:hAnsi="Arial"/>
          <w:sz w:val="15"/>
          <w:szCs w:val="15"/>
          <w:color w:val="auto"/>
        </w:rPr>
        <w:t>During 2010, 2011 and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2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stock-based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2" w:lineRule="exact"/>
        <w:rPr>
          <w:sz w:val="20"/>
          <w:szCs w:val="20"/>
          <w:color w:val="auto"/>
        </w:rPr>
      </w:pPr>
    </w:p>
    <w:p>
      <w:pPr>
        <w:jc w:val="both"/>
        <w:ind w:right="620" w:firstLine="338"/>
        <w:spacing w:after="0" w:line="270" w:lineRule="auto"/>
        <w:rPr>
          <w:sz w:val="20"/>
          <w:szCs w:val="20"/>
          <w:color w:val="auto"/>
        </w:rPr>
      </w:pPr>
      <w:r>
        <w:rPr>
          <w:rFonts w:ascii="Arial" w:cs="Arial" w:eastAsia="Arial" w:hAnsi="Arial"/>
          <w:sz w:val="17"/>
          <w:szCs w:val="17"/>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right="40" w:firstLine="338"/>
        <w:spacing w:after="0" w:line="300" w:lineRule="auto"/>
        <w:rPr>
          <w:sz w:val="20"/>
          <w:szCs w:val="20"/>
          <w:color w:val="auto"/>
        </w:rPr>
      </w:pPr>
      <w:r>
        <w:rPr>
          <w:rFonts w:ascii="Arial" w:cs="Arial" w:eastAsia="Arial" w:hAnsi="Arial"/>
          <w:sz w:val="15"/>
          <w:szCs w:val="15"/>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delivery has occurred, the price is fixed or determinable and collectability is reasonably assured. Contracts or customer purchase orders are used to determine the existence of an arrangement. Shipping documents and customer acceptance, when applicable, are used to verify delivery. We assess whether the price is fixed or determinable based on the payment terms associated with the transaction and whether the sales price is subject to refund or adjustment. We assess collectability based primarily on the creditworthiness of the customer as determined by credit checks and the customer's payment history. Customers are generally extended net 30 credit terms from the date of shipment, with some extension to net 60 credit terms for some more creditworthy customers.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 expense</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We issue stock options to employees, consultants and non-employee directors. Stock options are granted at or above fair market value on the date of the grant and generally vest over a four-year period. The fair market value of our stock has been historically determined by our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stock options were granted in 2012:</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Exercise</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5"/>
              <w:spacing w:after="0"/>
              <w:rPr>
                <w:sz w:val="20"/>
                <w:szCs w:val="20"/>
                <w:color w:val="auto"/>
              </w:rPr>
            </w:pPr>
            <w:r>
              <w:rPr>
                <w:rFonts w:ascii="Arial" w:cs="Arial" w:eastAsia="Arial" w:hAnsi="Arial"/>
                <w:sz w:val="13"/>
                <w:szCs w:val="13"/>
                <w:b w:val="1"/>
                <w:bCs w:val="1"/>
                <w:color w:val="auto"/>
                <w:w w:val="93"/>
              </w:rPr>
              <w:t>Fair value of</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Fair value of</w:t>
            </w:r>
          </w:p>
        </w:tc>
      </w:tr>
      <w:tr>
        <w:trPr>
          <w:trHeight w:val="144"/>
        </w:trPr>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208"/>
              <w:spacing w:after="0" w:line="144" w:lineRule="exact"/>
              <w:rPr>
                <w:sz w:val="20"/>
                <w:szCs w:val="20"/>
                <w:color w:val="auto"/>
              </w:rPr>
            </w:pPr>
            <w:r>
              <w:rPr>
                <w:rFonts w:ascii="Arial" w:cs="Arial" w:eastAsia="Arial" w:hAnsi="Arial"/>
                <w:sz w:val="13"/>
                <w:szCs w:val="13"/>
                <w:b w:val="1"/>
                <w:bCs w:val="1"/>
                <w:color w:val="auto"/>
              </w:rPr>
              <w:t>Stock Option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89"/>
              </w:rPr>
              <w:t>price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93"/>
              </w:rPr>
              <w:t>underlying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option</w:t>
            </w:r>
          </w:p>
        </w:tc>
      </w:tr>
      <w:tr>
        <w:trPr>
          <w:trHeight w:val="157"/>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 date</w:t>
            </w: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Shares Granted</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8"/>
              </w:rPr>
              <w:t>per share</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8"/>
              </w:rPr>
              <w:t>security</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2"/>
              </w:rPr>
              <w:t>granted</w:t>
            </w:r>
          </w:p>
        </w:tc>
        <w:tc>
          <w:tcPr>
            <w:tcW w:w="200" w:type="dxa"/>
            <w:vAlign w:val="bottom"/>
          </w:tcPr>
          <w:p>
            <w:pPr>
              <w:spacing w:after="0"/>
              <w:rPr>
                <w:sz w:val="13"/>
                <w:szCs w:val="13"/>
                <w:color w:val="auto"/>
              </w:rPr>
            </w:pPr>
          </w:p>
        </w:tc>
      </w:tr>
      <w:tr>
        <w:trPr>
          <w:trHeight w:val="203"/>
        </w:trPr>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February 10,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5,626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5.04333</w:t>
            </w:r>
          </w:p>
        </w:tc>
        <w:tc>
          <w:tcPr>
            <w:tcW w:w="200" w:type="dxa"/>
            <w:vAlign w:val="bottom"/>
            <w:shd w:val="clear" w:color="auto" w:fill="CCEEFF"/>
          </w:tcPr>
          <w:p>
            <w:pPr>
              <w:spacing w:after="0"/>
              <w:rPr>
                <w:sz w:val="17"/>
                <w:szCs w:val="17"/>
                <w:color w:val="auto"/>
              </w:rPr>
            </w:pPr>
          </w:p>
        </w:tc>
      </w:tr>
      <w:tr>
        <w:trPr>
          <w:trHeight w:val="210"/>
        </w:trPr>
        <w:tc>
          <w:tcPr>
            <w:tcW w:w="1820" w:type="dxa"/>
            <w:vAlign w:val="bottom"/>
          </w:tcPr>
          <w:p>
            <w:pPr>
              <w:jc w:val="center"/>
              <w:spacing w:after="0"/>
              <w:rPr>
                <w:sz w:val="20"/>
                <w:szCs w:val="20"/>
                <w:color w:val="auto"/>
              </w:rPr>
            </w:pPr>
            <w:r>
              <w:rPr>
                <w:rFonts w:ascii="Arial" w:cs="Arial" w:eastAsia="Arial" w:hAnsi="Arial"/>
                <w:sz w:val="17"/>
                <w:szCs w:val="17"/>
                <w:color w:val="auto"/>
                <w:w w:val="91"/>
              </w:rPr>
              <w:t>May 22, 2012</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68,326</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6.00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6.00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5.03745</w:t>
            </w:r>
          </w:p>
        </w:tc>
        <w:tc>
          <w:tcPr>
            <w:tcW w:w="200" w:type="dxa"/>
            <w:vAlign w:val="bottom"/>
          </w:tcPr>
          <w:p>
            <w:pPr>
              <w:spacing w:after="0"/>
              <w:rPr>
                <w:sz w:val="18"/>
                <w:szCs w:val="18"/>
                <w:color w:val="auto"/>
              </w:rPr>
            </w:pPr>
          </w:p>
        </w:tc>
      </w:tr>
      <w:tr>
        <w:trPr>
          <w:trHeight w:val="210"/>
        </w:trPr>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November 13, 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14,299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5.02401</w:t>
            </w:r>
          </w:p>
        </w:tc>
        <w:tc>
          <w:tcPr>
            <w:tcW w:w="200" w:type="dxa"/>
            <w:vAlign w:val="bottom"/>
            <w:shd w:val="clear" w:color="auto" w:fill="CCEEFF"/>
          </w:tcPr>
          <w:p>
            <w:pPr>
              <w:spacing w:after="0"/>
              <w:rPr>
                <w:sz w:val="18"/>
                <w:szCs w:val="18"/>
                <w:color w:val="auto"/>
              </w:rPr>
            </w:pPr>
          </w:p>
        </w:tc>
      </w:tr>
      <w:tr>
        <w:trPr>
          <w:trHeight w:val="26"/>
        </w:trPr>
        <w:tc>
          <w:tcPr>
            <w:tcW w:w="18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88,251</w:t>
            </w: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granting options at $6.00 per share on February 10, 2012, the primary valuation factors considered by our board of directors were:</w:t>
      </w:r>
    </w:p>
    <w:p>
      <w:pPr>
        <w:spacing w:after="0" w:line="237" w:lineRule="exact"/>
        <w:rPr>
          <w:sz w:val="20"/>
          <w:szCs w:val="20"/>
          <w:color w:val="auto"/>
        </w:rPr>
      </w:pPr>
    </w:p>
    <w:p>
      <w:pPr>
        <w:ind w:left="1060" w:right="60" w:hanging="531"/>
        <w:spacing w:after="0" w:line="322" w:lineRule="auto"/>
        <w:tabs>
          <w:tab w:leader="none" w:pos="10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price per share of $7.50 at which we had sold shares of our Series F preferred stock to third party investors during March 2009, and more recently, the price per share at which we sold our shares of Series G preferred stock during December of 2011 (at a price of $10.50 per share in 2012), given that most of the investors who had participated in our Series F private placement in 2009 also participated in our Series G private placement in late 2011;</w:t>
      </w:r>
    </w:p>
    <w:p>
      <w:pPr>
        <w:spacing w:after="0" w:line="170" w:lineRule="exact"/>
        <w:rPr>
          <w:rFonts w:ascii="Arial" w:cs="Arial" w:eastAsia="Arial" w:hAnsi="Arial"/>
          <w:sz w:val="15"/>
          <w:szCs w:val="15"/>
          <w:color w:val="auto"/>
        </w:rPr>
      </w:pPr>
    </w:p>
    <w:p>
      <w:pPr>
        <w:ind w:left="1060" w:right="340" w:hanging="531"/>
        <w:spacing w:after="0" w:line="28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losses that had been incurred in 2010 and increasing losses in 2011, and the likelihood that we would achieve our forecasted revenue during the remainder of 2012; and</w:t>
      </w:r>
    </w:p>
    <w:p>
      <w:pPr>
        <w:spacing w:after="0" w:line="182" w:lineRule="exact"/>
        <w:rPr>
          <w:rFonts w:ascii="Arial" w:cs="Arial" w:eastAsia="Arial" w:hAnsi="Arial"/>
          <w:sz w:val="17"/>
          <w:szCs w:val="17"/>
          <w:color w:val="auto"/>
        </w:rPr>
      </w:pPr>
    </w:p>
    <w:p>
      <w:pPr>
        <w:ind w:left="1060" w:right="380" w:hanging="531"/>
        <w:spacing w:after="0" w:line="270"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valuation that had been established as of March 31, 2009 providing for a valuation of $1.20 per share of common stock, using the Probability Weighted Expected Return, or PWERM method, our estimated weighted average cost of capital and a lack of marketability discount. Our board of directors considered the 2009 valuation relevant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early 2012 because it was the most recent valuation period during which there had also been a third party appraisal by a valuation expert.</w:t>
      </w:r>
    </w:p>
    <w:p>
      <w:pPr>
        <w:spacing w:after="0" w:line="224" w:lineRule="exact"/>
        <w:rPr>
          <w:sz w:val="20"/>
          <w:szCs w:val="20"/>
          <w:color w:val="auto"/>
        </w:rPr>
      </w:pPr>
    </w:p>
    <w:p>
      <w:pPr>
        <w:ind w:right="120" w:firstLine="338"/>
        <w:spacing w:after="0" w:line="263" w:lineRule="auto"/>
        <w:rPr>
          <w:sz w:val="20"/>
          <w:szCs w:val="20"/>
          <w:color w:val="auto"/>
        </w:rPr>
      </w:pPr>
      <w:r>
        <w:rPr>
          <w:rFonts w:ascii="Arial" w:cs="Arial" w:eastAsia="Arial" w:hAnsi="Arial"/>
          <w:sz w:val="17"/>
          <w:szCs w:val="17"/>
          <w:color w:val="auto"/>
        </w:rPr>
        <w:t>The PWERM method estimates the value of the common stock based upon an analysis of future values for the enterprise assuming various future outcomes. The concluded share value is based on the probability weighted present value of expected future investment returns, considering each of the possible future outcomes available to the enterprise as well as the claims of each share class on our equity value. The valuation utilized the income approach (or discounted cash flow method) and the market approach (the guideline public company method and the similar transactions method). Both approaches capture the total value of our operations, including any goodwill or intangible value that may be present.</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In the February 10, 2012 valuation of our common stock, our board of directors also considered the additional rights and preferences granted to holders of series F and G preferred stock in comparison to our common stock. Our board of directors took into consideration the negative cash flow that had been sustained in 2011 and the first month of 2012, an increasing debt burden, and the lack of cash available for working capital. Based upon our analysis, and the facts and circumstances as of February 10, 2012, the fair market value of our common stock was determined to be $6.00 per share.</w:t>
      </w:r>
    </w:p>
    <w:p>
      <w:pPr>
        <w:spacing w:after="0" w:line="185"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In granting options on May 22, 2012, the primary valuation factors considered by our board of directors were: the analysis performed as of March 31, 2009, factors considered and the price that had been established for the February 10, 2012 grants; the price per share at which we had sold shares of our Series G preferred stock in early 2012; the price pressure that had been exerted by investors during our Series G preferred stock fundraising efforts; and management's expectations that we would achieve our forecasted revenue during the remainder of 2012. Based upon our analysis, and the facts and circumstances as of May 22, 2012, the fair market value of our common stock was determined to be $6.00 per share.</w:t>
      </w:r>
    </w:p>
    <w:p>
      <w:pPr>
        <w:spacing w:after="0" w:line="187"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color w:val="auto"/>
        </w:rPr>
        <w:t>In granting options at $6.00 per share on November 13, 2012, the primary valuation factors considered by our board of directors were: the analysis that was performed as of March 31, 2009; the price that had been established on February 10, 2012 and May 22, 2012; the price per share at which we had sold shares of our Series G preferred stock in September 2012, which was $10.50 per share; and the revenue, operating profit and net income (loss) derived in prior periods in 2012. Based upon our analysis, and the facts and circumstances as of November 13, 2012, the fair market value of our common stock was determined to be $6.00 per share.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stock options were granted in the six months ended June 30, 2013:</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234"/>
              <w:spacing w:after="0"/>
              <w:rPr>
                <w:sz w:val="20"/>
                <w:szCs w:val="20"/>
                <w:color w:val="auto"/>
              </w:rPr>
            </w:pPr>
            <w:r>
              <w:rPr>
                <w:rFonts w:ascii="Arial" w:cs="Arial" w:eastAsia="Arial" w:hAnsi="Arial"/>
                <w:sz w:val="13"/>
                <w:szCs w:val="13"/>
                <w:b w:val="1"/>
                <w:bCs w:val="1"/>
                <w:color w:val="auto"/>
              </w:rPr>
              <w:t>Stock Option</w:t>
            </w:r>
          </w:p>
        </w:tc>
        <w:tc>
          <w:tcPr>
            <w:tcW w:w="38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Exercise price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01"/>
              <w:spacing w:after="0"/>
              <w:rPr>
                <w:sz w:val="20"/>
                <w:szCs w:val="20"/>
                <w:color w:val="auto"/>
              </w:rPr>
            </w:pPr>
            <w:r>
              <w:rPr>
                <w:rFonts w:ascii="Arial" w:cs="Arial" w:eastAsia="Arial" w:hAnsi="Arial"/>
                <w:sz w:val="13"/>
                <w:szCs w:val="13"/>
                <w:b w:val="1"/>
                <w:bCs w:val="1"/>
                <w:color w:val="auto"/>
              </w:rPr>
              <w:t>Fair value of</w:t>
            </w:r>
          </w:p>
        </w:tc>
        <w:tc>
          <w:tcPr>
            <w:tcW w:w="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of option</w:t>
            </w:r>
          </w:p>
        </w:tc>
      </w:tr>
      <w:tr>
        <w:trPr>
          <w:trHeight w:val="157"/>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 date</w:t>
            </w:r>
          </w:p>
        </w:tc>
        <w:tc>
          <w:tcPr>
            <w:tcW w:w="400" w:type="dxa"/>
            <w:vAlign w:val="bottom"/>
          </w:tcPr>
          <w:p>
            <w:pPr>
              <w:spacing w:after="0"/>
              <w:rPr>
                <w:sz w:val="13"/>
                <w:szCs w:val="13"/>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 Granted</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per share</w:t>
            </w:r>
          </w:p>
        </w:tc>
        <w:tc>
          <w:tcPr>
            <w:tcW w:w="400" w:type="dxa"/>
            <w:vAlign w:val="bottom"/>
          </w:tcPr>
          <w:p>
            <w:pPr>
              <w:spacing w:after="0"/>
              <w:rPr>
                <w:sz w:val="13"/>
                <w:szCs w:val="13"/>
                <w:color w:val="auto"/>
              </w:rPr>
            </w:pPr>
          </w:p>
        </w:tc>
        <w:tc>
          <w:tcPr>
            <w:tcW w:w="12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3"/>
                <w:szCs w:val="13"/>
                <w:b w:val="1"/>
                <w:bCs w:val="1"/>
                <w:color w:val="auto"/>
                <w:w w:val="96"/>
              </w:rPr>
              <w:t>underlying security</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granted</w:t>
            </w:r>
          </w:p>
        </w:tc>
        <w:tc>
          <w:tcPr>
            <w:tcW w:w="200" w:type="dxa"/>
            <w:vAlign w:val="bottom"/>
          </w:tcPr>
          <w:p>
            <w:pPr>
              <w:spacing w:after="0"/>
              <w:rPr>
                <w:sz w:val="13"/>
                <w:szCs w:val="13"/>
                <w:color w:val="auto"/>
              </w:rPr>
            </w:pPr>
          </w:p>
        </w:tc>
      </w:tr>
      <w:tr>
        <w:trPr>
          <w:trHeight w:val="203"/>
        </w:trPr>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January 18, 2013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334,571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6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4.47351</w:t>
            </w:r>
          </w:p>
        </w:tc>
        <w:tc>
          <w:tcPr>
            <w:tcW w:w="200" w:type="dxa"/>
            <w:vAlign w:val="bottom"/>
            <w:shd w:val="clear" w:color="auto" w:fill="CCEEFF"/>
          </w:tcPr>
          <w:p>
            <w:pPr>
              <w:spacing w:after="0"/>
              <w:rPr>
                <w:sz w:val="17"/>
                <w:szCs w:val="17"/>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7"/>
                <w:szCs w:val="17"/>
                <w:color w:val="auto"/>
                <w:w w:val="95"/>
              </w:rPr>
              <w:t>April 12, 2013</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3,540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9.00</w:t>
            </w:r>
          </w:p>
        </w:tc>
        <w:tc>
          <w:tcPr>
            <w:tcW w:w="60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8.10</w:t>
            </w:r>
          </w:p>
        </w:tc>
        <w:tc>
          <w:tcPr>
            <w:tcW w:w="6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5.54247</w:t>
            </w:r>
          </w:p>
        </w:tc>
        <w:tc>
          <w:tcPr>
            <w:tcW w:w="20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338,111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
        </w:trPr>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To aid in our board of directors' determination of the fair market value of our common stock in January 2013 and April 2013, we engaged an independent appraisal firm to perform valuation studies to determine the fair market value of our common stock for financial reporting and stock option-pricing purposes. The valuations were to assist with regulations related to Internal Revenue Code 409A, Nonqualified Deferred Compensation and audit requirements related to Accounting Standards Codification, or ASC, 718, Compensation—Stock Compensation. ASC 718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is the new accounting nomenclature for the rules and guidelines previously addressed in Statement of Financial Accounting Standards No. 123R, Share-Based Payment. Detailed reports expressing their conclusions of fair market value on a non-controlling, non-marketable basis were issued with valuation dates as of December 31, 2012 and March 31, 2013. Since we contemplated an initial public offering, the appraisal firm utilized the PWERM method for equity allocation, considered more appropriate than the Option-Pricing Method or Current Value Method. Based upon our analyses, and the facts and circumstances as of the valuation date, the fair market value of our common stock was estimated to be $7.50 per share and $8.10 per share as of December 31, 2012 and March 31, 2013, respectively.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granting options at $7.50 per share in January 2013, the primary valuation factors considered by our board of directors were:</w:t>
      </w:r>
    </w:p>
    <w:p>
      <w:pPr>
        <w:spacing w:after="0" w:line="237"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enterprise value of $80.2 million as of December 31, 2012, which was determined using the PWERM;</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discount rate of 24.0%, based on our estimated weighted average cost of capital;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lack of marketability discount of 30.0%;</w:t>
      </w:r>
    </w:p>
    <w:p>
      <w:pPr>
        <w:spacing w:after="0" w:line="237" w:lineRule="exact"/>
        <w:rPr>
          <w:rFonts w:ascii="Arial" w:cs="Arial" w:eastAsia="Arial" w:hAnsi="Arial"/>
          <w:sz w:val="17"/>
          <w:szCs w:val="17"/>
          <w:color w:val="auto"/>
        </w:rPr>
      </w:pPr>
    </w:p>
    <w:p>
      <w:pPr>
        <w:ind w:left="1060" w:hanging="531"/>
        <w:spacing w:after="0" w:line="294"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liquidity event scenario probabilities of 60.0% for an initial public offering, 20.0% for a sale or merger and 20.0% for continuing as a private company —these probabilities used a 40.0% probability of an initial public offering occurring by September 2013 and a 20% probability of an initial public offering occurring between September and December 2013, and were based on a sale or merger occurring within three years;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price per share at which we had recently sold shares of our Series G preferred stock;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management's expectations that we would achieve forecasted revenue for the quarter ended March 31, 2013.</w:t>
      </w:r>
    </w:p>
    <w:p>
      <w:pPr>
        <w:spacing w:after="0" w:line="224" w:lineRule="exact"/>
        <w:rPr>
          <w:sz w:val="20"/>
          <w:szCs w:val="20"/>
          <w:color w:val="auto"/>
        </w:rPr>
      </w:pPr>
    </w:p>
    <w:p>
      <w:pPr>
        <w:ind w:right="300" w:firstLine="341"/>
        <w:spacing w:after="0" w:line="263" w:lineRule="auto"/>
        <w:rPr>
          <w:sz w:val="20"/>
          <w:szCs w:val="20"/>
          <w:color w:val="auto"/>
        </w:rPr>
      </w:pPr>
      <w:r>
        <w:rPr>
          <w:rFonts w:ascii="Arial" w:cs="Arial" w:eastAsia="Arial" w:hAnsi="Arial"/>
          <w:sz w:val="17"/>
          <w:szCs w:val="17"/>
          <w:color w:val="auto"/>
        </w:rPr>
        <w:t>Based upon these and other factors, our board of directors determined that the exercise price for options granted in January 2013 to be $7.50 per share. The increase in the price per share from $6.00 in November 2012 to $7.50 in January 2013 was driven primarily by the fact that we achieved record revenue and profitability in the fourth quarter of 2012 and resulting changes in the assumptions associated with valuation methodologies. Those included improvements in the overall economy and our financial results, improvements in the market performance of our comparable companies, and an increase in the probability of an initial public offering.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granting options at $9.00 per share in April 2013, the primary valuation factors considered by our board of directors were:</w:t>
      </w:r>
    </w:p>
    <w:p>
      <w:pPr>
        <w:spacing w:after="0" w:line="237" w:lineRule="exact"/>
        <w:rPr>
          <w:sz w:val="20"/>
          <w:szCs w:val="20"/>
          <w:color w:val="auto"/>
        </w:rPr>
      </w:pPr>
    </w:p>
    <w:p>
      <w:pPr>
        <w:ind w:left="1060" w:right="180" w:hanging="531"/>
        <w:spacing w:after="0" w:line="28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valuation that had been performed by a third party appraisal firm providing for an enterprise value of $91.5 million as of March 31, 2013, which was determined using the PWERM;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discount rate of 23.0%, based on our estimated weighted average cost of capital;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lack of marketability discount of 30.0%;</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94"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liquidity event scenario probabilities of 75.0% for an initial public offering, 20.0% for a sale or merger and 5.0% for continuing as a private company— these probabilities used a 60.0% probability of an initial public offering occurring by September 2013 and a 40% probability of an initial public offering occurring between September and December 2013, and were based on a sale or merger occurring within three years;</w:t>
      </w:r>
    </w:p>
    <w:p>
      <w:pPr>
        <w:spacing w:after="0" w:line="189" w:lineRule="exact"/>
        <w:rPr>
          <w:rFonts w:ascii="Arial" w:cs="Arial" w:eastAsia="Arial" w:hAnsi="Arial"/>
          <w:sz w:val="16"/>
          <w:szCs w:val="16"/>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valuation and analysis performed as of December 31, 2012 and subsequent stock option grants in January 2013;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results achieved for the quarter ended March 31, 2013 and the likelihood that we would attain our goals for the remainder of 2013.</w:t>
      </w:r>
    </w:p>
    <w:p>
      <w:pPr>
        <w:spacing w:after="0" w:line="224"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Based upon these and other factors, our board of directors determined that the exercise price for options granted in April 2013 to be $9.00 per share. The increase in price per share from $7.50 in January 2013 to $9.00 in April 2013 was driven primarily by the changes in the assumptions associated with valuation methodologies, notably a 1% decrease in the discount rate because of changes in the overall economy and improvement in the market performance of comparable companies, and an increase in the probability of an initial public offering from 60% to 75%.</w:t>
      </w:r>
    </w:p>
    <w:p>
      <w:pPr>
        <w:spacing w:after="0" w:line="185" w:lineRule="exact"/>
        <w:rPr>
          <w:sz w:val="20"/>
          <w:szCs w:val="20"/>
          <w:color w:val="auto"/>
        </w:rPr>
      </w:pPr>
    </w:p>
    <w:p>
      <w:pPr>
        <w:ind w:right="480" w:firstLine="338"/>
        <w:spacing w:after="0" w:line="282" w:lineRule="auto"/>
        <w:rPr>
          <w:sz w:val="20"/>
          <w:szCs w:val="20"/>
          <w:color w:val="auto"/>
        </w:rPr>
      </w:pPr>
      <w:r>
        <w:rPr>
          <w:rFonts w:ascii="Arial" w:cs="Arial" w:eastAsia="Arial" w:hAnsi="Arial"/>
          <w:sz w:val="17"/>
          <w:szCs w:val="17"/>
          <w:color w:val="auto"/>
        </w:rPr>
        <w:t>The increase in valuation from the fair value determination used for our grant of stock options in April 2013 to the price range included on the cover of this prospectus results primarily from the following factors:</w:t>
      </w:r>
    </w:p>
    <w:p>
      <w:pPr>
        <w:spacing w:after="0" w:line="183" w:lineRule="exact"/>
        <w:rPr>
          <w:sz w:val="20"/>
          <w:szCs w:val="20"/>
          <w:color w:val="auto"/>
        </w:rPr>
      </w:pPr>
    </w:p>
    <w:p>
      <w:pPr>
        <w:ind w:left="1060" w:right="60" w:hanging="531"/>
        <w:spacing w:after="0" w:line="270"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Increase in Comparable Company Valuations. </w:t>
      </w:r>
      <w:r>
        <w:rPr>
          <w:rFonts w:ascii="Arial" w:cs="Arial" w:eastAsia="Arial" w:hAnsi="Arial"/>
          <w:sz w:val="17"/>
          <w:szCs w:val="17"/>
          <w:color w:val="auto"/>
        </w:rPr>
        <w:t>Comparable companies within the optical products market experienced a significant upturn in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second and third quarters of 2013. This increase in stock price and forward valuation occurred over a short period of time and provided a corresponding increase in our anticipated valuation in this offering.</w:t>
      </w:r>
    </w:p>
    <w:p>
      <w:pPr>
        <w:spacing w:after="0" w:line="205" w:lineRule="exact"/>
        <w:rPr>
          <w:rFonts w:ascii="Arial" w:cs="Arial" w:eastAsia="Arial" w:hAnsi="Arial"/>
          <w:sz w:val="17"/>
          <w:szCs w:val="17"/>
          <w:color w:val="auto"/>
        </w:rPr>
      </w:pPr>
    </w:p>
    <w:p>
      <w:pPr>
        <w:ind w:left="1060" w:hanging="531"/>
        <w:spacing w:after="0" w:line="265"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IPO Scenario Probability. </w:t>
      </w:r>
      <w:r>
        <w:rPr>
          <w:rFonts w:ascii="Arial" w:cs="Arial" w:eastAsia="Arial" w:hAnsi="Arial"/>
          <w:sz w:val="17"/>
          <w:szCs w:val="17"/>
          <w:color w:val="auto"/>
        </w:rPr>
        <w:t>Our board of directors and the third party valuation reports, when applying the PWERM for the December 31, 2012 and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2013 valuations, assumed that there was a 60% and 75% probability, respectively, of an initial public offering occurring by September 2013. The price range on the cover of this prospectus assumes the successful completion of a public offering (i.e., 100% probability), resulting in an increased common stock valuation compared to the prior valuations.</w:t>
      </w:r>
    </w:p>
    <w:p>
      <w:pPr>
        <w:spacing w:after="0" w:line="198" w:lineRule="exact"/>
        <w:rPr>
          <w:rFonts w:ascii="Arial" w:cs="Arial" w:eastAsia="Arial" w:hAnsi="Arial"/>
          <w:sz w:val="17"/>
          <w:szCs w:val="17"/>
          <w:color w:val="auto"/>
        </w:rPr>
      </w:pPr>
    </w:p>
    <w:p>
      <w:pPr>
        <w:ind w:left="1060" w:right="40" w:hanging="531"/>
        <w:spacing w:after="0" w:line="26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Enhanced Liquidity and Marketability of Our Common Stock. </w:t>
      </w:r>
      <w:r>
        <w:rPr>
          <w:rFonts w:ascii="Arial" w:cs="Arial" w:eastAsia="Arial" w:hAnsi="Arial"/>
          <w:sz w:val="17"/>
          <w:szCs w:val="17"/>
          <w:color w:val="auto"/>
        </w:rPr>
        <w:t>The valuation of our common stock as determined by our board of directors 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2013 and April 2013 reflected the illiquidity of our common stock on those dates and the uncertainty of our initial public offering. The valuation reflected in the price range set forth on the cover of this prospectus assumes a successful public offering and represents an estimate of the fair value of the unrestricted, freely tradable stock that would be sold in the offering without liquidity and marketability discounts. The prior valuations assumed a 30% discount for lack of marketability. Removal of this discount because of an initial public offering would increase the overall valuation, all other factors being equal.</w:t>
      </w:r>
    </w:p>
    <w:p>
      <w:pPr>
        <w:spacing w:after="0" w:line="201" w:lineRule="exact"/>
        <w:rPr>
          <w:rFonts w:ascii="Arial" w:cs="Arial" w:eastAsia="Arial" w:hAnsi="Arial"/>
          <w:sz w:val="17"/>
          <w:szCs w:val="17"/>
          <w:color w:val="auto"/>
        </w:rPr>
      </w:pPr>
    </w:p>
    <w:p>
      <w:pPr>
        <w:ind w:left="1060" w:right="140" w:hanging="531"/>
        <w:spacing w:after="0" w:line="294"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Preferred Stock. </w:t>
      </w:r>
      <w:r>
        <w:rPr>
          <w:rFonts w:ascii="Arial" w:cs="Arial" w:eastAsia="Arial" w:hAnsi="Arial"/>
          <w:sz w:val="16"/>
          <w:szCs w:val="16"/>
          <w:color w:val="auto"/>
        </w:rPr>
        <w:t>The holders of our preferred stock currently enjoy substantial economic rights and preferences over the holders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Since our preferred stock will automatically convert to common stock upon completion of this offering, we will no longer have outstanding preferred stock with preferences and anti-dilution restrictions. The corresponding elimination of the preferences and rights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enjoyed by the holders of such preferred stock results in an increased common stock valuation.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Intrinsic Value of Options</w:t>
      </w:r>
    </w:p>
    <w:p>
      <w:pPr>
        <w:spacing w:after="0" w:line="224" w:lineRule="exact"/>
        <w:rPr>
          <w:sz w:val="20"/>
          <w:szCs w:val="20"/>
          <w:color w:val="auto"/>
        </w:rPr>
      </w:pPr>
    </w:p>
    <w:p>
      <w:pPr>
        <w:ind w:right="300" w:firstLine="338"/>
        <w:spacing w:after="0" w:line="282" w:lineRule="auto"/>
        <w:rPr>
          <w:sz w:val="20"/>
          <w:szCs w:val="20"/>
          <w:color w:val="auto"/>
        </w:rPr>
      </w:pPr>
      <w:r>
        <w:rPr>
          <w:rFonts w:ascii="Arial" w:cs="Arial" w:eastAsia="Arial" w:hAnsi="Arial"/>
          <w:sz w:val="17"/>
          <w:szCs w:val="17"/>
          <w:color w:val="auto"/>
        </w:rPr>
        <w:t>The following table shows the intrinsic value of our outstanding vested and unvested stock options as of June 30, 2013, based upon the initial public offering price of $14.00 per share, which is the midpoint of the estimated price range shown on the cover page of this prospectus.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7"/>
          </w:tcPr>
          <w:p>
            <w:pPr>
              <w:ind w:left="120"/>
              <w:spacing w:after="0"/>
              <w:rPr>
                <w:sz w:val="20"/>
                <w:szCs w:val="20"/>
                <w:color w:val="auto"/>
              </w:rPr>
            </w:pPr>
            <w:r>
              <w:rPr>
                <w:rFonts w:ascii="Arial" w:cs="Arial" w:eastAsia="Arial" w:hAnsi="Arial"/>
                <w:sz w:val="13"/>
                <w:szCs w:val="13"/>
                <w:b w:val="1"/>
                <w:bCs w:val="1"/>
                <w:color w:val="auto"/>
              </w:rPr>
              <w:t>Intrinsic Value</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Underlying Options</w:t>
            </w: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vested options outstanding</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263,457</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6100" w:type="dxa"/>
            <w:vAlign w:val="bottom"/>
            <w:gridSpan w:val="3"/>
          </w:tcPr>
          <w:p>
            <w:pPr>
              <w:ind w:left="1040"/>
              <w:spacing w:after="0"/>
              <w:rPr>
                <w:sz w:val="20"/>
                <w:szCs w:val="20"/>
                <w:color w:val="auto"/>
              </w:rPr>
            </w:pPr>
            <w:r>
              <w:rPr>
                <w:rFonts w:ascii="Arial" w:cs="Arial" w:eastAsia="Arial" w:hAnsi="Arial"/>
                <w:sz w:val="17"/>
                <w:szCs w:val="17"/>
                <w:color w:val="auto"/>
              </w:rPr>
              <w:t>Total unvested options outstanding</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472,681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3,273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38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040" w:type="dxa"/>
            <w:vAlign w:val="bottom"/>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options outstanding</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736,138</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5,408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100" w:type="dxa"/>
            <w:vAlign w:val="bottom"/>
            <w:gridSpan w:val="3"/>
            <w:vMerge w:val="restart"/>
          </w:tcPr>
          <w:p>
            <w:pPr>
              <w:spacing w:after="0"/>
              <w:rPr>
                <w:sz w:val="20"/>
                <w:szCs w:val="20"/>
                <w:color w:val="auto"/>
              </w:rPr>
            </w:pPr>
            <w:r>
              <w:rPr>
                <w:rFonts w:ascii="Arial" w:cs="Arial" w:eastAsia="Arial" w:hAnsi="Arial"/>
                <w:sz w:val="17"/>
                <w:szCs w:val="17"/>
                <w:color w:val="auto"/>
              </w:rPr>
              <w:t>Our stock-based compensation expense was recorded as follows:</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8"/>
          </w:tcPr>
          <w:p>
            <w:pPr>
              <w:jc w:val="center"/>
              <w:ind w:right="520"/>
              <w:spacing w:after="0"/>
              <w:rPr>
                <w:sz w:val="20"/>
                <w:szCs w:val="20"/>
                <w:color w:val="auto"/>
              </w:rPr>
            </w:pPr>
            <w:r>
              <w:rPr>
                <w:rFonts w:ascii="Arial" w:cs="Arial" w:eastAsia="Arial" w:hAnsi="Arial"/>
                <w:sz w:val="13"/>
                <w:szCs w:val="13"/>
                <w:b w:val="1"/>
                <w:bCs w:val="1"/>
                <w:color w:val="auto"/>
                <w:w w:val="88"/>
              </w:rPr>
              <w:t>Six months</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5"/>
          </w:tcPr>
          <w:p>
            <w:pPr>
              <w:jc w:val="center"/>
              <w:ind w:right="20"/>
              <w:spacing w:after="0" w:line="144" w:lineRule="exact"/>
              <w:rPr>
                <w:sz w:val="20"/>
                <w:szCs w:val="20"/>
                <w:color w:val="auto"/>
              </w:rPr>
            </w:pPr>
            <w:r>
              <w:rPr>
                <w:rFonts w:ascii="Arial" w:cs="Arial" w:eastAsia="Arial" w:hAnsi="Arial"/>
                <w:sz w:val="13"/>
                <w:szCs w:val="13"/>
                <w:b w:val="1"/>
                <w:bCs w:val="1"/>
                <w:color w:val="auto"/>
                <w:w w:val="87"/>
              </w:rPr>
              <w:t>Years 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June 30,</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5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vMerge w:val="restart"/>
          </w:tcPr>
          <w:p>
            <w:pPr>
              <w:spacing w:after="0"/>
              <w:rPr>
                <w:sz w:val="20"/>
                <w:szCs w:val="20"/>
                <w:color w:val="auto"/>
              </w:rPr>
            </w:pPr>
            <w:r>
              <w:rPr>
                <w:rFonts w:ascii="Arial" w:cs="Arial" w:eastAsia="Arial" w:hAnsi="Arial"/>
                <w:sz w:val="13"/>
                <w:szCs w:val="13"/>
                <w:b w:val="1"/>
                <w:bCs w:val="1"/>
                <w:color w:val="auto"/>
                <w:w w:val="87"/>
              </w:rPr>
              <w:t>(in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6"/>
                <w:szCs w:val="16"/>
                <w:color w:val="auto"/>
              </w:rPr>
            </w:pPr>
          </w:p>
        </w:tc>
        <w:tc>
          <w:tcPr>
            <w:tcW w:w="44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2012</w:t>
            </w:r>
          </w:p>
        </w:tc>
        <w:tc>
          <w:tcPr>
            <w:tcW w:w="660" w:type="dxa"/>
            <w:vAlign w:val="bottom"/>
            <w:gridSpan w:val="3"/>
          </w:tcPr>
          <w:p>
            <w:pPr>
              <w:jc w:val="right"/>
              <w:ind w:right="3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tcBorders>
              <w:top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1"/>
              </w:rPr>
              <w:t>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240</w:t>
            </w: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We follow ASC 718, the authoritative accounting guidance for stock-based compensation expense, which requires companies to measure the cost of employee stock options at the date of the grant.</w:t>
      </w:r>
    </w:p>
    <w:p>
      <w:pPr>
        <w:spacing w:after="0" w:line="170"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Our determination of the fair value of stock-based payment awards on the measurement date utilizes the Black-Scholes option-pricing model, which requires the use of assumptions. For the years ended December 31, 2010, 2011 and 2012, and for the six months ended June 30, 2013, we used the following assumptions to calculate the fair value of stock options: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Years 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3"/>
          </w:tcPr>
          <w:p>
            <w:pPr>
              <w:jc w:val="center"/>
              <w:ind w:right="20"/>
              <w:spacing w:after="0" w:line="131" w:lineRule="exact"/>
              <w:rPr>
                <w:sz w:val="20"/>
                <w:szCs w:val="20"/>
                <w:color w:val="auto"/>
              </w:rPr>
            </w:pPr>
            <w:r>
              <w:rPr>
                <w:rFonts w:ascii="Arial" w:cs="Arial" w:eastAsia="Arial" w:hAnsi="Arial"/>
                <w:sz w:val="13"/>
                <w:szCs w:val="13"/>
                <w:b w:val="1"/>
                <w:bCs w:val="1"/>
                <w:color w:val="auto"/>
                <w:w w:val="89"/>
              </w:rPr>
              <w:t>December 31,</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98"/>
        </w:trPr>
        <w:tc>
          <w:tcPr>
            <w:tcW w:w="4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1.72%</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2.32%</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1.01%</w:t>
            </w:r>
          </w:p>
        </w:tc>
        <w:tc>
          <w:tcPr>
            <w:tcW w:w="1280" w:type="dxa"/>
            <w:vAlign w:val="bottom"/>
          </w:tcPr>
          <w:p>
            <w:pPr>
              <w:jc w:val="right"/>
              <w:spacing w:after="0"/>
              <w:rPr>
                <w:sz w:val="20"/>
                <w:szCs w:val="20"/>
                <w:color w:val="auto"/>
              </w:rPr>
            </w:pPr>
            <w:r>
              <w:rPr>
                <w:rFonts w:ascii="Arial" w:cs="Arial" w:eastAsia="Arial" w:hAnsi="Arial"/>
                <w:sz w:val="17"/>
                <w:szCs w:val="17"/>
                <w:color w:val="auto"/>
              </w:rPr>
              <w:t>0.96% to 2.47%</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62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Estimated forfeitures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As there was no trading value for our common stock prior to this offering, the expected volatility of stock options granted to date was derived from an analysis of reported data for a peer group of companies that issued stock options with similar terms. The expected volatility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has been determined using an average of the expected volatility reported by these peer companies during the period. The expected term of the stock options has been determined utilizing the simplified method, which calculated a simple average based on vesting period and option life. We do not anticipate paying dividends in the near future. Estimated forfeitures are based on historical experience and future work force projections. We will revise the estimates, if necessary, in subsequent periods, if actual forfeitures differ from our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w:t>
      </w:r>
    </w:p>
    <w:p>
      <w:pPr>
        <w:spacing w:after="0" w:line="224" w:lineRule="exact"/>
        <w:rPr>
          <w:sz w:val="20"/>
          <w:szCs w:val="20"/>
          <w:color w:val="auto"/>
        </w:rPr>
      </w:pPr>
    </w:p>
    <w:p>
      <w:pPr>
        <w:ind w:right="60" w:firstLine="341"/>
        <w:spacing w:after="0" w:line="311" w:lineRule="auto"/>
        <w:rPr>
          <w:sz w:val="20"/>
          <w:szCs w:val="20"/>
          <w:color w:val="auto"/>
        </w:rPr>
      </w:pPr>
      <w:r>
        <w:rPr>
          <w:rFonts w:ascii="Arial" w:cs="Arial" w:eastAsia="Arial" w:hAnsi="Arial"/>
          <w:sz w:val="15"/>
          <w:szCs w:val="15"/>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55"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2012 or 2011. During 2010, we recorded an asset impairment charge of $0.5 million related to equipment in China that was no longer useful in the manufacturing process and therefore without value.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inventories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Inventories are stated at the lower of cost (average-cost method) or market. Work in process and finished goods includes materials, labor and allocated overhead.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We assess the valuation of our inventory on a periodic basis and provide an allowance for the value of estimated excess and obsolete inventory based on estimates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future demand. During the years ended December 31, 2012, 2011 and 2010, we recorded excess and obsolete inventory charges of $0.9 million, $1.6 million,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$0.6 million, respectively. Of the $1.6 million in inventory reserves during 2011, $1.0 million was recorded in the fourth quarter of 2011 and was associated with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application of our inventory reserve policy.</w:t>
      </w:r>
    </w:p>
    <w:p>
      <w:pPr>
        <w:spacing w:after="0" w:line="218" w:lineRule="exact"/>
        <w:rPr>
          <w:sz w:val="20"/>
          <w:szCs w:val="20"/>
          <w:color w:val="auto"/>
        </w:rPr>
      </w:pPr>
    </w:p>
    <w:p>
      <w:pPr>
        <w:jc w:val="both"/>
        <w:ind w:right="140" w:firstLine="341"/>
        <w:spacing w:after="0" w:line="265" w:lineRule="auto"/>
        <w:rPr>
          <w:sz w:val="20"/>
          <w:szCs w:val="20"/>
          <w:color w:val="auto"/>
        </w:rPr>
      </w:pPr>
      <w:r>
        <w:rPr>
          <w:rFonts w:ascii="Arial" w:cs="Arial" w:eastAsia="Arial" w:hAnsi="Arial"/>
          <w:sz w:val="17"/>
          <w:szCs w:val="17"/>
          <w:color w:val="auto"/>
        </w:rPr>
        <w:t>During 2011, we reviewed our inventory policy to determine if the existing reserve for obsolescence and loss was appropriate. The policy at the time provided reserves on a schedule that weighted inventory over a two year period, but the maximum reserve was 80% of inventory value, regardless of the age of inventory. We modified the policy to account for more distinct periods, and to fully reserve any inventory that was over two years old. The policy provides for aging of inventory as follows:</w:t>
      </w:r>
    </w:p>
    <w:p>
      <w:pPr>
        <w:spacing w:after="0" w:line="199"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Less than 360 days—10%</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Between 360 and 540 days—50%</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Between 540 and 720—80%</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Over 720 days—100%</w:t>
      </w:r>
    </w:p>
    <w:p>
      <w:pPr>
        <w:spacing w:after="0" w:line="224"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We considered the following factors in our determination of the appropriate reserve level: how often we buy material in bulk that lasts for more than 12 months of supply; changes in material costs over a 24 month period;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income taxes</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ind w:right="120" w:firstLine="338"/>
        <w:spacing w:after="0" w:line="303" w:lineRule="auto"/>
        <w:rPr>
          <w:sz w:val="20"/>
          <w:szCs w:val="20"/>
          <w:color w:val="auto"/>
        </w:rPr>
      </w:pPr>
      <w:r>
        <w:rPr>
          <w:rFonts w:ascii="Arial" w:cs="Arial" w:eastAsia="Arial" w:hAnsi="Arial"/>
          <w:sz w:val="15"/>
          <w:szCs w:val="15"/>
          <w:i w:val="1"/>
          <w:iCs w:val="1"/>
          <w:color w:val="auto"/>
        </w:rPr>
        <w:t xml:space="preserve">ASU 2011-04. </w:t>
      </w:r>
      <w:r>
        <w:rPr>
          <w:rFonts w:ascii="Arial" w:cs="Arial" w:eastAsia="Arial" w:hAnsi="Arial"/>
          <w:sz w:val="15"/>
          <w:szCs w:val="15"/>
          <w:color w:val="auto"/>
        </w:rPr>
        <w:t>In May 2011, the FASB issued ASU 2011-04,</w:t>
      </w:r>
      <w:r>
        <w:rPr>
          <w:rFonts w:ascii="Arial" w:cs="Arial" w:eastAsia="Arial" w:hAnsi="Arial"/>
          <w:sz w:val="15"/>
          <w:szCs w:val="15"/>
          <w:i w:val="1"/>
          <w:iCs w:val="1"/>
          <w:color w:val="auto"/>
        </w:rPr>
        <w:t xml:space="preserve"> Fair Value Measurement (Topic 820): Amendments to Achieve Common Fair Value Measurement and Disclosure Requirements in U.S. GAAP and IFRS</w:t>
      </w:r>
      <w:r>
        <w:rPr>
          <w:rFonts w:ascii="Arial" w:cs="Arial" w:eastAsia="Arial" w:hAnsi="Arial"/>
          <w:sz w:val="15"/>
          <w:szCs w:val="15"/>
          <w:color w:val="auto"/>
        </w:rPr>
        <w:t>. This ASU represents the converged guidance of the FASB and the IASB on measuring fair value and for</w:t>
      </w:r>
      <w:r>
        <w:rPr>
          <w:rFonts w:ascii="Arial" w:cs="Arial" w:eastAsia="Arial" w:hAnsi="Arial"/>
          <w:sz w:val="15"/>
          <w:szCs w:val="15"/>
          <w:i w:val="1"/>
          <w:iCs w:val="1"/>
          <w:color w:val="auto"/>
        </w:rPr>
        <w:t xml:space="preserve"> </w:t>
      </w:r>
      <w:r>
        <w:rPr>
          <w:rFonts w:ascii="Arial" w:cs="Arial" w:eastAsia="Arial" w:hAnsi="Arial"/>
          <w:sz w:val="15"/>
          <w:szCs w:val="15"/>
          <w:color w:val="auto"/>
        </w:rPr>
        <w:t>disclosing information about fair value measurements. The amendments in this ASU clarify our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We adopted the provisions of ASU 2011-04 on January 1, 2012, and the adoption of this standard did not have a material impact on our financial position, results of operations, or cash flows.</w:t>
      </w:r>
    </w:p>
    <w:p>
      <w:pPr>
        <w:spacing w:after="0" w:line="162" w:lineRule="exact"/>
        <w:rPr>
          <w:sz w:val="20"/>
          <w:szCs w:val="20"/>
          <w:color w:val="auto"/>
        </w:rPr>
      </w:pPr>
    </w:p>
    <w:p>
      <w:pPr>
        <w:ind w:right="60" w:firstLine="338"/>
        <w:spacing w:after="0" w:line="279" w:lineRule="auto"/>
        <w:rPr>
          <w:sz w:val="20"/>
          <w:szCs w:val="20"/>
          <w:color w:val="auto"/>
        </w:rPr>
      </w:pPr>
      <w:r>
        <w:rPr>
          <w:rFonts w:ascii="Arial" w:cs="Arial" w:eastAsia="Arial" w:hAnsi="Arial"/>
          <w:sz w:val="16"/>
          <w:szCs w:val="16"/>
          <w:i w:val="1"/>
          <w:iCs w:val="1"/>
          <w:color w:val="auto"/>
        </w:rPr>
        <w:t xml:space="preserve">ASU 2011-05. </w:t>
      </w:r>
      <w:r>
        <w:rPr>
          <w:rFonts w:ascii="Arial" w:cs="Arial" w:eastAsia="Arial" w:hAnsi="Arial"/>
          <w:sz w:val="16"/>
          <w:szCs w:val="16"/>
          <w:color w:val="auto"/>
        </w:rPr>
        <w:t>In June 2011, the FASB issued ASU 2011-05,</w:t>
      </w:r>
      <w:r>
        <w:rPr>
          <w:rFonts w:ascii="Arial" w:cs="Arial" w:eastAsia="Arial" w:hAnsi="Arial"/>
          <w:sz w:val="16"/>
          <w:szCs w:val="16"/>
          <w:i w:val="1"/>
          <w:iCs w:val="1"/>
          <w:color w:val="auto"/>
        </w:rPr>
        <w:t xml:space="preserve"> Comprehensive Income (Topic 220): Presentation of Comprehensive Income</w:t>
      </w:r>
      <w:r>
        <w:rPr>
          <w:rFonts w:ascii="Arial" w:cs="Arial" w:eastAsia="Arial" w:hAnsi="Arial"/>
          <w:sz w:val="16"/>
          <w:szCs w:val="16"/>
          <w:color w:val="auto"/>
        </w:rPr>
        <w:t>. The amendments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ASU 2011-05 should be applied retrospectively for interim and annual reporting periods beginning after December 15, 2011 with early adoption permitted. We early adopted the provisions of ASU 2011-05 during the fourth quarter of 2011, and the adoption of this standard did not have a material impact on our financial position, results of operations, or cash flows.</w:t>
      </w:r>
    </w:p>
    <w:p>
      <w:pPr>
        <w:spacing w:after="0" w:line="177"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i w:val="1"/>
          <w:iCs w:val="1"/>
          <w:color w:val="auto"/>
        </w:rPr>
        <w:t xml:space="preserve">ASU 2011-12. </w:t>
      </w:r>
      <w:r>
        <w:rPr>
          <w:rFonts w:ascii="Arial" w:cs="Arial" w:eastAsia="Arial" w:hAnsi="Arial"/>
          <w:sz w:val="16"/>
          <w:szCs w:val="16"/>
          <w:color w:val="auto"/>
        </w:rPr>
        <w:t>In December 2011, the FASB issued ASU 2011-12,</w:t>
      </w:r>
      <w:r>
        <w:rPr>
          <w:rFonts w:ascii="Arial" w:cs="Arial" w:eastAsia="Arial" w:hAnsi="Arial"/>
          <w:sz w:val="16"/>
          <w:szCs w:val="16"/>
          <w:i w:val="1"/>
          <w:iCs w:val="1"/>
          <w:color w:val="auto"/>
        </w:rPr>
        <w:t xml:space="preserve"> Deferral of the Effective Date for Amendment to the Presentation of Reclassifications of Items Out of Accumulated Other Comprehensive Income (Topic 220): Presentation of Comprehensive Income</w:t>
      </w:r>
      <w:r>
        <w:rPr>
          <w:rFonts w:ascii="Arial" w:cs="Arial" w:eastAsia="Arial" w:hAnsi="Arial"/>
          <w:sz w:val="16"/>
          <w:szCs w:val="16"/>
          <w:color w:val="auto"/>
        </w:rPr>
        <w:t>. This ASU defers the guidance on whether to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to present reclassification adjustments out of accumulated other comprehensive income by component in both the statement where net 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of ASU 2011-05. ASU 2011-12 should be applied consistently with ASU 2011-05; accordingly, this ASU is to be applied retrospectively for interim and annual reporting periods beginning after December 15, 2011, with early adoption permitted. We early adopted the provisions of ASU 2011-12 during the fourth quarter of 2011, and the adoption of this standard did not have a material impact on our financial position, results of operations, or cash flows.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We are a leading, vertically integrated provider of fiber-optic networking products. We target three networking end-markets: CATV, FTTH and internet data centers.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FTTH and internet data center markets which increasingly demand faster connectivity and innovation. In 2012, our products were used by the five largest CATV OEMs, consisting of Arris Group Inc., Aurora Networks, Inc., Cisco Systems, Inc., Harmonic Inc. and Motorola Mobility Holdings, Inc. and sales to such customers represented an aggregate of 42.5% of our total revenue in 2012. Specifically, in 2012, Cisco Systems, Inc. accounted for 33.2% of our revenue and the other four largest CATV OEMs accounted for an aggregate of 9.3% of our revenue. In addition to our OEM customers, Biogenomics Corp., a distributor, represented 11.2% of our revenue in 2012. The two customers that contributed most to our revenue in the FTTH market in 2012 were Genexis B.V. and Askey, which accounted for 3.4% and 1.1% of our total revenue, respectively. In 2012, the two customers that contributed most to our revenue in the internet data center market were Microsoft Corporation and a leading internet retail company, which accounted for 2.6% and 5.7% of our total revenue, respectively.</w:t>
      </w:r>
    </w:p>
    <w:p>
      <w:pPr>
        <w:spacing w:after="0" w:line="179" w:lineRule="exact"/>
        <w:rPr>
          <w:sz w:val="20"/>
          <w:szCs w:val="20"/>
          <w:color w:val="auto"/>
        </w:rPr>
      </w:pPr>
    </w:p>
    <w:p>
      <w:pPr>
        <w:ind w:right="120" w:firstLine="338"/>
        <w:spacing w:after="0" w:line="293" w:lineRule="auto"/>
        <w:rPr>
          <w:sz w:val="20"/>
          <w:szCs w:val="20"/>
          <w:color w:val="auto"/>
        </w:rPr>
      </w:pPr>
      <w:r>
        <w:rPr>
          <w:rFonts w:ascii="Arial" w:cs="Arial" w:eastAsia="Arial" w:hAnsi="Arial"/>
          <w:sz w:val="15"/>
          <w:szCs w:val="15"/>
          <w:color w:val="auto"/>
        </w:rPr>
        <w:t>The three end markets we target are all driven by significant bandwidth demand fueled by the growth of network-connected devices, video traffic, cloud computing and online social networking. According to Cisco Systems' 2013 Visual Networking Index, global network traffic is expected to grow at a compound annual growth rate of 23% from 2012 to 2017. To address this increased bandwidth demand, CATV and telecommunications service providers are competing directly against each other by providing bundles of voice, video and data services to their subscribers and investing to enhance the capacity and capability of their networks. The trend of rising bandwidth consumption also impacts the internet data center market, as reflected in the shift to higher speed server connections. According to a 2013 Infonetics report, 10 gigabit ethernet enterprise port shipments in 2012 were 14.7 million and are projected to grow to 110.6 million in 2017, representing a</w:t>
      </w:r>
    </w:p>
    <w:p>
      <w:pPr>
        <w:spacing w:after="0" w:line="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49.7% CAGR. As a result of these trends, fiber-optic networking technology is becoming essential in all three of our target markets, as it is often the only economic way to deliver the required bandwidth.</w:t>
      </w:r>
    </w:p>
    <w:p>
      <w:pPr>
        <w:spacing w:after="0" w:line="175"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CATV market is our largest and most established market, for which we supply a broad array of products including lasers, transmitters and turn-key equipment. Sales of headend, node and distribution equipment have contributed significantly to our growth in recent years as a result of our ability to meet the needs of CATV equipment vendors who have begun to outsource both the design and manufacture of this equipment. While these equipment vendors have relied upon third parties to assemble products for some time, only recently have they started to shift the design of equipment to other parties due in part to the sophisticated engineering expertise needed to perform this work. We believe that our extensive high-speed optical, mixed-signal semiconductor and mechanical engineering capabilities position us well to benefit from it.</w:t>
      </w:r>
    </w:p>
    <w:p>
      <w:pPr>
        <w:spacing w:after="0" w:line="18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better control over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product quality and manufacturing costs. We design, manufacture and integrate our own analog and digital lasers using a proprietary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 We believe the superior performance of our lasers is evidenced by our leading share of lasers installed in CATV networks today.</w:t>
      </w:r>
    </w:p>
    <w:p>
      <w:pPr>
        <w:spacing w:after="0" w:line="187"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are based in Sugar Land, Texas, where we design and fabricate our lasers, and conduct most of our research and development efforts. At our facilities in Ningbo, China, and Taipei, Taiwan, we complete the assembly of our lasers and photodiodes and also design and assemble our module and equipment products, utilizing a combination of advanced automation and skilled labor. In addition to our global sales team in the U.S., we also have regional sales teams located in China and Taiwan.</w:t>
      </w:r>
    </w:p>
    <w:p>
      <w:pPr>
        <w:spacing w:after="0" w:line="185"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revenues in 2012 were $63.4 million and our gross margin was 29.8%. For the six-month period ended June 30, 2013, our revenue was $33.9 million and our gross margin was 29.6%. We have grown our revenue at a CAGR of 36.4% from 2009 to 2012. In the years ended December 31, 2010, 2011 and 2012 and the six months ended June 30, 2012 and 2013, we incurred net losses of $3.4 million, $5.3 million, $0.9 million, $0.6 million and $1.3 million, respectively, and our accumulated deficit at December 31, 2012 and June 30, 2013 was $81.9 million and $83.2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28" w:lineRule="exact"/>
        <w:rPr>
          <w:sz w:val="20"/>
          <w:szCs w:val="20"/>
          <w:color w:val="auto"/>
        </w:rPr>
      </w:pPr>
    </w:p>
    <w:p>
      <w:pPr>
        <w:ind w:right="160" w:firstLine="341"/>
        <w:spacing w:after="0" w:line="306" w:lineRule="auto"/>
        <w:rPr>
          <w:sz w:val="20"/>
          <w:szCs w:val="20"/>
          <w:color w:val="auto"/>
        </w:rPr>
      </w:pPr>
      <w:r>
        <w:rPr>
          <w:rFonts w:ascii="Arial" w:cs="Arial" w:eastAsia="Arial" w:hAnsi="Arial"/>
          <w:sz w:val="15"/>
          <w:szCs w:val="15"/>
          <w:color w:val="auto"/>
        </w:rPr>
        <w:t>Our three target markets of CATV, FTTH and internet data centers share a common trend of a significant growth in bandwidth consumption, and the corresponding need for network infrastructure improvement to support it. Within the CATV and FTTH markets, the speed of a broadband connection determines the types and quality of services that can be offered, and competitive pressure among service providers is spurring ever faster broadband connectivity. According to the Akamai State of the Internet report for the first quarter of 2013, the number of 10 megabit or faster broadband connections in the U.S. rose 69% year-over-year. Akamai reported that, globally, the average connection speed increased 17% over the prior year, including growth in nine out of the top 10 countries.</w:t>
      </w:r>
    </w:p>
    <w:p>
      <w:pPr>
        <w:spacing w:after="0" w:line="159"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Government encouragement and sponsorship of enhanced broadband service is contributing to investment in access networks. For instance, in January 2013, the U.S. Federal Communications Commission announced the "Gigabit City Challenge," setting a goal of at least one community per state with 1 gigabit per second broadband by 2015. Similarly, according to Infonetics, China's State Agency for Radio, Film, and Television (SARFT) announced a $30 billion Next Generation Broadband (NGB) stimulus program in 2009 to support the construction of critical networking infrastructure and promote the delivery of enhanced voice, video and data services between 2009 and 2015.</w:t>
      </w:r>
    </w:p>
    <w:p>
      <w:pPr>
        <w:spacing w:after="0" w:line="187" w:lineRule="exact"/>
        <w:rPr>
          <w:sz w:val="20"/>
          <w:szCs w:val="20"/>
          <w:color w:val="auto"/>
        </w:rPr>
      </w:pPr>
    </w:p>
    <w:p>
      <w:pPr>
        <w:ind w:right="40" w:firstLine="338"/>
        <w:spacing w:after="0" w:line="283" w:lineRule="auto"/>
        <w:rPr>
          <w:sz w:val="20"/>
          <w:szCs w:val="20"/>
          <w:color w:val="auto"/>
        </w:rPr>
      </w:pPr>
      <w:r>
        <w:rPr>
          <w:rFonts w:ascii="Arial" w:cs="Arial" w:eastAsia="Arial" w:hAnsi="Arial"/>
          <w:sz w:val="16"/>
          <w:szCs w:val="16"/>
          <w:color w:val="auto"/>
        </w:rPr>
        <w:t>The commercial opportunity to provide ultra-high speed broadband services is also attracting private sector interest. For example, in 2010 Google announced plans to build a network, known as Google Fiber, to deliver up to 1 gigabit per second service to residences, approximately 100 times faster than the current average peak rate in the U.S. The network became operative late in 2012 in Kansas City, and Google has announced that additional cities are to be activated in 2013 and 2014. We are not aware of our products currently being used in the Kansas City network. To deliver this dramatically greater bandwidth, Google is utilizing very advanced optical networking technology. The Google Fiber network demonstrates the ability to</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deliver dramatically more bandwidth to an end user, and may prompt traditional network service providers to accelerate investment in advanced optical networking solutions.</w:t>
      </w:r>
    </w:p>
    <w:p>
      <w:pPr>
        <w:spacing w:after="0" w:line="170"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Based upon data prepared by Ovum, we estimate that our addressable segments of the CATV, FTTH and internet data center markets represented an annual revenue opportunity of $2.2 billion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in the CATV Market</w:t>
      </w:r>
    </w:p>
    <w:p>
      <w:pPr>
        <w:spacing w:after="0" w:line="224" w:lineRule="exact"/>
        <w:rPr>
          <w:sz w:val="20"/>
          <w:szCs w:val="20"/>
          <w:color w:val="auto"/>
        </w:rPr>
      </w:pPr>
    </w:p>
    <w:p>
      <w:pPr>
        <w:ind w:right="80" w:firstLine="341"/>
        <w:spacing w:after="0" w:line="279" w:lineRule="auto"/>
        <w:rPr>
          <w:sz w:val="20"/>
          <w:szCs w:val="20"/>
          <w:color w:val="auto"/>
        </w:rPr>
      </w:pPr>
      <w:r>
        <w:rPr>
          <w:rFonts w:ascii="Arial" w:cs="Arial" w:eastAsia="Arial" w:hAnsi="Arial"/>
          <w:sz w:val="16"/>
          <w:szCs w:val="16"/>
          <w:color w:val="auto"/>
        </w:rPr>
        <w:t>CATV service providers have been upgrading their hybrid fiber coaxial networks, which use a combination of optical fiber and coaxial cable, to support high speed, two-way communications. According to a 2013 Infonetics report, CATV service providers have spent approximately $39 billion from 2008 through 2012 on upgrades and extensions to their networking infrastructure, including $24 billion spent in North America. Broadcast video services remain the primary offering for CATV service providers, who compete in part on the breadth of high definition, or HD, TV content and on-demand programming they offer. CATV network operators can leverage an upgraded network to deliver additional services such as enhanced voice and broadband connectivity. Enhanced broadcast video and data connectivity services have had a profound effect on CATV network architecture, as they require substantially greater bandwidth to a home (the "forward path"), and two-way communications (introducing a "return path" from the home). In a 2013 report, Infonetics estimated that 53 million broadband subscribers in North America, or 54% of total North American broadband subscribers, received their service through a CATV network at the end of 2012.</w:t>
      </w:r>
    </w:p>
    <w:p>
      <w:pPr>
        <w:spacing w:after="0" w:line="177"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Outside of the U.S., the opportunity for CATV growth is significant. For instance, China's installed cable infrastructure is significantly larger than that of the U.S., with over 200 million cable television subscribers. Nearly half of China's cable television subscribers are served by relatively low capacity, one-way cable networks today, and China has implemented a government stimulus program to upgrade broadband infrastructure. As a result, we believe that the Chinese CATV service providers will invest significantly in coming years.</w:t>
      </w:r>
    </w:p>
    <w:p>
      <w:pPr>
        <w:spacing w:after="0" w:line="185"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Consolidation among CATV equipment companies has continued in recent years, putting pressure on the largest companies to streamline their operations, improve profitability and focus their resources. In response, many of these CATV equipment companies have begun to outsource not only the manufacturing of equipment, but more important to us, they have begun to outsource the system design function as well. Outsourcing of system design is significantly more challenging than simply shifting the assembly of equipment to a third party manufacturer. The complex interworking of optical, radio frequency and electrical technologies, as well as the physical challenges imposed by the harsh and unregulated conditions in which the CATV equipment is installed, requires deep technical knowledge of high-speed optical, mixed-signal semiconductor and mechanical engineering. Field failure of equipment is costly and problematic for CATV network operators, so they expect equipment providers to provide extremely reliable and durable solutions. As a result, the decision by a major CATV equipment company to outsource design and manufacture to a third party is made carefully, and once an outsourced design partner is selected, CATV equipment companies are typically very reluctant to change vendors. Moreover, once the design function is outsourced to a third party, the reallocation of internal resources previously performing that function makes it difficult for the equipment company to return to internally designing equipment.</w:t>
      </w:r>
    </w:p>
    <w:p>
      <w:pPr>
        <w:spacing w:after="0" w:line="176"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Based upon data prepared by Ovum, we estimate that our addressable segment of the CATV market represented an annual revenue opportunity of $850 million in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in the FTTH Market</w:t>
      </w:r>
    </w:p>
    <w:p>
      <w:pPr>
        <w:spacing w:after="0" w:line="22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The FTTH market generally refers to the Passive Optical Networks, or PONs, that telecommunications service providers are deploying. PONs take their name from the use of passive splitters to divide the optical signal provided to each residential user over a shared fiber-optic cable from a service provider's central office. The equipment in the service provider's central office is called an optical line terminal, or OLT, and the equipment at the end user is an optical network unit, or ONU. A PON supports significantly greater bandwidth than does the legacy copper wire network, although the connection speed to a user (the "downstream" speed) is higher than the connection speed from the user (the "upstream" speed). In the U.S., Verizon's FIOS service and AT&amp;T's uVerse offering are examples of PON deployments, and PONs have been widely deployed in Japan, Korea and selected cities in Europe as well. According to a 2013 Infonetics report, worldwide FTTH subscribers are expected to grow from 57 million in 2012 to 149 million in 2017, representing a CAGR of 21%, with the growth of higher speed FTTH connections among those subscribers being greater than the overall growth of FTTH connectivity.</w:t>
      </w:r>
    </w:p>
    <w:p>
      <w:pPr>
        <w:spacing w:after="0" w:line="177"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Over time, the technology used in PONs has evolved to meet the increased bandwidth demand from users. At present, the most commonly deployed PON technology is GPON, or Gigabit PON, which delivers up to 2.5 gigabits per second of data downstream, split among subscribers, and 1.5 gigabits per second upstream. Due to the splitting of the bandwidth among multiple users—often as many as 32—the actual bandwidth delivered to an individual subscriber is far less than the 2.5 gigabits per second supported by the GPON equipment. To deliver more bandwidth to a subscriber, a service provider can reduce the split ratio or change the PON technology. Reducing the number of subscribers supported by a single OLT may be less expensive for modest, incremental upgrades, but may not be the most economical solution to deliver the significant increases in bandwidth needed to support 1 gigabit per second service to the home, as encouraged by the FCC's Gigabit Challenge.</w:t>
      </w:r>
    </w:p>
    <w:p>
      <w:pPr>
        <w:spacing w:after="0" w:line="190" w:lineRule="exact"/>
        <w:rPr>
          <w:sz w:val="20"/>
          <w:szCs w:val="20"/>
          <w:color w:val="auto"/>
        </w:rPr>
      </w:pPr>
    </w:p>
    <w:p>
      <w:pPr>
        <w:ind w:right="180" w:firstLine="341"/>
        <w:spacing w:after="0" w:line="283" w:lineRule="auto"/>
        <w:rPr>
          <w:sz w:val="20"/>
          <w:szCs w:val="20"/>
          <w:color w:val="auto"/>
        </w:rPr>
      </w:pPr>
      <w:r>
        <w:rPr>
          <w:rFonts w:ascii="Arial" w:cs="Arial" w:eastAsia="Arial" w:hAnsi="Arial"/>
          <w:sz w:val="16"/>
          <w:szCs w:val="16"/>
          <w:color w:val="auto"/>
        </w:rPr>
        <w:t>One approach that does support 1 gigabit per second service to the home connection is WDM-PON, or wavelength division multiplexing PON. Well-proven in other areas of the network for decades, WDM technology enables the transmission of multiple wavelengths of data over a single fiber-optic strand, thus significantly increasing the bandwidth of the physical fiber connection. Due to this significant increase in bandwidth supported with WDM-PON, the cost per bit delivered to a subscriber is lower than that for GPON—at faster connection speeds. In addition to providing more bandwidth, WDM-PON offers a subscriber superior privacy and the service provider better scalability because each subscriber has a dedicated wavelength rather than a shared one.</w:t>
      </w:r>
    </w:p>
    <w:p>
      <w:pPr>
        <w:spacing w:after="0" w:line="174"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Based upon data prepared by Ovum, we estimate that our addressable segment of the FTTH market represented an annual revenue opportunity of $704 million in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Trends in the Internet Data Center Market</w:t>
      </w:r>
    </w:p>
    <w:p>
      <w:pPr>
        <w:spacing w:after="0" w:line="224" w:lineRule="exact"/>
        <w:rPr>
          <w:sz w:val="20"/>
          <w:szCs w:val="20"/>
          <w:color w:val="auto"/>
        </w:rPr>
      </w:pPr>
    </w:p>
    <w:p>
      <w:pPr>
        <w:ind w:right="40" w:firstLine="332"/>
        <w:spacing w:after="0" w:line="280" w:lineRule="auto"/>
        <w:rPr>
          <w:sz w:val="20"/>
          <w:szCs w:val="20"/>
          <w:color w:val="auto"/>
        </w:rPr>
      </w:pPr>
      <w:r>
        <w:rPr>
          <w:rFonts w:ascii="Arial" w:cs="Arial" w:eastAsia="Arial" w:hAnsi="Arial"/>
          <w:sz w:val="16"/>
          <w:szCs w:val="16"/>
          <w:color w:val="auto"/>
        </w:rPr>
        <w:t>An internet data center is structured in a layered format, with rows of servers within multiple racks, and each server and rack connecting through a switch. These rack switches then connect to each other, and ultimately to the service provider's network. The connections between these top-of-rack switches, and to the service provider's network, are increasingly done with higher-capacity optical networking technology. Legacy copper cables can carry signals at distances adequate to meet most needs within an enterprise or internet data center at speeds up to about 1 gigabit per second. However, at speeds of 10 gigabits per second and above, the signals sent over copper cables experience increasing attenuation and dispersion over distances common in large internet data center environments, making copper much less effective as a transmission medium. According to a 2013 Infonetics report, 10 gigabit ethernet enterprise port shipments in 2012 were 14.7 million and are projected to grow to 110.6 million in 2017, representing a 49.7% CAGR.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In recent years, a number of leading internet companies have begun to adopt more open internet data center architectures, using a mix of systems and components from a variety of vendors, and in some cases designing their own equipment. For companies that are adopting open internet data center architectures, compatibility of new networking equipment with legacy infrastructure is not as important, and as a consequence, these companies are more willing to work with non-traditional equipment vendors. Non-traditional equipment vendors generally permit companies to source optical modules from any vendor, thus creating an open and growing opportunity for optical device vendors.</w:t>
      </w:r>
    </w:p>
    <w:p>
      <w:pPr>
        <w:spacing w:after="0" w:line="187" w:lineRule="exact"/>
        <w:rPr>
          <w:sz w:val="20"/>
          <w:szCs w:val="20"/>
          <w:color w:val="auto"/>
        </w:rPr>
      </w:pPr>
    </w:p>
    <w:p>
      <w:pPr>
        <w:ind w:right="360" w:firstLine="341"/>
        <w:spacing w:after="0" w:line="282" w:lineRule="auto"/>
        <w:rPr>
          <w:sz w:val="20"/>
          <w:szCs w:val="20"/>
          <w:color w:val="auto"/>
        </w:rPr>
      </w:pPr>
      <w:r>
        <w:rPr>
          <w:rFonts w:ascii="Arial" w:cs="Arial" w:eastAsia="Arial" w:hAnsi="Arial"/>
          <w:sz w:val="17"/>
          <w:szCs w:val="17"/>
          <w:color w:val="auto"/>
        </w:rPr>
        <w:t>Based upon data prepared by research firm Ovum, we estimate that our addressable segment of the internet data center market represented an annual revenue opportunity of $638 million in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Challenges in Our Markets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key challenges that we experience in our markets include:</w:t>
      </w:r>
    </w:p>
    <w:p>
      <w:pPr>
        <w:spacing w:after="0" w:line="237" w:lineRule="exact"/>
        <w:rPr>
          <w:sz w:val="20"/>
          <w:szCs w:val="20"/>
          <w:color w:val="auto"/>
        </w:rPr>
      </w:pPr>
    </w:p>
    <w:p>
      <w:pPr>
        <w:ind w:left="1060" w:hanging="531"/>
        <w:spacing w:after="0" w:line="281"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Continuous pressure for innovation. </w:t>
      </w:r>
      <w:r>
        <w:rPr>
          <w:rFonts w:ascii="Arial" w:cs="Arial" w:eastAsia="Arial" w:hAnsi="Arial"/>
          <w:sz w:val="16"/>
          <w:szCs w:val="16"/>
          <w:color w:val="auto"/>
        </w:rPr>
        <w:t>To enhance their competitiveness and improve the financial returns on their infrastructure investments, CATV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FTTH network operators seek to regularly introduce new service offerings, increase the bandwidth provided to each user and reduce their operating costs. These operators work with their equipment and optical device suppliers to develop innovative technology that enables desired enhancements. Within the internet data center market, industry-leading technology companies are internally designing and developing internet data centers to deliver cloud-based solutions. These companies are, in many cases, working with third parties to design custom data-center equipment to improve their internet data center performance and differentiate their services from other vendors.</w:t>
      </w:r>
    </w:p>
    <w:p>
      <w:pPr>
        <w:spacing w:after="0" w:line="201" w:lineRule="exact"/>
        <w:rPr>
          <w:rFonts w:ascii="Arial" w:cs="Arial" w:eastAsia="Arial" w:hAnsi="Arial"/>
          <w:sz w:val="16"/>
          <w:szCs w:val="16"/>
          <w:color w:val="auto"/>
        </w:rPr>
      </w:pPr>
    </w:p>
    <w:p>
      <w:pPr>
        <w:ind w:left="1060" w:right="40" w:hanging="531"/>
        <w:spacing w:after="0" w:line="265"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Demand for highly integrated solutions. </w:t>
      </w:r>
      <w:r>
        <w:rPr>
          <w:rFonts w:ascii="Arial" w:cs="Arial" w:eastAsia="Arial" w:hAnsi="Arial"/>
          <w:sz w:val="17"/>
          <w:szCs w:val="17"/>
          <w:color w:val="auto"/>
        </w:rPr>
        <w:t>CATV and FTTH network operators are seeking integrated and customized solutions that meet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 and performance requirements. Furthermore, network equipment manufacturers are seeking to simplify their supply chains and lower their costs by working with optical device vendors who can provide a broad range of products, including integrated modules and subsystems rather than simply supplying discrete optical components.</w:t>
      </w:r>
    </w:p>
    <w:p>
      <w:pPr>
        <w:spacing w:after="0" w:line="198" w:lineRule="exact"/>
        <w:rPr>
          <w:rFonts w:ascii="Arial" w:cs="Arial" w:eastAsia="Arial" w:hAnsi="Arial"/>
          <w:sz w:val="17"/>
          <w:szCs w:val="17"/>
          <w:color w:val="auto"/>
        </w:rPr>
      </w:pPr>
    </w:p>
    <w:p>
      <w:pPr>
        <w:ind w:left="1060" w:right="200" w:hanging="531"/>
        <w:spacing w:after="0" w:line="287"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Need for reliable performance in harsh and demanding environments. </w:t>
      </w:r>
      <w:r>
        <w:rPr>
          <w:rFonts w:ascii="Arial" w:cs="Arial" w:eastAsia="Arial" w:hAnsi="Arial"/>
          <w:sz w:val="16"/>
          <w:szCs w:val="16"/>
          <w:color w:val="auto"/>
        </w:rPr>
        <w:t>Unlike optical devices deployed in the long haul and metro segments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telecom network, optical devices deployed in CATV and FTTH networks are typically installed outdoors, and occasionally in remote locations. As a result, these devices are subject to a wide range of temperatures and highly variable environmental conditions, and maintenance can be difficult. As a result of the difficulties associated with outdoor deployment, product quality and reliability are essential.</w:t>
      </w:r>
    </w:p>
    <w:p>
      <w:pPr>
        <w:spacing w:after="0" w:line="181" w:lineRule="exact"/>
        <w:rPr>
          <w:rFonts w:ascii="Arial" w:cs="Arial" w:eastAsia="Arial" w:hAnsi="Arial"/>
          <w:sz w:val="16"/>
          <w:szCs w:val="16"/>
          <w:color w:val="auto"/>
        </w:rPr>
      </w:pPr>
    </w:p>
    <w:p>
      <w:pPr>
        <w:ind w:left="1060" w:right="120" w:hanging="531"/>
        <w:spacing w:after="0" w:line="311" w:lineRule="auto"/>
        <w:tabs>
          <w:tab w:leader="none" w:pos="1060" w:val="left"/>
        </w:tabs>
        <w:numPr>
          <w:ilvl w:val="0"/>
          <w:numId w:val="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Demand for production of high-quality devices in large volumes. </w:t>
      </w:r>
      <w:r>
        <w:rPr>
          <w:rFonts w:ascii="Arial" w:cs="Arial" w:eastAsia="Arial" w:hAnsi="Arial"/>
          <w:sz w:val="15"/>
          <w:szCs w:val="15"/>
          <w:color w:val="auto"/>
        </w:rPr>
        <w:t>Due to the high number of optical devices deployed in CATV and FTTH networks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well as in internet data centers, network equipment manufacturers seek vendors that can provide cost-effective and high-quality optical devices in large volumes. As the required bandwidth in CATV and FTTH networks increases and the shift to fiber-optic technologies continues in order to meet the bandwidth needs, the number of optical devices deployed in CATV and FTTH networks should continue to increase.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Solutions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 xml:space="preserve">Need for mixed signal communications expertise. </w:t>
      </w:r>
      <w:r>
        <w:rPr>
          <w:rFonts w:ascii="Arial" w:cs="Arial" w:eastAsia="Arial" w:hAnsi="Arial"/>
          <w:sz w:val="17"/>
          <w:szCs w:val="17"/>
          <w:color w:val="auto"/>
        </w:rPr>
        <w:t>As CATV network operators continue to shift from primarily broadcast-video content providers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data-connectivity providers, the networks they utilize to offer these services are evolving. For example, many newer networks are being designed with digital return-path capabilities. In this type of network, signals traveling from the cable office headend to the user residence, including digital video and data services, continue to be transported as analog signals, whereas signals traveling in the opposite direction, from the residence to the cable office headend, may now be carried as digital signals. This combination of analog and digital signaling creates unique challenges, which require high-performance networking equipment and optical technology.</w:t>
      </w:r>
    </w:p>
    <w:p>
      <w:pPr>
        <w:spacing w:after="0" w:line="556" w:lineRule="exact"/>
        <w:rPr>
          <w:sz w:val="20"/>
          <w:szCs w:val="20"/>
          <w:color w:val="auto"/>
        </w:rPr>
      </w:pPr>
    </w:p>
    <w:p>
      <w:pPr>
        <w:sectPr>
          <w:pgSz w:w="11900" w:h="16838" w:orient="portrait"/>
          <w:cols w:equalWidth="0" w:num="2">
            <w:col w:w="1020" w:space="40"/>
            <w:col w:w="10360"/>
          </w:cols>
          <w:pgMar w:left="240" w:top="131" w:right="239" w:bottom="1440" w:gutter="0" w:footer="0" w:header="0"/>
          <w:type w:val="continuous"/>
        </w:sectPr>
      </w:pPr>
    </w:p>
    <w:p>
      <w:pPr>
        <w:spacing w:after="0" w:line="51" w:lineRule="exact"/>
        <w:rPr>
          <w:sz w:val="20"/>
          <w:szCs w:val="20"/>
          <w:color w:val="auto"/>
        </w:rPr>
      </w:pPr>
    </w:p>
    <w:p>
      <w:pPr>
        <w:ind w:right="340" w:firstLine="338"/>
        <w:spacing w:after="0" w:line="265" w:lineRule="auto"/>
        <w:rPr>
          <w:sz w:val="20"/>
          <w:szCs w:val="20"/>
          <w:color w:val="auto"/>
        </w:rPr>
      </w:pPr>
      <w:r>
        <w:rPr>
          <w:rFonts w:ascii="Arial" w:cs="Arial" w:eastAsia="Arial" w:hAnsi="Arial"/>
          <w:sz w:val="17"/>
          <w:szCs w:val="17"/>
          <w:color w:val="auto"/>
        </w:rPr>
        <w:t>We are a leading, vertically integrated provider of fiber-optic networking products. We are primarily focused on the higher-performance segments within the CATV, FTTH and internet data center markets which increasingly demand faster connectivity and new technologies. Our products include a broad range of optical communications-based products at varying levels of integration from components to complete turn-key systems that we design and manufacture for leading networking equipment companies. The key benefits of our products include:</w:t>
      </w:r>
    </w:p>
    <w:p>
      <w:pPr>
        <w:spacing w:after="0" w:line="212" w:lineRule="exact"/>
        <w:rPr>
          <w:sz w:val="20"/>
          <w:szCs w:val="20"/>
          <w:color w:val="auto"/>
        </w:rPr>
      </w:pPr>
    </w:p>
    <w:p>
      <w:pPr>
        <w:ind w:left="1060" w:right="40" w:hanging="531"/>
        <w:spacing w:after="0" w:line="263"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Enable customers to deliver innovative products. </w:t>
      </w:r>
      <w:r>
        <w:rPr>
          <w:rFonts w:ascii="Arial" w:cs="Arial" w:eastAsia="Arial" w:hAnsi="Arial"/>
          <w:sz w:val="17"/>
          <w:szCs w:val="17"/>
          <w:color w:val="auto"/>
        </w:rPr>
        <w:t>We leverage our deep expertise in high-speed optical, mixed-signal semiconductor and mechanical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our proprietary MBE laser fabrication process to deliver technologically advanced products to our customers. Our solutions enable our customers to offer a wide variety of innovative products that meet their desired performance needs and cost requirements. Similar to other competitors who have a vertically-integrated structure, our comprehensive manufacturing capabilities give us significant time-to-market advantages as well as the flexibility and agility to respond to changing customer needs.</w:t>
      </w:r>
    </w:p>
    <w:p>
      <w:pPr>
        <w:spacing w:after="0" w:line="200" w:lineRule="exact"/>
        <w:rPr>
          <w:rFonts w:ascii="Arial" w:cs="Arial" w:eastAsia="Arial" w:hAnsi="Arial"/>
          <w:sz w:val="17"/>
          <w:szCs w:val="17"/>
          <w:color w:val="auto"/>
        </w:rPr>
      </w:pPr>
    </w:p>
    <w:p>
      <w:pPr>
        <w:ind w:left="1060" w:right="180" w:hanging="531"/>
        <w:spacing w:after="0" w:line="263"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 efficiency and cost effectiveness of our customers' supply chain. </w:t>
      </w:r>
      <w:r>
        <w:rPr>
          <w:rFonts w:ascii="Arial" w:cs="Arial" w:eastAsia="Arial" w:hAnsi="Arial"/>
          <w:sz w:val="17"/>
          <w:szCs w:val="17"/>
          <w:color w:val="auto"/>
        </w:rPr>
        <w:t>We design and sell products at the level of integration desired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from components to turn-key equipment providing our customers a more dependable, cost-effective and simplified supply chain. By leveraging our vertical integration, proprietary expertise and our broad range of products, we can often design and manufacture new solutions rapidly and cost-effectively for our customers. For example, our integration capabilities have enabled us to benefit from the trend of outsourced design and manufacturing among CATV equipment vendors.</w:t>
      </w:r>
    </w:p>
    <w:p>
      <w:pPr>
        <w:spacing w:after="0" w:line="200" w:lineRule="exact"/>
        <w:rPr>
          <w:rFonts w:ascii="Arial" w:cs="Arial" w:eastAsia="Arial" w:hAnsi="Arial"/>
          <w:sz w:val="17"/>
          <w:szCs w:val="17"/>
          <w:color w:val="auto"/>
        </w:rPr>
      </w:pPr>
    </w:p>
    <w:p>
      <w:pPr>
        <w:ind w:left="1060" w:right="160" w:hanging="531"/>
        <w:spacing w:after="0" w:line="287"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By leveraging this greater degree of control throughout the entire production process, our proprietary MBE laser fabrication process and packaging technology, and our extensive facilities, we are able to deliver high-quality, highly-reliable and stable products in high volume.</w:t>
      </w:r>
    </w:p>
    <w:p>
      <w:pPr>
        <w:spacing w:after="0" w:line="194" w:lineRule="exact"/>
        <w:rPr>
          <w:rFonts w:ascii="Arial" w:cs="Arial" w:eastAsia="Arial" w:hAnsi="Arial"/>
          <w:sz w:val="16"/>
          <w:szCs w:val="16"/>
          <w:color w:val="auto"/>
        </w:rPr>
      </w:pPr>
    </w:p>
    <w:p>
      <w:pPr>
        <w:ind w:left="1060" w:hanging="531"/>
        <w:spacing w:after="0" w:line="265"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Provide sophisticated design solutions to our customers. </w:t>
      </w:r>
      <w:r>
        <w:rPr>
          <w:rFonts w:ascii="Arial" w:cs="Arial" w:eastAsia="Arial" w:hAnsi="Arial"/>
          <w:sz w:val="17"/>
          <w:szCs w:val="17"/>
          <w:color w:val="auto"/>
        </w:rPr>
        <w:t>We believe our expertise in analog and digital optical engineering, as well as radio frequency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high-speed electronics differentiates us from many competitors, as other vendors tend to focus on a limited number of these disciplines. Our mixed-signal expertise enables us to design solutions that meet many of the different network architectures and protocols used today. We offer our customers an advantage by providing them a comprehensive solution.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Strengths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key competitive strengths include the following:</w:t>
      </w:r>
    </w:p>
    <w:p>
      <w:pPr>
        <w:spacing w:after="0" w:line="237" w:lineRule="exact"/>
        <w:rPr>
          <w:sz w:val="20"/>
          <w:szCs w:val="20"/>
          <w:color w:val="auto"/>
        </w:rPr>
      </w:pPr>
    </w:p>
    <w:p>
      <w:pPr>
        <w:ind w:left="1060" w:right="120" w:hanging="531"/>
        <w:spacing w:after="0" w:line="306" w:lineRule="auto"/>
        <w:tabs>
          <w:tab w:leader="none" w:pos="1060"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Industry-leading position in the CATV market. </w:t>
      </w:r>
      <w:r>
        <w:rPr>
          <w:rFonts w:ascii="Arial" w:cs="Arial" w:eastAsia="Arial" w:hAnsi="Arial"/>
          <w:sz w:val="15"/>
          <w:szCs w:val="15"/>
          <w:color w:val="auto"/>
        </w:rPr>
        <w:t>We are the leading provider of optical components and the second largest provider of subsystems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CATV market, according to Ovum. In 2012, our products were used by the five largest CATV equipment OEMs consisting of Arris Group Inc., Aurora Networks, Inc., Cisco Systems, Inc., Harmonic Inc. and Motorola Mobility Holdings, Inc. These OEMs are extremely demanding on their suppliers with respect to product performance, reliability, cost and vendor service level. We believe these customer relationships benefit us with other customers who view our selection by these leading OEMs as validation of our expertise and product excellence.</w:t>
      </w:r>
    </w:p>
    <w:p>
      <w:pPr>
        <w:spacing w:after="0" w:line="185" w:lineRule="exact"/>
        <w:rPr>
          <w:rFonts w:ascii="Arial" w:cs="Arial" w:eastAsia="Arial" w:hAnsi="Arial"/>
          <w:sz w:val="15"/>
          <w:szCs w:val="15"/>
          <w:color w:val="auto"/>
        </w:rPr>
      </w:pPr>
    </w:p>
    <w:p>
      <w:pPr>
        <w:ind w:left="1060" w:right="40" w:hanging="531"/>
        <w:spacing w:after="0" w:line="306" w:lineRule="auto"/>
        <w:tabs>
          <w:tab w:leader="none" w:pos="1060"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Proprietary technological expertise and track record of innovation. </w:t>
      </w:r>
      <w:r>
        <w:rPr>
          <w:rFonts w:ascii="Arial" w:cs="Arial" w:eastAsia="Arial" w:hAnsi="Arial"/>
          <w:sz w:val="15"/>
          <w:szCs w:val="15"/>
          <w:color w:val="auto"/>
        </w:rPr>
        <w:t>We continue to develop innovative products as evidenced by our design wins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the beginning of 2010, which collectively accounted for approximately 30% of our revenue in 2012. We believe our proprietary laser manufacturing, or MBE process, allows us to produce more reliable and cost-effective solutions than our competitors who typically employ MOCVD processes. We own fundamental IP in MBE technology and the manufacturing process. We had 143 issued and pending patents as of June 30, 2013. In addition we have amassed substantial manufacturing, process, design and testing domain expertise that we retain as documented trade secrets.</w:t>
      </w:r>
    </w:p>
    <w:p>
      <w:pPr>
        <w:spacing w:after="0" w:line="172" w:lineRule="exact"/>
        <w:rPr>
          <w:rFonts w:ascii="Arial" w:cs="Arial" w:eastAsia="Arial" w:hAnsi="Arial"/>
          <w:sz w:val="15"/>
          <w:szCs w:val="15"/>
          <w:color w:val="auto"/>
        </w:rPr>
      </w:pPr>
    </w:p>
    <w:p>
      <w:pPr>
        <w:ind w:left="1060" w:right="60" w:hanging="531"/>
        <w:spacing w:after="0" w:line="265"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customized products. </w:t>
      </w:r>
      <w:r>
        <w:rPr>
          <w:rFonts w:ascii="Arial" w:cs="Arial" w:eastAsia="Arial" w:hAnsi="Arial"/>
          <w:sz w:val="17"/>
          <w:szCs w:val="17"/>
          <w:color w:val="auto"/>
        </w:rPr>
        <w:t>Most of our products have some level of customization, and in some cases our product is the only one that can meet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specifications. These factors make it more difficult for our customers to rapidly switch to another supplier, and, we believe, contribute to longer product lifecycles and more stable product pricing relative to the pricing trends experienced in many telecommunications optical component categories.</w:t>
      </w:r>
    </w:p>
    <w:p>
      <w:pPr>
        <w:spacing w:after="0" w:line="198" w:lineRule="exact"/>
        <w:rPr>
          <w:rFonts w:ascii="Arial" w:cs="Arial" w:eastAsia="Arial" w:hAnsi="Arial"/>
          <w:sz w:val="17"/>
          <w:szCs w:val="17"/>
          <w:color w:val="auto"/>
        </w:rPr>
      </w:pPr>
    </w:p>
    <w:p>
      <w:pPr>
        <w:ind w:left="1060" w:hanging="531"/>
        <w:spacing w:after="0" w:line="294"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system design capabilities. </w:t>
      </w:r>
      <w:r>
        <w:rPr>
          <w:rFonts w:ascii="Arial" w:cs="Arial" w:eastAsia="Arial" w:hAnsi="Arial"/>
          <w:sz w:val="16"/>
          <w:szCs w:val="16"/>
          <w:color w:val="auto"/>
        </w:rPr>
        <w:t>Our customers rely on us to design their customized, complex and integrated equipment due to our deep expertise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high-speed optical, mixed-signal semiconductor and mechanical engineering. As a result of these capabilities, we believe that we are well positioned to take advantage of the continuing shift to outsourced design and manufacturing among CATV equipment vendors.</w:t>
      </w:r>
    </w:p>
    <w:p>
      <w:pPr>
        <w:spacing w:after="0" w:line="189" w:lineRule="exact"/>
        <w:rPr>
          <w:rFonts w:ascii="Arial" w:cs="Arial" w:eastAsia="Arial" w:hAnsi="Arial"/>
          <w:sz w:val="16"/>
          <w:szCs w:val="16"/>
          <w:color w:val="auto"/>
        </w:rPr>
      </w:pPr>
    </w:p>
    <w:p>
      <w:pPr>
        <w:ind w:left="1060" w:right="80" w:hanging="531"/>
        <w:spacing w:after="0" w:line="261"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 encompasses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steps from laser wafer design and fabrication to complete optical system design and assembly. Furthermore, we have geographically distributed our manufacturing model by strategically locating our operations in the U.S., China and Taiwan to reduce development time and production costs and to help protect our intellectual property. Our comprehensive capabilities allow us to offer our customers a dependable supply of quality optical components, modules and equipment. Additionally, similar to other competitors who have a vertically-integrated structure, these capabilities give us significant time-to-market, time-to-volume and cost advantages as well as the ability to respond more rapidly to changing market and customer requirements. Furthermore, these capabilities allow us to provide fully integrated solutions and capture a larger portion of the bill of materials within the optical value chain.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We seek to be the leading global provider of optical components, modules and equipment designed for each of our three target markets, CATV, FTTH and internet data centers. All of our target markets are growing due to the increasing demand for bandwidth, but each of our markets is also being driven by independent factors. As a result, our overall growth is not dependent upon a single market or a single trend. Our strategy includes the following key elements:</w:t>
      </w:r>
    </w:p>
    <w:p>
      <w:pPr>
        <w:spacing w:after="0" w:line="176" w:lineRule="exact"/>
        <w:rPr>
          <w:sz w:val="20"/>
          <w:szCs w:val="20"/>
          <w:color w:val="auto"/>
        </w:rPr>
      </w:pPr>
    </w:p>
    <w:p>
      <w:pPr>
        <w:ind w:left="1060" w:right="20" w:hanging="531"/>
        <w:spacing w:after="0" w:line="287"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our leadership in CATV networking. </w:t>
      </w:r>
      <w:r>
        <w:rPr>
          <w:rFonts w:ascii="Arial" w:cs="Arial" w:eastAsia="Arial" w:hAnsi="Arial"/>
          <w:sz w:val="16"/>
          <w:szCs w:val="16"/>
          <w:color w:val="auto"/>
        </w:rPr>
        <w:t>We intend to maintain our position as the leading producer of optical components used in CATV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and to capture an increasing share of the CATV equipment market as the major equipment vendors continue to outsource the design and manufacturing of such products. We believe that our comprehensive design expertise, proven ability to handle increased system-level responsibility and vertically integrated manufacturing model position us well to capture a meaningful share of this opportunity.</w:t>
      </w:r>
    </w:p>
    <w:p>
      <w:pPr>
        <w:spacing w:after="0" w:line="194" w:lineRule="exact"/>
        <w:rPr>
          <w:rFonts w:ascii="Arial" w:cs="Arial" w:eastAsia="Arial" w:hAnsi="Arial"/>
          <w:sz w:val="16"/>
          <w:szCs w:val="16"/>
          <w:color w:val="auto"/>
        </w:rPr>
      </w:pPr>
    </w:p>
    <w:p>
      <w:pPr>
        <w:ind w:left="1060" w:right="80" w:hanging="531"/>
        <w:spacing w:after="0" w:line="26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penetrate FTTH and internet data center markets. </w:t>
      </w:r>
      <w:r>
        <w:rPr>
          <w:rFonts w:ascii="Arial" w:cs="Arial" w:eastAsia="Arial" w:hAnsi="Arial"/>
          <w:sz w:val="17"/>
          <w:szCs w:val="17"/>
          <w:color w:val="auto"/>
        </w:rPr>
        <w:t>We believe our WDM-PON technology is a cost-effective solution for delivering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greater bandwidth to a residence. As the residential access market migrates to higher bandwidth connections, we expect that our solutions will become increasingly attractive. In the internet data center market, we target operators who have adopted an open system architecture—one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201" w:lineRule="exact"/>
        <w:rPr>
          <w:rFonts w:ascii="Arial" w:cs="Arial" w:eastAsia="Arial" w:hAnsi="Arial"/>
          <w:sz w:val="17"/>
          <w:szCs w:val="17"/>
          <w:color w:val="auto"/>
        </w:rPr>
      </w:pPr>
    </w:p>
    <w:p>
      <w:pPr>
        <w:ind w:left="1060" w:right="120" w:hanging="531"/>
        <w:spacing w:after="0" w:line="26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invest in our capabilities and infrastructure. </w:t>
      </w:r>
      <w:r>
        <w:rPr>
          <w:rFonts w:ascii="Arial" w:cs="Arial" w:eastAsia="Arial" w:hAnsi="Arial"/>
          <w:sz w:val="17"/>
          <w:szCs w:val="17"/>
          <w:color w:val="auto"/>
        </w:rPr>
        <w:t>Product and process innovations have been important elements in our growth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success. For instance, our leading position in the CATV market is a result of our research and development efforts to address the need for climate-tolerant, low-cost and highly reliable lasers, components and equipment. We believe our vertically integrated manufacturing model and our ability to design and manufacture the fundamental optical devices that are deployed throughout a network give us a significant competitive advantage. We intend to continue to invest in new products, new technology and our production infrastructure and facilities to maintain and strengthen our competitive position.</w:t>
      </w:r>
    </w:p>
    <w:p>
      <w:pPr>
        <w:spacing w:after="0" w:line="201" w:lineRule="exact"/>
        <w:rPr>
          <w:rFonts w:ascii="Arial" w:cs="Arial" w:eastAsia="Arial" w:hAnsi="Arial"/>
          <w:sz w:val="17"/>
          <w:szCs w:val="17"/>
          <w:color w:val="auto"/>
        </w:rPr>
      </w:pPr>
    </w:p>
    <w:p>
      <w:pPr>
        <w:ind w:left="1060" w:hanging="531"/>
        <w:spacing w:after="0" w:line="303" w:lineRule="auto"/>
        <w:tabs>
          <w:tab w:leader="none" w:pos="106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Selectively pursue other opportunities that leverage our existing expertise. </w:t>
      </w:r>
      <w:r>
        <w:rPr>
          <w:rFonts w:ascii="Arial" w:cs="Arial" w:eastAsia="Arial" w:hAnsi="Arial"/>
          <w:sz w:val="15"/>
          <w:szCs w:val="15"/>
          <w:color w:val="auto"/>
        </w:rPr>
        <w:t>The proven performance of our lasers in harsh climate conditions and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expertise in designing and manufacturing outdoor plant equipment for the CATV industry provide us an advantage in pursuing applications that are also characterized by having varying and demanding environments. We have sold and plan to continue to sell products into the telecom networking market, such as for wireless and wireline telecom infrastructure. We have also selectively sold products into the industrial robotics, aerospace and defense, and oil and gas exploration markets. We will continue to seek ways to capitalize on our research and development investments and leverage our high-speed optical, mixed-signal semiconductor and mechanical engineering expertise in these and other markets.</w:t>
      </w:r>
    </w:p>
    <w:p>
      <w:pPr>
        <w:spacing w:after="0" w:line="187" w:lineRule="exact"/>
        <w:rPr>
          <w:rFonts w:ascii="Arial" w:cs="Arial" w:eastAsia="Arial" w:hAnsi="Arial"/>
          <w:sz w:val="15"/>
          <w:szCs w:val="15"/>
          <w:color w:val="auto"/>
        </w:rPr>
      </w:pPr>
    </w:p>
    <w:p>
      <w:pPr>
        <w:ind w:left="1060" w:right="80" w:hanging="531"/>
        <w:spacing w:after="0" w:line="270"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complementary acquisition and strategic alliance opportunities. </w:t>
      </w:r>
      <w:r>
        <w:rPr>
          <w:rFonts w:ascii="Arial" w:cs="Arial" w:eastAsia="Arial" w:hAnsi="Arial"/>
          <w:sz w:val="17"/>
          <w:szCs w:val="17"/>
          <w:color w:val="auto"/>
        </w:rPr>
        <w:t>While we prefer to use our components whenever possible, we will evaluate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selectively pursue acquisition opportunities or strategic alliances that we believe will enhance or complement our current product offerings, augment our technology roadmap, or diversify our revenue base.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28"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83" w:lineRule="exact"/>
        <w:rPr>
          <w:sz w:val="20"/>
          <w:szCs w:val="20"/>
          <w:color w:val="auto"/>
        </w:rPr>
      </w:pPr>
    </w:p>
    <w:p>
      <w:pPr>
        <w:ind w:left="1060" w:hanging="531"/>
        <w:spacing w:after="0" w:line="298" w:lineRule="auto"/>
        <w:tabs>
          <w:tab w:leader="none" w:pos="1060"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Differentiated semiconductor laser manufacturing. </w:t>
      </w:r>
      <w:r>
        <w:rPr>
          <w:rFonts w:ascii="Arial" w:cs="Arial" w:eastAsia="Arial" w:hAnsi="Arial"/>
          <w:sz w:val="15"/>
          <w:szCs w:val="15"/>
          <w:color w:val="auto"/>
        </w:rPr>
        <w:t>We use a MBE fabrication process to make our lasers, rather than MOCVD, the technique most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commonly used in optical chip manufacturing by traditional communications optics vendors.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using an MBE process to produce communications lasers in high volume, and believe it would be difficult, and time-consuming, for other vendors to replicate our production technology.</w:t>
      </w:r>
    </w:p>
    <w:p>
      <w:pPr>
        <w:spacing w:after="0" w:line="191" w:lineRule="exact"/>
        <w:rPr>
          <w:rFonts w:ascii="Arial" w:cs="Arial" w:eastAsia="Arial" w:hAnsi="Arial"/>
          <w:sz w:val="15"/>
          <w:szCs w:val="15"/>
          <w:color w:val="auto"/>
        </w:rPr>
      </w:pPr>
    </w:p>
    <w:p>
      <w:pPr>
        <w:ind w:left="1060" w:right="120" w:hanging="531"/>
        <w:spacing w:after="0" w:line="263"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Laser enhancement technology. </w:t>
      </w:r>
      <w:r>
        <w:rPr>
          <w:rFonts w:ascii="Arial" w:cs="Arial" w:eastAsia="Arial" w:hAnsi="Arial"/>
          <w:sz w:val="17"/>
          <w:szCs w:val="17"/>
          <w:color w:val="auto"/>
        </w:rPr>
        <w:t>Certain properties of the semiconductor lasers predominantly used in traditional communications devices,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200" w:lineRule="exact"/>
        <w:rPr>
          <w:rFonts w:ascii="Arial" w:cs="Arial" w:eastAsia="Arial" w:hAnsi="Arial"/>
          <w:sz w:val="17"/>
          <w:szCs w:val="17"/>
          <w:color w:val="auto"/>
        </w:rPr>
      </w:pPr>
    </w:p>
    <w:p>
      <w:pPr>
        <w:ind w:left="1060" w:hanging="531"/>
        <w:spacing w:after="0" w:line="278"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hybrid-integration technology. </w:t>
      </w:r>
      <w:r>
        <w:rPr>
          <w:rFonts w:ascii="Arial" w:cs="Arial" w:eastAsia="Arial" w:hAnsi="Arial"/>
          <w:sz w:val="16"/>
          <w:szCs w:val="16"/>
          <w:color w:val="auto"/>
        </w:rPr>
        <w:t>Reducing the size, power consumption and complexity of optical devices is essential for achieving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installing new fiber-optic cable is expensive and difficult, and in some situations prohibitively so for a network service provider. As a consequence, network operators seek to maximize the utilization of their installed fiber plant. In long-haul and metropolitan networks, service providers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200" w:lineRule="exact"/>
        <w:rPr>
          <w:sz w:val="20"/>
          <w:szCs w:val="20"/>
          <w:color w:val="auto"/>
        </w:rPr>
      </w:pPr>
    </w:p>
    <w:p>
      <w:pPr>
        <w:spacing w:after="0" w:line="215" w:lineRule="exact"/>
        <w:rPr>
          <w:sz w:val="20"/>
          <w:szCs w:val="20"/>
          <w:color w:val="auto"/>
        </w:rPr>
      </w:pPr>
    </w:p>
    <w:p>
      <w:pPr>
        <w:jc w:val="both"/>
        <w:ind w:left="1060" w:right="460"/>
        <w:spacing w:after="0" w:line="322" w:lineRule="auto"/>
        <w:rPr>
          <w:sz w:val="20"/>
          <w:szCs w:val="20"/>
          <w:color w:val="auto"/>
        </w:rPr>
      </w:pPr>
      <w:r>
        <w:rPr>
          <w:rFonts w:ascii="Arial" w:cs="Arial" w:eastAsia="Arial" w:hAnsi="Arial"/>
          <w:sz w:val="15"/>
          <w:szCs w:val="15"/>
          <w:color w:val="auto"/>
        </w:rPr>
        <w:t>WDM-PON is a term used for a variety of multi-wavelength PON architectures. Various technologies have been utilized by several companies to deploy WDM-PON networks in the past. These existing technologies are generally believed to be too costly to deploy or suffer from operational limitations that limit their use to only certain deployment scenarios. By contrast, we believe our optical hybrid-integration technology can be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deployed in a wide range of circumstances due to its lower cost per bit delivered, and as the market migrates to higher bandwidth connections we expect that our solutions will become increasingly attractive. In the internet data center market, we target operators who have adopted an open system architecture—one in which the optical connectivity solutions can be provided by a different vendor than the vendor which provides their servers and switches. We believe this segment of the market will grow meaningfully in coming years, and that we are well positioned to capture this business as an independent optics vendor.</w:t>
      </w:r>
    </w:p>
    <w:p>
      <w:pPr>
        <w:spacing w:after="0" w:line="201" w:lineRule="exact"/>
        <w:rPr>
          <w:sz w:val="20"/>
          <w:szCs w:val="20"/>
          <w:color w:val="auto"/>
        </w:rPr>
      </w:pPr>
    </w:p>
    <w:p>
      <w:pPr>
        <w:spacing w:after="0" w:line="300" w:lineRule="auto"/>
        <w:rPr>
          <w:sz w:val="20"/>
          <w:szCs w:val="20"/>
          <w:color w:val="auto"/>
        </w:rPr>
      </w:pPr>
      <w:r>
        <w:rPr>
          <w:rFonts w:ascii="Arial" w:cs="Arial" w:eastAsia="Arial" w:hAnsi="Arial"/>
          <w:sz w:val="15"/>
          <w:szCs w:val="15"/>
          <w:b w:val="1"/>
          <w:bCs w:val="1"/>
          <w:i w:val="1"/>
          <w:iCs w:val="1"/>
          <w:color w:val="auto"/>
        </w:rPr>
        <w:t xml:space="preserve">Mixed-signal design. </w:t>
      </w:r>
      <w:r>
        <w:rPr>
          <w:rFonts w:ascii="Arial" w:cs="Arial" w:eastAsia="Arial" w:hAnsi="Arial"/>
          <w:sz w:val="15"/>
          <w:szCs w:val="15"/>
          <w:color w:val="auto"/>
        </w:rPr>
        <w:t>As CATV providers continue to evolve from primarily broadcast-video content providers to a mixture of HD video content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531" w:lineRule="exact"/>
        <w:rPr>
          <w:sz w:val="20"/>
          <w:szCs w:val="20"/>
          <w:color w:val="auto"/>
        </w:rPr>
      </w:pPr>
    </w:p>
    <w:p>
      <w:pPr>
        <w:sectPr>
          <w:pgSz w:w="11900" w:h="16838" w:orient="portrait"/>
          <w:cols w:equalWidth="0" w:num="2">
            <w:col w:w="1000" w:space="60"/>
            <w:col w:w="10360"/>
          </w:cols>
          <w:pgMar w:left="240" w:top="131" w:right="239" w:bottom="1440" w:gutter="0" w:footer="0" w:header="0"/>
          <w:type w:val="continuous"/>
        </w:sectPr>
      </w:pPr>
    </w:p>
    <w:p>
      <w:pPr>
        <w:spacing w:after="0" w:line="51" w:lineRule="exact"/>
        <w:rPr>
          <w:sz w:val="20"/>
          <w:szCs w:val="20"/>
          <w:color w:val="auto"/>
        </w:rPr>
      </w:pPr>
    </w:p>
    <w:p>
      <w:pPr>
        <w:jc w:val="both"/>
        <w:ind w:right="140" w:firstLine="341"/>
        <w:spacing w:after="0" w:line="270" w:lineRule="auto"/>
        <w:rPr>
          <w:sz w:val="20"/>
          <w:szCs w:val="20"/>
          <w:color w:val="auto"/>
        </w:rPr>
      </w:pPr>
      <w:r>
        <w:rPr>
          <w:rFonts w:ascii="Arial" w:cs="Arial" w:eastAsia="Arial" w:hAnsi="Arial"/>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79" w:lineRule="exact"/>
        <w:rPr>
          <w:sz w:val="20"/>
          <w:szCs w:val="20"/>
          <w:color w:val="auto"/>
        </w:rPr>
      </w:pPr>
    </w:p>
    <w:p>
      <w:pPr>
        <w:ind w:right="160" w:firstLine="341"/>
        <w:spacing w:after="0" w:line="311" w:lineRule="auto"/>
        <w:rPr>
          <w:sz w:val="20"/>
          <w:szCs w:val="20"/>
          <w:color w:val="auto"/>
        </w:rPr>
      </w:pPr>
      <w:r>
        <w:rPr>
          <w:rFonts w:ascii="Arial" w:cs="Arial" w:eastAsia="Arial" w:hAnsi="Arial"/>
          <w:sz w:val="15"/>
          <w:szCs w:val="15"/>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55" w:lineRule="exact"/>
        <w:rPr>
          <w:sz w:val="20"/>
          <w:szCs w:val="20"/>
          <w:color w:val="auto"/>
        </w:rPr>
      </w:pPr>
    </w:p>
    <w:p>
      <w:pPr>
        <w:ind w:right="520" w:firstLine="332"/>
        <w:spacing w:after="0" w:line="282" w:lineRule="auto"/>
        <w:rPr>
          <w:sz w:val="20"/>
          <w:szCs w:val="20"/>
          <w:color w:val="auto"/>
        </w:rPr>
      </w:pPr>
      <w:r>
        <w:rPr>
          <w:rFonts w:ascii="Arial" w:cs="Arial" w:eastAsia="Arial" w:hAnsi="Arial"/>
          <w:sz w:val="17"/>
          <w:szCs w:val="17"/>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70" w:lineRule="exact"/>
        <w:rPr>
          <w:sz w:val="20"/>
          <w:szCs w:val="20"/>
          <w:color w:val="auto"/>
        </w:rPr>
      </w:pPr>
    </w:p>
    <w:p>
      <w:pPr>
        <w:ind w:right="180" w:firstLine="332"/>
        <w:spacing w:after="0" w:line="294" w:lineRule="auto"/>
        <w:rPr>
          <w:sz w:val="20"/>
          <w:szCs w:val="20"/>
          <w:color w:val="auto"/>
        </w:rPr>
      </w:pPr>
      <w:r>
        <w:rPr>
          <w:rFonts w:ascii="Arial" w:cs="Arial" w:eastAsia="Arial" w:hAnsi="Arial"/>
          <w:sz w:val="16"/>
          <w:szCs w:val="16"/>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6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Our products mainly differ from each other by their end market, intended use and level of integration. We have over 12,800 product stock-keeping units, or SKUs, including approximately 6,500 component product SKUs, approximately 3,600 module product SKUs and approximately 2,700 equipment product SKUs. The following tables provide a view of our some of our various components, modules and equipment grouped by the markets they serve.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CATV Products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00" w:type="dxa"/>
            <w:vAlign w:val="bottom"/>
          </w:tcPr>
          <w:p>
            <w:pPr>
              <w:spacing w:after="0"/>
              <w:rPr>
                <w:sz w:val="13"/>
                <w:szCs w:val="13"/>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Product Family</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7"/>
              </w:rPr>
              <w:t>Product Level</w:t>
            </w:r>
          </w:p>
        </w:tc>
        <w:tc>
          <w:tcPr>
            <w:tcW w:w="16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tcPr>
          <w:p>
            <w:pPr>
              <w:spacing w:after="0" w:line="194" w:lineRule="exact"/>
              <w:rPr>
                <w:sz w:val="20"/>
                <w:szCs w:val="20"/>
                <w:color w:val="auto"/>
              </w:rPr>
            </w:pPr>
            <w:r>
              <w:rPr>
                <w:rFonts w:ascii="Arial" w:cs="Arial" w:eastAsia="Arial" w:hAnsi="Arial"/>
                <w:sz w:val="17"/>
                <w:szCs w:val="17"/>
                <w:color w:val="auto"/>
              </w:rPr>
              <w:t>CATV transmitters</w:t>
            </w:r>
          </w:p>
        </w:tc>
        <w:tc>
          <w:tcPr>
            <w:tcW w:w="1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Arial" w:cs="Arial" w:eastAsia="Arial" w:hAnsi="Arial"/>
                <w:sz w:val="17"/>
                <w:szCs w:val="17"/>
                <w:color w:val="auto"/>
              </w:rPr>
              <w:t>Equipment</w:t>
            </w:r>
          </w:p>
        </w:tc>
        <w:tc>
          <w:tcPr>
            <w:tcW w:w="16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Equipment for transmitting data</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1"/>
              </w:rPr>
              <w:t>and video signals from the office or</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hub site of a multiple system</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0"/>
              </w:rPr>
              <w:t>operator, or MSO, to the consumer.</w:t>
            </w:r>
          </w:p>
        </w:tc>
      </w:tr>
      <w:tr>
        <w:trPr>
          <w:trHeight w:val="413"/>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Compliant with the emerging</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DOCSIS 3.1 standard.</w:t>
            </w:r>
          </w:p>
        </w:tc>
      </w:tr>
      <w:tr>
        <w:trPr>
          <w:trHeight w:val="702"/>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CATV nodes</w:t>
            </w:r>
          </w:p>
        </w:tc>
        <w:tc>
          <w:tcPr>
            <w:tcW w:w="1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Equipment</w:t>
            </w: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Equipment used for receiving</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5"/>
              </w:rPr>
              <w:t>optical signals and re-transmitting</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1"/>
              </w:rPr>
              <w:t>them over the coaxial cable portion</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of an CATV network. May also</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include return-path functions for</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receiving signals from the</w:t>
            </w:r>
          </w:p>
        </w:tc>
      </w:tr>
      <w:tr>
        <w:trPr>
          <w:trHeight w:val="210"/>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1"/>
              </w:rPr>
              <w:t>consumer and re-transmitting them</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as optical signals.</w:t>
            </w:r>
          </w:p>
        </w:tc>
      </w:tr>
      <w:tr>
        <w:trPr>
          <w:trHeight w:val="413"/>
        </w:trPr>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Compliant with the emerging</w:t>
            </w:r>
          </w:p>
        </w:tc>
      </w:tr>
      <w:tr>
        <w:trPr>
          <w:trHeight w:val="216"/>
        </w:trPr>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DOCSIS 3.1 standard.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-2561590</wp:posOffset>
            </wp:positionV>
            <wp:extent cx="1423670" cy="948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23670" cy="9486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-1313180</wp:posOffset>
            </wp:positionV>
            <wp:extent cx="1298575" cy="1948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98575" cy="194818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CATV return-receivers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45720</wp:posOffset>
            </wp:positionV>
            <wp:extent cx="1481455" cy="998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81455" cy="998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140"/>
        <w:spacing w:after="0" w:line="270" w:lineRule="auto"/>
        <w:rPr>
          <w:sz w:val="20"/>
          <w:szCs w:val="20"/>
          <w:color w:val="auto"/>
        </w:rPr>
      </w:pPr>
      <w:r>
        <w:rPr>
          <w:rFonts w:ascii="Arial" w:cs="Arial" w:eastAsia="Arial" w:hAnsi="Arial"/>
          <w:sz w:val="17"/>
          <w:szCs w:val="17"/>
          <w:color w:val="auto"/>
        </w:rPr>
        <w:t>Equipment used in the office or hub site of an MSO to receive signals transmitted from a node.</w:t>
      </w:r>
    </w:p>
    <w:p>
      <w:pPr>
        <w:spacing w:after="0" w:line="200" w:lineRule="exact"/>
        <w:rPr>
          <w:sz w:val="20"/>
          <w:szCs w:val="20"/>
          <w:color w:val="auto"/>
        </w:rPr>
      </w:pPr>
    </w:p>
    <w:p>
      <w:pPr>
        <w:sectPr>
          <w:pgSz w:w="11900" w:h="16838" w:orient="portrait"/>
          <w:cols w:equalWidth="0" w:num="3">
            <w:col w:w="6000" w:space="720"/>
            <w:col w:w="760" w:space="340"/>
            <w:col w:w="360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Ethernet over Coax Access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162560</wp:posOffset>
            </wp:positionV>
            <wp:extent cx="1456690" cy="9740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56690" cy="974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360"/>
        <w:spacing w:after="0" w:line="265" w:lineRule="auto"/>
        <w:rPr>
          <w:sz w:val="20"/>
          <w:szCs w:val="20"/>
          <w:color w:val="auto"/>
        </w:rPr>
      </w:pPr>
      <w:r>
        <w:rPr>
          <w:rFonts w:ascii="Arial" w:cs="Arial" w:eastAsia="Arial" w:hAnsi="Arial"/>
          <w:sz w:val="17"/>
          <w:szCs w:val="17"/>
          <w:color w:val="auto"/>
        </w:rPr>
        <w:t>Used primarily in China for deployment of fiber-to-the-home services over the CATV infrastructure.</w:t>
      </w:r>
    </w:p>
    <w:p>
      <w:pPr>
        <w:spacing w:after="0" w:line="200" w:lineRule="exact"/>
        <w:rPr>
          <w:sz w:val="20"/>
          <w:szCs w:val="20"/>
          <w:color w:val="auto"/>
        </w:rPr>
      </w:pPr>
    </w:p>
    <w:p>
      <w:pPr>
        <w:sectPr>
          <w:pgSz w:w="11900" w:h="16838" w:orient="portrait"/>
          <w:cols w:equalWidth="0" w:num="3">
            <w:col w:w="6080" w:space="640"/>
            <w:col w:w="760" w:space="340"/>
            <w:col w:w="360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ind w:left="3760"/>
              <w:spacing w:after="0"/>
              <w:rPr>
                <w:sz w:val="20"/>
                <w:szCs w:val="20"/>
                <w:color w:val="auto"/>
              </w:rPr>
            </w:pPr>
            <w:r>
              <w:rPr>
                <w:rFonts w:ascii="Arial" w:cs="Arial" w:eastAsia="Arial" w:hAnsi="Arial"/>
                <w:sz w:val="17"/>
                <w:szCs w:val="17"/>
                <w:color w:val="auto"/>
                <w:w w:val="92"/>
              </w:rPr>
              <w:t>SFP Transmitter/Receiver</w:t>
            </w:r>
          </w:p>
        </w:tc>
        <w:tc>
          <w:tcPr>
            <w:tcW w:w="1960" w:type="dxa"/>
            <w:vAlign w:val="bottom"/>
          </w:tcPr>
          <w:p>
            <w:pPr>
              <w:jc w:val="right"/>
              <w:ind w:right="195"/>
              <w:spacing w:after="0"/>
              <w:rPr>
                <w:sz w:val="20"/>
                <w:szCs w:val="20"/>
                <w:color w:val="auto"/>
              </w:rPr>
            </w:pPr>
            <w:r>
              <w:rPr>
                <w:rFonts w:ascii="Arial" w:cs="Arial" w:eastAsia="Arial" w:hAnsi="Arial"/>
                <w:sz w:val="17"/>
                <w:szCs w:val="17"/>
                <w:color w:val="auto"/>
              </w:rPr>
              <w:t>Module</w:t>
            </w:r>
          </w:p>
        </w:tc>
        <w:tc>
          <w:tcPr>
            <w:tcW w:w="3880" w:type="dxa"/>
            <w:vAlign w:val="bottom"/>
          </w:tcPr>
          <w:p>
            <w:pPr>
              <w:ind w:left="280"/>
              <w:spacing w:after="0"/>
              <w:rPr>
                <w:sz w:val="20"/>
                <w:szCs w:val="20"/>
                <w:color w:val="auto"/>
              </w:rPr>
            </w:pPr>
            <w:r>
              <w:rPr>
                <w:rFonts w:ascii="Arial" w:cs="Arial" w:eastAsia="Arial" w:hAnsi="Arial"/>
                <w:sz w:val="17"/>
                <w:szCs w:val="17"/>
                <w:color w:val="auto"/>
              </w:rPr>
              <w:t>Pluggable transmitter or receiver</w:t>
            </w:r>
          </w:p>
        </w:tc>
      </w:tr>
      <w:tr>
        <w:trPr>
          <w:trHeight w:val="210"/>
        </w:trPr>
        <w:tc>
          <w:tcPr>
            <w:tcW w:w="5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Arial" w:cs="Arial" w:eastAsia="Arial" w:hAnsi="Arial"/>
                <w:sz w:val="17"/>
                <w:szCs w:val="17"/>
                <w:color w:val="auto"/>
              </w:rPr>
              <w:t>for digital return-path CATV</w:t>
            </w:r>
          </w:p>
        </w:tc>
      </w:tr>
      <w:tr>
        <w:trPr>
          <w:trHeight w:val="216"/>
        </w:trPr>
        <w:tc>
          <w:tcPr>
            <w:tcW w:w="5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Arial" w:cs="Arial" w:eastAsia="Arial" w:hAnsi="Arial"/>
                <w:sz w:val="17"/>
                <w:szCs w:val="17"/>
                <w:color w:val="auto"/>
              </w:rPr>
              <w:t>architecture.</w:t>
            </w:r>
          </w:p>
        </w:tc>
      </w:tr>
      <w:tr>
        <w:trPr>
          <w:trHeight w:val="413"/>
        </w:trPr>
        <w:tc>
          <w:tcPr>
            <w:tcW w:w="5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7"/>
                <w:szCs w:val="17"/>
                <w:color w:val="auto"/>
              </w:rPr>
              <w:t>Up to 90° Celsius operating</w:t>
            </w:r>
          </w:p>
        </w:tc>
      </w:tr>
      <w:tr>
        <w:trPr>
          <w:trHeight w:val="216"/>
        </w:trPr>
        <w:tc>
          <w:tcPr>
            <w:tcW w:w="5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80" w:type="dxa"/>
            <w:vAlign w:val="bottom"/>
          </w:tcPr>
          <w:p>
            <w:pPr>
              <w:ind w:left="280"/>
              <w:spacing w:after="0"/>
              <w:rPr>
                <w:sz w:val="20"/>
                <w:szCs w:val="20"/>
                <w:color w:val="auto"/>
              </w:rPr>
            </w:pPr>
            <w:r>
              <w:rPr>
                <w:rFonts w:ascii="Arial" w:cs="Arial" w:eastAsia="Arial" w:hAnsi="Arial"/>
                <w:sz w:val="17"/>
                <w:szCs w:val="17"/>
                <w:color w:val="auto"/>
              </w:rPr>
              <w:t>temperature.</w:t>
            </w:r>
          </w:p>
        </w:tc>
      </w:tr>
      <w:tr>
        <w:trPr>
          <w:trHeight w:val="734"/>
        </w:trPr>
        <w:tc>
          <w:tcPr>
            <w:tcW w:w="5580" w:type="dxa"/>
            <w:vAlign w:val="bottom"/>
          </w:tcPr>
          <w:p>
            <w:pPr>
              <w:spacing w:after="0"/>
              <w:rPr>
                <w:sz w:val="24"/>
                <w:szCs w:val="24"/>
                <w:color w:val="auto"/>
              </w:rPr>
            </w:pPr>
          </w:p>
        </w:tc>
        <w:tc>
          <w:tcPr>
            <w:tcW w:w="1960" w:type="dxa"/>
            <w:vAlign w:val="bottom"/>
          </w:tcPr>
          <w:p>
            <w:pPr>
              <w:jc w:val="right"/>
              <w:ind w:right="1655"/>
              <w:spacing w:after="0"/>
              <w:rPr>
                <w:sz w:val="20"/>
                <w:szCs w:val="20"/>
                <w:color w:val="auto"/>
              </w:rPr>
            </w:pPr>
            <w:r>
              <w:rPr>
                <w:rFonts w:ascii="Arial" w:cs="Arial" w:eastAsia="Arial" w:hAnsi="Arial"/>
                <w:sz w:val="17"/>
                <w:szCs w:val="17"/>
                <w:color w:val="auto"/>
              </w:rPr>
              <w:t>91</w:t>
            </w:r>
          </w:p>
        </w:tc>
        <w:tc>
          <w:tcPr>
            <w:tcW w:w="3880" w:type="dxa"/>
            <w:vAlign w:val="bottom"/>
          </w:tcPr>
          <w:p>
            <w:pPr>
              <w:spacing w:after="0"/>
              <w:rPr>
                <w:sz w:val="24"/>
                <w:szCs w:val="24"/>
                <w:color w:val="auto"/>
              </w:rPr>
            </w:pPr>
          </w:p>
        </w:tc>
      </w:tr>
      <w:tr>
        <w:trPr>
          <w:trHeight w:val="222"/>
        </w:trPr>
        <w:tc>
          <w:tcPr>
            <w:tcW w:w="55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-1150620</wp:posOffset>
            </wp:positionV>
            <wp:extent cx="1531620" cy="7327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31620" cy="7327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20" w:type="dxa"/>
            <w:vAlign w:val="bottom"/>
          </w:tcPr>
          <w:p>
            <w:pPr>
              <w:spacing w:after="0"/>
              <w:rPr>
                <w:sz w:val="13"/>
                <w:szCs w:val="13"/>
                <w:color w:val="auto"/>
              </w:rPr>
            </w:pP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80" w:type="dxa"/>
            <w:vAlign w:val="bottom"/>
          </w:tcPr>
          <w:p>
            <w:pPr>
              <w:spacing w:after="0"/>
              <w:rPr>
                <w:sz w:val="13"/>
                <w:szCs w:val="13"/>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80" w:type="dxa"/>
            <w:vAlign w:val="bottom"/>
          </w:tcPr>
          <w:p>
            <w:pPr>
              <w:spacing w:after="0" w:line="194" w:lineRule="exact"/>
              <w:rPr>
                <w:sz w:val="20"/>
                <w:szCs w:val="20"/>
                <w:color w:val="auto"/>
              </w:rPr>
            </w:pPr>
            <w:r>
              <w:rPr>
                <w:rFonts w:ascii="Arial" w:cs="Arial" w:eastAsia="Arial" w:hAnsi="Arial"/>
                <w:sz w:val="17"/>
                <w:szCs w:val="17"/>
                <w:color w:val="auto"/>
              </w:rPr>
              <w:t>Cooled laser diodes</w:t>
            </w:r>
          </w:p>
        </w:tc>
        <w:tc>
          <w:tcPr>
            <w:tcW w:w="180" w:type="dxa"/>
            <w:vAlign w:val="bottom"/>
          </w:tcPr>
          <w:p>
            <w:pPr>
              <w:spacing w:after="0"/>
              <w:rPr>
                <w:sz w:val="16"/>
                <w:szCs w:val="16"/>
                <w:color w:val="auto"/>
              </w:rPr>
            </w:pPr>
          </w:p>
        </w:tc>
        <w:tc>
          <w:tcPr>
            <w:tcW w:w="1180" w:type="dxa"/>
            <w:vAlign w:val="bottom"/>
          </w:tcPr>
          <w:p>
            <w:pPr>
              <w:spacing w:after="0" w:line="194" w:lineRule="exact"/>
              <w:rPr>
                <w:sz w:val="20"/>
                <w:szCs w:val="20"/>
                <w:color w:val="auto"/>
              </w:rPr>
            </w:pPr>
            <w:r>
              <w:rPr>
                <w:rFonts w:ascii="Arial" w:cs="Arial" w:eastAsia="Arial" w:hAnsi="Arial"/>
                <w:sz w:val="17"/>
                <w:szCs w:val="17"/>
                <w:color w:val="auto"/>
              </w:rPr>
              <w:t>Component</w:t>
            </w:r>
          </w:p>
        </w:tc>
        <w:tc>
          <w:tcPr>
            <w:tcW w:w="20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Laser diodes incorporating</w:t>
            </w:r>
          </w:p>
        </w:tc>
      </w:tr>
      <w:tr>
        <w:trPr>
          <w:trHeight w:val="210"/>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integrated coolers to maintain</w:t>
            </w:r>
          </w:p>
        </w:tc>
      </w:tr>
      <w:tr>
        <w:trPr>
          <w:trHeight w:val="210"/>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5"/>
              </w:rPr>
              <w:t>consistent performance over wide</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ambient temperature ranges.</w:t>
            </w:r>
          </w:p>
        </w:tc>
      </w:tr>
      <w:tr>
        <w:trPr>
          <w:trHeight w:val="440"/>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Up to 90° Celsius operating</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temperature.</w:t>
            </w:r>
          </w:p>
        </w:tc>
      </w:tr>
      <w:tr>
        <w:trPr>
          <w:trHeight w:val="629"/>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7"/>
                <w:szCs w:val="17"/>
                <w:color w:val="auto"/>
              </w:rPr>
              <w:t>Uncooled laser diodes</w:t>
            </w:r>
          </w:p>
        </w:tc>
        <w:tc>
          <w:tcPr>
            <w:tcW w:w="18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Component</w:t>
            </w: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Laser diodes without coolers.</w:t>
            </w:r>
          </w:p>
        </w:tc>
      </w:tr>
      <w:tr>
        <w:trPr>
          <w:trHeight w:val="440"/>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Up to 90° Celsius operating</w:t>
            </w:r>
          </w:p>
        </w:tc>
      </w:tr>
      <w:tr>
        <w:trPr>
          <w:trHeight w:val="216"/>
        </w:trPr>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temperature.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-1496060</wp:posOffset>
            </wp:positionV>
            <wp:extent cx="1198880" cy="798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98880" cy="79883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-397510</wp:posOffset>
            </wp:positionV>
            <wp:extent cx="1273810" cy="957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3810" cy="95758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Arial" w:cs="Arial" w:eastAsia="Arial" w:hAnsi="Arial"/>
          <w:sz w:val="15"/>
          <w:szCs w:val="15"/>
          <w:color w:val="auto"/>
        </w:rPr>
        <w:t>Photodiodes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45720</wp:posOffset>
            </wp:positionV>
            <wp:extent cx="1306830" cy="9823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6830" cy="982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Used to receive optical signals transmitted from a laser diode or other optical transmitter.</w:t>
      </w:r>
    </w:p>
    <w:p>
      <w:pPr>
        <w:spacing w:after="0" w:line="200" w:lineRule="exact"/>
        <w:rPr>
          <w:sz w:val="20"/>
          <w:szCs w:val="20"/>
          <w:color w:val="auto"/>
        </w:rPr>
      </w:pPr>
    </w:p>
    <w:p>
      <w:pPr>
        <w:sectPr>
          <w:pgSz w:w="11900" w:h="16838" w:orient="portrait"/>
          <w:cols w:equalWidth="0" w:num="3">
            <w:col w:w="5720" w:space="720"/>
            <w:col w:w="800" w:space="580"/>
            <w:col w:w="244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FTTH Products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6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80" w:type="dxa"/>
            <w:vAlign w:val="bottom"/>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line="194" w:lineRule="exact"/>
              <w:rPr>
                <w:sz w:val="20"/>
                <w:szCs w:val="20"/>
                <w:color w:val="auto"/>
              </w:rPr>
            </w:pPr>
            <w:r>
              <w:rPr>
                <w:rFonts w:ascii="Arial" w:cs="Arial" w:eastAsia="Arial" w:hAnsi="Arial"/>
                <w:sz w:val="17"/>
                <w:szCs w:val="17"/>
                <w:color w:val="auto"/>
              </w:rPr>
              <w:t>WDM-PON OLT module</w:t>
            </w:r>
          </w:p>
        </w:tc>
        <w:tc>
          <w:tcPr>
            <w:tcW w:w="180" w:type="dxa"/>
            <w:vAlign w:val="bottom"/>
          </w:tcPr>
          <w:p>
            <w:pPr>
              <w:spacing w:after="0"/>
              <w:rPr>
                <w:sz w:val="16"/>
                <w:szCs w:val="16"/>
                <w:color w:val="auto"/>
              </w:rPr>
            </w:pPr>
          </w:p>
        </w:tc>
        <w:tc>
          <w:tcPr>
            <w:tcW w:w="1160" w:type="dxa"/>
            <w:vAlign w:val="bottom"/>
          </w:tcPr>
          <w:p>
            <w:pPr>
              <w:spacing w:after="0" w:line="194" w:lineRule="exact"/>
              <w:rPr>
                <w:sz w:val="20"/>
                <w:szCs w:val="20"/>
                <w:color w:val="auto"/>
              </w:rPr>
            </w:pPr>
            <w:r>
              <w:rPr>
                <w:rFonts w:ascii="Arial" w:cs="Arial" w:eastAsia="Arial" w:hAnsi="Arial"/>
                <w:sz w:val="17"/>
                <w:szCs w:val="17"/>
                <w:color w:val="auto"/>
              </w:rPr>
              <w:t>Module</w:t>
            </w:r>
          </w:p>
        </w:tc>
        <w:tc>
          <w:tcPr>
            <w:tcW w:w="20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Transmission, multiplexing,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demultiplexing and reception of</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multiple WDM optical signals.</w:t>
            </w:r>
          </w:p>
        </w:tc>
      </w:tr>
      <w:tr>
        <w:trPr>
          <w:trHeight w:val="419"/>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16 Gbps transceiver modules.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-397510</wp:posOffset>
            </wp:positionV>
            <wp:extent cx="1273810" cy="832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3810" cy="83248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Gigabit Ethernet SFF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45720</wp:posOffset>
            </wp:positionV>
            <wp:extent cx="1223645" cy="8077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23645"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Small Form Factor transmit/receive module for Gigabit Ethernet FTTH.</w:t>
      </w:r>
    </w:p>
    <w:p>
      <w:pPr>
        <w:spacing w:after="0" w:line="200" w:lineRule="exact"/>
        <w:rPr>
          <w:sz w:val="20"/>
          <w:szCs w:val="20"/>
          <w:color w:val="auto"/>
        </w:rPr>
      </w:pPr>
    </w:p>
    <w:p>
      <w:pPr>
        <w:sectPr>
          <w:pgSz w:w="11900" w:h="16838" w:orient="portrait"/>
          <w:cols w:equalWidth="0" w:num="3">
            <w:col w:w="5740" w:space="720"/>
            <w:col w:w="640" w:space="720"/>
            <w:col w:w="244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Video receiver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45720</wp:posOffset>
            </wp:positionV>
            <wp:extent cx="1231900" cy="807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1900" cy="807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Reception of video signals in an FTTH network.</w:t>
      </w:r>
    </w:p>
    <w:p>
      <w:pPr>
        <w:spacing w:after="0" w:line="200" w:lineRule="exact"/>
        <w:rPr>
          <w:sz w:val="20"/>
          <w:szCs w:val="20"/>
          <w:color w:val="auto"/>
        </w:rPr>
      </w:pPr>
    </w:p>
    <w:p>
      <w:pPr>
        <w:sectPr>
          <w:pgSz w:w="11900" w:h="16838" w:orient="portrait"/>
          <w:cols w:equalWidth="0" w:num="3">
            <w:col w:w="5740" w:space="720"/>
            <w:col w:w="640" w:space="720"/>
            <w:col w:w="2440"/>
          </w:cols>
          <w:pgMar w:left="24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16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80" w:type="dxa"/>
            <w:vAlign w:val="bottom"/>
          </w:tcPr>
          <w:p>
            <w:pPr>
              <w:spacing w:after="0"/>
              <w:rPr>
                <w:sz w:val="13"/>
                <w:szCs w:val="13"/>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Product Level</w:t>
            </w:r>
          </w:p>
        </w:tc>
        <w:tc>
          <w:tcPr>
            <w:tcW w:w="20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line="194" w:lineRule="exact"/>
              <w:rPr>
                <w:sz w:val="20"/>
                <w:szCs w:val="20"/>
                <w:color w:val="auto"/>
              </w:rPr>
            </w:pPr>
            <w:r>
              <w:rPr>
                <w:rFonts w:ascii="Arial" w:cs="Arial" w:eastAsia="Arial" w:hAnsi="Arial"/>
                <w:sz w:val="17"/>
                <w:szCs w:val="17"/>
                <w:color w:val="auto"/>
              </w:rPr>
              <w:t>Bi-directional and tri-port optical</w:t>
            </w:r>
          </w:p>
        </w:tc>
        <w:tc>
          <w:tcPr>
            <w:tcW w:w="180" w:type="dxa"/>
            <w:vAlign w:val="bottom"/>
          </w:tcPr>
          <w:p>
            <w:pPr>
              <w:spacing w:after="0"/>
              <w:rPr>
                <w:sz w:val="16"/>
                <w:szCs w:val="16"/>
                <w:color w:val="auto"/>
              </w:rPr>
            </w:pPr>
          </w:p>
        </w:tc>
        <w:tc>
          <w:tcPr>
            <w:tcW w:w="1160" w:type="dxa"/>
            <w:vAlign w:val="bottom"/>
          </w:tcPr>
          <w:p>
            <w:pPr>
              <w:spacing w:after="0" w:line="194" w:lineRule="exact"/>
              <w:rPr>
                <w:sz w:val="20"/>
                <w:szCs w:val="20"/>
                <w:color w:val="auto"/>
              </w:rPr>
            </w:pPr>
            <w:r>
              <w:rPr>
                <w:rFonts w:ascii="Arial" w:cs="Arial" w:eastAsia="Arial" w:hAnsi="Arial"/>
                <w:sz w:val="17"/>
                <w:szCs w:val="17"/>
                <w:color w:val="auto"/>
              </w:rPr>
              <w:t>Component</w:t>
            </w:r>
          </w:p>
        </w:tc>
        <w:tc>
          <w:tcPr>
            <w:tcW w:w="20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Optical devices incorporating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blocks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wavelength division multiplexing</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functionality allowing multiple</w:t>
            </w:r>
          </w:p>
        </w:tc>
      </w:tr>
      <w:tr>
        <w:trPr>
          <w:trHeight w:val="210"/>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signal types on a single optical</w:t>
            </w:r>
          </w:p>
        </w:tc>
      </w:tr>
      <w:tr>
        <w:trPr>
          <w:trHeight w:val="216"/>
        </w:trPr>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fiber.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-397510</wp:posOffset>
            </wp:positionV>
            <wp:extent cx="1173480" cy="782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73480" cy="782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Laser chips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45720</wp:posOffset>
            </wp:positionV>
            <wp:extent cx="1198880" cy="798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98880" cy="798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140"/>
        <w:spacing w:after="0" w:line="270" w:lineRule="auto"/>
        <w:rPr>
          <w:sz w:val="20"/>
          <w:szCs w:val="20"/>
          <w:color w:val="auto"/>
        </w:rPr>
      </w:pPr>
      <w:r>
        <w:rPr>
          <w:rFonts w:ascii="Arial" w:cs="Arial" w:eastAsia="Arial" w:hAnsi="Arial"/>
          <w:sz w:val="17"/>
          <w:szCs w:val="17"/>
          <w:color w:val="auto"/>
        </w:rPr>
        <w:t>Standard GPON optical chips used by other manufacturers in specialized applications.</w:t>
      </w:r>
    </w:p>
    <w:p>
      <w:pPr>
        <w:spacing w:after="0" w:line="200" w:lineRule="exact"/>
        <w:rPr>
          <w:sz w:val="20"/>
          <w:szCs w:val="20"/>
          <w:color w:val="auto"/>
        </w:rPr>
      </w:pPr>
    </w:p>
    <w:p>
      <w:pPr>
        <w:sectPr>
          <w:pgSz w:w="11900" w:h="16838" w:orient="portrait"/>
          <w:cols w:equalWidth="0" w:num="3">
            <w:col w:w="5740" w:space="720"/>
            <w:col w:w="800" w:space="560"/>
            <w:col w:w="352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Internet Data Center Products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Representative Picture</w:t>
            </w:r>
          </w:p>
        </w:tc>
        <w:tc>
          <w:tcPr>
            <w:tcW w:w="1440" w:type="dxa"/>
            <w:vAlign w:val="bottom"/>
          </w:tcPr>
          <w:p>
            <w:pPr>
              <w:spacing w:after="0"/>
              <w:rPr>
                <w:sz w:val="13"/>
                <w:szCs w:val="13"/>
                <w:color w:val="auto"/>
              </w:rPr>
            </w:pP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Product Family</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7"/>
              </w:rPr>
              <w:t>Product Level</w:t>
            </w:r>
          </w:p>
        </w:tc>
        <w:tc>
          <w:tcPr>
            <w:tcW w:w="160" w:type="dxa"/>
            <w:vAlign w:val="bottom"/>
          </w:tcPr>
          <w:p>
            <w:pPr>
              <w:spacing w:after="0"/>
              <w:rPr>
                <w:sz w:val="13"/>
                <w:szCs w:val="13"/>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60" w:type="dxa"/>
            <w:vAlign w:val="bottom"/>
          </w:tcPr>
          <w:p>
            <w:pPr>
              <w:ind w:left="20"/>
              <w:spacing w:after="0" w:line="194" w:lineRule="exact"/>
              <w:rPr>
                <w:sz w:val="20"/>
                <w:szCs w:val="20"/>
                <w:color w:val="auto"/>
              </w:rPr>
            </w:pPr>
            <w:r>
              <w:rPr>
                <w:rFonts w:ascii="Arial" w:cs="Arial" w:eastAsia="Arial" w:hAnsi="Arial"/>
                <w:sz w:val="17"/>
                <w:szCs w:val="17"/>
                <w:color w:val="auto"/>
              </w:rPr>
              <w:t>10 gigabit small form factor</w:t>
            </w:r>
          </w:p>
        </w:tc>
        <w:tc>
          <w:tcPr>
            <w:tcW w:w="1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Arial" w:cs="Arial" w:eastAsia="Arial" w:hAnsi="Arial"/>
                <w:sz w:val="17"/>
                <w:szCs w:val="17"/>
                <w:color w:val="auto"/>
              </w:rPr>
              <w:t>Module</w:t>
            </w:r>
          </w:p>
        </w:tc>
        <w:tc>
          <w:tcPr>
            <w:tcW w:w="160" w:type="dxa"/>
            <w:vAlign w:val="bottom"/>
          </w:tcPr>
          <w:p>
            <w:pPr>
              <w:spacing w:after="0"/>
              <w:rPr>
                <w:sz w:val="16"/>
                <w:szCs w:val="16"/>
                <w:color w:val="auto"/>
              </w:rPr>
            </w:pPr>
          </w:p>
        </w:tc>
        <w:tc>
          <w:tcPr>
            <w:tcW w:w="2440" w:type="dxa"/>
            <w:vAlign w:val="bottom"/>
          </w:tcPr>
          <w:p>
            <w:pPr>
              <w:spacing w:after="0" w:line="194" w:lineRule="exact"/>
              <w:rPr>
                <w:sz w:val="20"/>
                <w:szCs w:val="20"/>
                <w:color w:val="auto"/>
              </w:rPr>
            </w:pPr>
            <w:r>
              <w:rPr>
                <w:rFonts w:ascii="Arial" w:cs="Arial" w:eastAsia="Arial" w:hAnsi="Arial"/>
                <w:sz w:val="17"/>
                <w:szCs w:val="17"/>
                <w:color w:val="auto"/>
              </w:rPr>
              <w:t>Used for 10 Gigabit Ethernet</w:t>
            </w:r>
          </w:p>
        </w:tc>
      </w:tr>
      <w:tr>
        <w:trPr>
          <w:trHeight w:val="216"/>
        </w:trPr>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w w:val="97"/>
              </w:rPr>
              <w:t>pluggable, or SFP+, transceivers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optical interconnections.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wp:posOffset>
            </wp:positionV>
            <wp:extent cx="1331595" cy="8826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31595" cy="88265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line="282" w:lineRule="auto"/>
        <w:rPr>
          <w:sz w:val="20"/>
          <w:szCs w:val="20"/>
          <w:color w:val="auto"/>
        </w:rPr>
      </w:pPr>
      <w:r>
        <w:rPr>
          <w:rFonts w:ascii="Arial" w:cs="Arial" w:eastAsia="Arial" w:hAnsi="Arial"/>
          <w:sz w:val="17"/>
          <w:szCs w:val="17"/>
          <w:color w:val="auto"/>
        </w:rPr>
        <w:t>Small form-factor pluggable, or SFP, transceivers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-135890</wp:posOffset>
            </wp:positionV>
            <wp:extent cx="1257300" cy="948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57300" cy="94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20"/>
        <w:spacing w:after="0" w:line="270" w:lineRule="auto"/>
        <w:rPr>
          <w:sz w:val="20"/>
          <w:szCs w:val="20"/>
          <w:color w:val="auto"/>
        </w:rPr>
      </w:pPr>
      <w:r>
        <w:rPr>
          <w:rFonts w:ascii="Arial" w:cs="Arial" w:eastAsia="Arial" w:hAnsi="Arial"/>
          <w:sz w:val="17"/>
          <w:szCs w:val="17"/>
          <w:color w:val="auto"/>
        </w:rPr>
        <w:t>Used for Gb Ethernet, or GbE, SONET OC-3 to OC-48, FiberChannel.</w:t>
      </w:r>
    </w:p>
    <w:p>
      <w:pPr>
        <w:spacing w:after="0" w:line="200" w:lineRule="exact"/>
        <w:rPr>
          <w:sz w:val="20"/>
          <w:szCs w:val="20"/>
          <w:color w:val="auto"/>
        </w:rPr>
      </w:pPr>
    </w:p>
    <w:p>
      <w:pPr>
        <w:sectPr>
          <w:pgSz w:w="11900" w:h="16838" w:orient="portrait"/>
          <w:cols w:equalWidth="0" w:num="3">
            <w:col w:w="6280" w:space="440"/>
            <w:col w:w="540" w:space="560"/>
            <w:col w:w="352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Arial" w:cs="Arial" w:eastAsia="Arial" w:hAnsi="Arial"/>
          <w:sz w:val="15"/>
          <w:szCs w:val="15"/>
          <w:color w:val="auto"/>
        </w:rPr>
        <w:t>Active Optical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45720</wp:posOffset>
            </wp:positionV>
            <wp:extent cx="1257300" cy="832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57300" cy="832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Module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100"/>
        <w:spacing w:after="0" w:line="322" w:lineRule="auto"/>
        <w:rPr>
          <w:sz w:val="20"/>
          <w:szCs w:val="20"/>
          <w:color w:val="auto"/>
        </w:rPr>
      </w:pPr>
      <w:r>
        <w:rPr>
          <w:rFonts w:ascii="Arial" w:cs="Arial" w:eastAsia="Arial" w:hAnsi="Arial"/>
          <w:sz w:val="15"/>
          <w:szCs w:val="15"/>
          <w:color w:val="auto"/>
        </w:rPr>
        <w:t>10 and 40 Gbps fiber-optic cable incorporating laser diode drive electronics into the cable assembly.</w:t>
      </w:r>
    </w:p>
    <w:p>
      <w:pPr>
        <w:spacing w:after="0" w:line="200" w:lineRule="exact"/>
        <w:rPr>
          <w:sz w:val="20"/>
          <w:szCs w:val="20"/>
          <w:color w:val="auto"/>
        </w:rPr>
      </w:pPr>
    </w:p>
    <w:p>
      <w:pPr>
        <w:sectPr>
          <w:pgSz w:w="11900" w:h="16838" w:orient="portrait"/>
          <w:cols w:equalWidth="0" w:num="3">
            <w:col w:w="6000" w:space="720"/>
            <w:col w:w="540" w:space="560"/>
            <w:col w:w="352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Patents</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As of June 30, 2013, we owned 57 issued patents in the U.S., 20 issued patents in China and 27 issued patents in Taiwan and had 39 additional patents pending, of which 25 were pending in the U.S., three were pending in China and 11 were pending in Taiwan, in addition to various counterpart applications pending pursuant to the Patent Cooperation Treaty and in Europe. Our issued patents will expire between 2018 and 2028.</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portfolio of patents and patent applications covers several different technology families including:</w:t>
      </w:r>
    </w:p>
    <w:p>
      <w:pPr>
        <w:spacing w:after="0" w:line="237"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laser structure and design;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optical signal conditioning and laser control;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laser fabrication;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photodiode and optical receiver design and fabrication;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optical device and module designs;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optical device packaging equipment and techniques;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optical network enhancements.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Trademarks</w:t>
      </w:r>
    </w:p>
    <w:p>
      <w:pPr>
        <w:spacing w:after="0" w:line="224" w:lineRule="exact"/>
        <w:rPr>
          <w:sz w:val="20"/>
          <w:szCs w:val="20"/>
          <w:color w:val="auto"/>
        </w:rPr>
      </w:pPr>
    </w:p>
    <w:p>
      <w:pPr>
        <w:ind w:right="540" w:firstLine="338"/>
        <w:spacing w:after="0" w:line="282" w:lineRule="auto"/>
        <w:rPr>
          <w:sz w:val="20"/>
          <w:szCs w:val="20"/>
          <w:color w:val="auto"/>
        </w:rPr>
      </w:pPr>
      <w:r>
        <w:rPr>
          <w:rFonts w:ascii="Arial" w:cs="Arial" w:eastAsia="Arial" w:hAnsi="Arial"/>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jc w:val="both"/>
        <w:ind w:right="60" w:firstLine="338"/>
        <w:spacing w:after="0" w:line="287"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Over the past three years, we released an average of over 1,000 product SKUs per year. Our research and development expenses were approximately $5.2 million, $6.5 million, $7.6 million, $3.3 million and $3.9 million for the years 2010, 2011 and 2012 and the six month periods ended June 30, 2012 and 2013, respectively.</w:t>
      </w:r>
    </w:p>
    <w:p>
      <w:pPr>
        <w:spacing w:after="0" w:line="169" w:lineRule="exact"/>
        <w:rPr>
          <w:sz w:val="20"/>
          <w:szCs w:val="20"/>
          <w:color w:val="auto"/>
        </w:rPr>
      </w:pPr>
    </w:p>
    <w:p>
      <w:pPr>
        <w:jc w:val="both"/>
        <w:ind w:right="20" w:firstLine="332"/>
        <w:spacing w:after="0" w:line="287" w:lineRule="auto"/>
        <w:rPr>
          <w:sz w:val="20"/>
          <w:szCs w:val="20"/>
          <w:color w:val="auto"/>
        </w:rPr>
      </w:pPr>
      <w:r>
        <w:rPr>
          <w:rFonts w:ascii="Arial" w:cs="Arial" w:eastAsia="Arial" w:hAnsi="Arial"/>
          <w:sz w:val="16"/>
          <w:szCs w:val="16"/>
          <w:color w:val="auto"/>
        </w:rPr>
        <w:t>As of June 30, 2013, we had a total of 219 engineers working in production and R&amp;D, including 20 with Ph.D. degrees. We had 111 of those engineers dedicated to R&amp;D, with 19 located in the U.S. and 92 located in Asia. We continue to recruit talented engineers to further enhance our research and development capabilities. We have research and development departments in our facilities in Texas, China and Taiwan. Our research and development teams collaborate on joint projects, and by co-locating with our manufacturing operations enable us to achieve an efficient cost structure and improve our time to market.</w:t>
      </w:r>
    </w:p>
    <w:p>
      <w:pPr>
        <w:spacing w:after="0" w:line="169" w:lineRule="exact"/>
        <w:rPr>
          <w:sz w:val="20"/>
          <w:szCs w:val="20"/>
          <w:color w:val="auto"/>
        </w:rPr>
      </w:pPr>
    </w:p>
    <w:p>
      <w:pPr>
        <w:ind w:right="40" w:firstLine="332"/>
        <w:spacing w:after="0" w:line="282"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purposefully fostering this close collaboration, we believe that we can more rapidly develop leading solutions meeting the needs of our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Operations</w:t>
      </w:r>
    </w:p>
    <w:p>
      <w:pPr>
        <w:spacing w:after="0" w:line="228"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partnered with our manufacturing locations. In our U.S. facility, we manufacture laser chips (utilizing our MBE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FTTH, internet data center and other markets. In our China facility we take advantage of lower labor costs and manufacture certain more labor intensive components and optical equipment systems, such as CATV transmitters (at the headend) and CATV outdoor equipment (at the node). Each facility conducts testing on the components, modules or subsystems it manufactures and each facility is certified to ISO 9001:2000.</w:t>
      </w:r>
    </w:p>
    <w:p>
      <w:pPr>
        <w:spacing w:after="0" w:line="177"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Our products are sold to our customers worldwide and also supply our internal component needs for the transceivers and equipment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 To date, we generally have been able to obtain sufficient quantities of quality supplies in a timely manner.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28" w:lineRule="exact"/>
        <w:rPr>
          <w:sz w:val="20"/>
          <w:szCs w:val="20"/>
          <w:color w:val="auto"/>
        </w:rPr>
      </w:pPr>
    </w:p>
    <w:p>
      <w:pPr>
        <w:ind w:right="120" w:firstLine="341"/>
        <w:spacing w:after="0" w:line="281" w:lineRule="auto"/>
        <w:rPr>
          <w:sz w:val="20"/>
          <w:szCs w:val="20"/>
          <w:color w:val="auto"/>
        </w:rPr>
      </w:pPr>
      <w:r>
        <w:rPr>
          <w:rFonts w:ascii="Arial" w:cs="Arial" w:eastAsia="Arial" w:hAnsi="Arial"/>
          <w:sz w:val="16"/>
          <w:szCs w:val="16"/>
          <w:color w:val="auto"/>
        </w:rPr>
        <w:t>Our customers are primarily CATV and telecommunications equipment manufacturers and internet data center operators. We generally employ a direct sales model in North America and in the rest of the world we use both direct and indirect sales channels. In 2010, 2011 and 2012, we obtained 82.9%, 84.3% and 85.4%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customers to assist them in more effectively using our products and realizing time-to-market advantages.</w:t>
      </w:r>
    </w:p>
    <w:p>
      <w:pPr>
        <w:spacing w:after="0" w:line="224" w:lineRule="exact"/>
        <w:rPr>
          <w:sz w:val="20"/>
          <w:szCs w:val="20"/>
          <w:color w:val="auto"/>
        </w:rPr>
      </w:pPr>
    </w:p>
    <w:p>
      <w:pPr>
        <w:jc w:val="both"/>
        <w:ind w:right="700" w:firstLine="341"/>
        <w:spacing w:after="0" w:line="270" w:lineRule="auto"/>
        <w:rPr>
          <w:sz w:val="20"/>
          <w:szCs w:val="20"/>
          <w:color w:val="auto"/>
        </w:rPr>
      </w:pPr>
      <w:r>
        <w:rPr>
          <w:rFonts w:ascii="Arial" w:cs="Arial" w:eastAsia="Arial" w:hAnsi="Arial"/>
          <w:sz w:val="17"/>
          <w:szCs w:val="17"/>
          <w:color w:val="auto"/>
        </w:rPr>
        <w:t>In 2012, our products were used by the five largest CATV equipment OEMs consisting of Arris Group Inc., Aurora Networks, Inc., Cisco Systems, Inc., Harmonic Inc. and Motorola Mobility Holdings, Inc. Our other key customers by revenue in 2012 included Genexis B.V. in the FTTH market and Microsoft Corporation in the internet data center market.</w:t>
      </w:r>
    </w:p>
    <w:p>
      <w:pPr>
        <w:spacing w:after="0" w:line="179" w:lineRule="exact"/>
        <w:rPr>
          <w:sz w:val="20"/>
          <w:szCs w:val="20"/>
          <w:color w:val="auto"/>
        </w:rPr>
      </w:pPr>
    </w:p>
    <w:p>
      <w:pPr>
        <w:ind w:right="740" w:firstLine="338"/>
        <w:spacing w:after="0" w:line="315" w:lineRule="auto"/>
        <w:rPr>
          <w:sz w:val="20"/>
          <w:szCs w:val="20"/>
          <w:color w:val="auto"/>
        </w:rPr>
      </w:pPr>
      <w:r>
        <w:rPr>
          <w:rFonts w:ascii="Arial" w:cs="Arial" w:eastAsia="Arial" w:hAnsi="Arial"/>
          <w:sz w:val="16"/>
          <w:szCs w:val="16"/>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28"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360" w:firstLine="338"/>
        <w:spacing w:after="0" w:line="287" w:lineRule="auto"/>
        <w:rPr>
          <w:sz w:val="20"/>
          <w:szCs w:val="20"/>
          <w:color w:val="auto"/>
        </w:rPr>
      </w:pPr>
      <w:r>
        <w:rPr>
          <w:rFonts w:ascii="Arial" w:cs="Arial" w:eastAsia="Arial" w:hAnsi="Arial"/>
          <w:sz w:val="16"/>
          <w:szCs w:val="16"/>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Avago, Inc., EMCORE Corporation, Finisar Corporation, JDS Uniphase Corporation, Mitsubishi, NeoPhotonics Corporation, Oclaro, Inc. and Sumitomo Electric Industries, Ltd.</w:t>
      </w:r>
    </w:p>
    <w:p>
      <w:pPr>
        <w:spacing w:after="0" w:line="16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Many of our competitors are larger than we are and have significantly greater financial, marketing and other resources. 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markets include the following:</w:t>
      </w:r>
    </w:p>
    <w:p>
      <w:pPr>
        <w:spacing w:after="0" w:line="237"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use of internally manufactured components;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product breadth and functionality;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timing and pace of new product development;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breadth of customer base;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technological expertise;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reliability of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product pricing;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manufacturing efficiency.</w:t>
      </w:r>
    </w:p>
    <w:p>
      <w:pPr>
        <w:spacing w:after="0" w:line="224" w:lineRule="exact"/>
        <w:rPr>
          <w:sz w:val="20"/>
          <w:szCs w:val="20"/>
          <w:color w:val="auto"/>
        </w:rPr>
      </w:pPr>
    </w:p>
    <w:p>
      <w:pPr>
        <w:ind w:right="520" w:firstLine="338"/>
        <w:spacing w:after="0" w:line="282" w:lineRule="auto"/>
        <w:rPr>
          <w:sz w:val="20"/>
          <w:szCs w:val="20"/>
          <w:color w:val="auto"/>
        </w:rPr>
      </w:pPr>
      <w:r>
        <w:rPr>
          <w:rFonts w:ascii="Arial" w:cs="Arial" w:eastAsia="Arial" w:hAnsi="Arial"/>
          <w:sz w:val="17"/>
          <w:szCs w:val="17"/>
          <w:color w:val="auto"/>
        </w:rPr>
        <w:t>We believe that we compete favorably with respect to the above factors based on our MBE processes, our vertically integrated model, the performance and reliability of our product offerings and the compelling value we offer to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120" w:firstLine="332"/>
        <w:spacing w:after="0" w:line="322" w:lineRule="auto"/>
        <w:rPr>
          <w:sz w:val="20"/>
          <w:szCs w:val="20"/>
          <w:color w:val="auto"/>
        </w:rPr>
      </w:pPr>
      <w:r>
        <w:rPr>
          <w:rFonts w:ascii="Arial" w:cs="Arial" w:eastAsia="Arial" w:hAnsi="Arial"/>
          <w:sz w:val="15"/>
          <w:szCs w:val="15"/>
          <w:color w:val="auto"/>
        </w:rPr>
        <w:t>As of June 30, 2013, we employed 927 full-time employees, of which 24 held Ph.D. degrees in a science or engineering field. Of our employees, 194 are located in the U.S., 518 are in China, and 218 are in Taiwan. None of our employees are represented by any collective bargaining agreement, but certain employees of our China subsidiary are members of a trade union. We have never suffered any work stoppage and believe that we have satisfactory relations with our employees.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ind w:right="180" w:firstLine="338"/>
        <w:spacing w:after="0" w:line="282" w:lineRule="auto"/>
        <w:rPr>
          <w:sz w:val="20"/>
          <w:szCs w:val="20"/>
          <w:color w:val="auto"/>
        </w:rPr>
      </w:pPr>
      <w:r>
        <w:rPr>
          <w:rFonts w:ascii="Arial" w:cs="Arial" w:eastAsia="Arial" w:hAnsi="Arial"/>
          <w:sz w:val="17"/>
          <w:szCs w:val="17"/>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jc w:val="center"/>
              <w:ind w:right="41"/>
              <w:spacing w:after="0"/>
              <w:rPr>
                <w:sz w:val="20"/>
                <w:szCs w:val="20"/>
                <w:color w:val="auto"/>
              </w:rPr>
            </w:pPr>
            <w:r>
              <w:rPr>
                <w:rFonts w:ascii="Arial" w:cs="Arial" w:eastAsia="Arial" w:hAnsi="Arial"/>
                <w:sz w:val="13"/>
                <w:szCs w:val="13"/>
                <w:b w:val="1"/>
                <w:bCs w:val="1"/>
                <w:color w:val="auto"/>
                <w:w w:val="91"/>
              </w:rPr>
              <w:t>Owned or Lease</w:t>
            </w:r>
          </w:p>
        </w:tc>
        <w:tc>
          <w:tcPr>
            <w:tcW w:w="16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b w:val="1"/>
                <w:bCs w:val="1"/>
                <w:color w:val="auto"/>
              </w:rPr>
              <w:t>Approximate</w:t>
            </w:r>
          </w:p>
        </w:tc>
        <w:tc>
          <w:tcPr>
            <w:tcW w:w="3760" w:type="dxa"/>
            <w:vAlign w:val="bottom"/>
          </w:tcPr>
          <w:p>
            <w:pPr>
              <w:spacing w:after="0"/>
              <w:rPr>
                <w:sz w:val="13"/>
                <w:szCs w:val="13"/>
                <w:color w:val="auto"/>
              </w:rPr>
            </w:pPr>
          </w:p>
        </w:tc>
      </w:tr>
      <w:tr>
        <w:trPr>
          <w:trHeight w:val="157"/>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Location</w:t>
            </w:r>
          </w:p>
        </w:tc>
        <w:tc>
          <w:tcPr>
            <w:tcW w:w="1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4"/>
              </w:rPr>
              <w:t>Expiration Date</w:t>
            </w:r>
          </w:p>
        </w:tc>
        <w:tc>
          <w:tcPr>
            <w:tcW w:w="160" w:type="dxa"/>
            <w:vAlign w:val="bottom"/>
          </w:tcPr>
          <w:p>
            <w:pPr>
              <w:spacing w:after="0"/>
              <w:rPr>
                <w:sz w:val="13"/>
                <w:szCs w:val="13"/>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7"/>
              </w:rPr>
              <w:t>Square Footage</w:t>
            </w:r>
          </w:p>
        </w:tc>
        <w:tc>
          <w:tcPr>
            <w:tcW w:w="160" w:type="dxa"/>
            <w:vAlign w:val="bottom"/>
          </w:tcPr>
          <w:p>
            <w:pPr>
              <w:spacing w:after="0"/>
              <w:rPr>
                <w:sz w:val="13"/>
                <w:szCs w:val="13"/>
                <w:color w:val="auto"/>
              </w:rPr>
            </w:pPr>
          </w:p>
        </w:tc>
        <w:tc>
          <w:tcPr>
            <w:tcW w:w="3760" w:type="dxa"/>
            <w:vAlign w:val="bottom"/>
            <w:tcBorders>
              <w:bottom w:val="single" w:sz="8" w:color="auto"/>
            </w:tcBorders>
          </w:tcPr>
          <w:p>
            <w:pPr>
              <w:ind w:left="1780"/>
              <w:spacing w:after="0"/>
              <w:rPr>
                <w:sz w:val="20"/>
                <w:szCs w:val="20"/>
                <w:color w:val="auto"/>
              </w:rPr>
            </w:pPr>
            <w:r>
              <w:rPr>
                <w:rFonts w:ascii="Arial" w:cs="Arial" w:eastAsia="Arial" w:hAnsi="Arial"/>
                <w:sz w:val="13"/>
                <w:szCs w:val="13"/>
                <w:b w:val="1"/>
                <w:bCs w:val="1"/>
                <w:color w:val="auto"/>
              </w:rPr>
              <w:t>Use</w:t>
            </w: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Sugar Land, Texas (1)</w:t>
            </w: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jc w:val="center"/>
              <w:ind w:right="41"/>
              <w:spacing w:after="0" w:line="194" w:lineRule="exact"/>
              <w:rPr>
                <w:sz w:val="20"/>
                <w:szCs w:val="20"/>
                <w:color w:val="auto"/>
              </w:rPr>
            </w:pPr>
            <w:r>
              <w:rPr>
                <w:rFonts w:ascii="Arial" w:cs="Arial" w:eastAsia="Arial" w:hAnsi="Arial"/>
                <w:sz w:val="17"/>
                <w:szCs w:val="17"/>
                <w:color w:val="auto"/>
                <w:w w:val="89"/>
              </w:rPr>
              <w:t>Owned</w:t>
            </w:r>
          </w:p>
        </w:tc>
        <w:tc>
          <w:tcPr>
            <w:tcW w:w="142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23,850</w:t>
            </w:r>
          </w:p>
        </w:tc>
        <w:tc>
          <w:tcPr>
            <w:tcW w:w="3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7"/>
              </w:rPr>
              <w:t>Administration, sales, manufacturing, research and</w:t>
            </w:r>
          </w:p>
        </w:tc>
      </w:tr>
      <w:tr>
        <w:trPr>
          <w:trHeight w:val="218"/>
        </w:trPr>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r>
      <w:tr>
        <w:trPr>
          <w:trHeight w:val="210"/>
        </w:trPr>
        <w:tc>
          <w:tcPr>
            <w:tcW w:w="1820" w:type="dxa"/>
            <w:vAlign w:val="bottom"/>
            <w:gridSpan w:val="2"/>
          </w:tcPr>
          <w:p>
            <w:pPr>
              <w:spacing w:after="0"/>
              <w:rPr>
                <w:sz w:val="20"/>
                <w:szCs w:val="20"/>
                <w:color w:val="auto"/>
              </w:rPr>
            </w:pPr>
            <w:r>
              <w:rPr>
                <w:rFonts w:ascii="Arial" w:cs="Arial" w:eastAsia="Arial" w:hAnsi="Arial"/>
                <w:sz w:val="17"/>
                <w:szCs w:val="17"/>
                <w:color w:val="auto"/>
              </w:rPr>
              <w:t>Sugar Land, Texas</w:t>
            </w:r>
          </w:p>
        </w:tc>
        <w:tc>
          <w:tcPr>
            <w:tcW w:w="120" w:type="dxa"/>
            <w:vAlign w:val="bottom"/>
          </w:tcPr>
          <w:p>
            <w:pPr>
              <w:spacing w:after="0"/>
              <w:rPr>
                <w:sz w:val="18"/>
                <w:szCs w:val="18"/>
                <w:color w:val="auto"/>
              </w:rPr>
            </w:pPr>
          </w:p>
        </w:tc>
        <w:tc>
          <w:tcPr>
            <w:tcW w:w="2040" w:type="dxa"/>
            <w:vAlign w:val="bottom"/>
          </w:tcPr>
          <w:p>
            <w:pPr>
              <w:jc w:val="center"/>
              <w:ind w:right="41"/>
              <w:spacing w:after="0"/>
              <w:rPr>
                <w:sz w:val="20"/>
                <w:szCs w:val="20"/>
                <w:color w:val="auto"/>
              </w:rPr>
            </w:pPr>
            <w:r>
              <w:rPr>
                <w:rFonts w:ascii="Arial" w:cs="Arial" w:eastAsia="Arial" w:hAnsi="Arial"/>
                <w:sz w:val="17"/>
                <w:szCs w:val="17"/>
                <w:color w:val="auto"/>
                <w:w w:val="93"/>
              </w:rPr>
              <w:t>May 31, 2014</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6,062</w:t>
            </w:r>
          </w:p>
        </w:tc>
        <w:tc>
          <w:tcPr>
            <w:tcW w:w="3760" w:type="dxa"/>
            <w:vAlign w:val="bottom"/>
          </w:tcPr>
          <w:p>
            <w:pPr>
              <w:spacing w:after="0"/>
              <w:rPr>
                <w:sz w:val="20"/>
                <w:szCs w:val="20"/>
                <w:color w:val="auto"/>
              </w:rPr>
            </w:pPr>
            <w:r>
              <w:rPr>
                <w:rFonts w:ascii="Arial" w:cs="Arial" w:eastAsia="Arial" w:hAnsi="Arial"/>
                <w:sz w:val="17"/>
                <w:szCs w:val="17"/>
                <w:color w:val="auto"/>
              </w:rPr>
              <w:t>Research and development</w:t>
            </w:r>
          </w:p>
        </w:tc>
      </w:tr>
      <w:tr>
        <w:trPr>
          <w:trHeight w:val="201"/>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Ningbo, China</w:t>
            </w: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jc w:val="center"/>
              <w:ind w:right="41"/>
              <w:spacing w:after="0"/>
              <w:rPr>
                <w:sz w:val="20"/>
                <w:szCs w:val="20"/>
                <w:color w:val="auto"/>
              </w:rPr>
            </w:pPr>
            <w:r>
              <w:rPr>
                <w:rFonts w:ascii="Arial" w:cs="Arial" w:eastAsia="Arial" w:hAnsi="Arial"/>
                <w:sz w:val="17"/>
                <w:szCs w:val="17"/>
                <w:color w:val="auto"/>
                <w:w w:val="90"/>
              </w:rPr>
              <w:t>Owned (2)</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458,849</w:t>
            </w: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w w:val="97"/>
              </w:rPr>
              <w:t>Administration, sales, manufacturing, research and</w:t>
            </w:r>
          </w:p>
        </w:tc>
      </w:tr>
      <w:tr>
        <w:trPr>
          <w:trHeight w:val="218"/>
        </w:trPr>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r>
      <w:tr>
        <w:trPr>
          <w:trHeight w:val="201"/>
        </w:trPr>
        <w:tc>
          <w:tcPr>
            <w:tcW w:w="1820" w:type="dxa"/>
            <w:vAlign w:val="bottom"/>
            <w:gridSpan w:val="2"/>
          </w:tcPr>
          <w:p>
            <w:pPr>
              <w:spacing w:after="0"/>
              <w:rPr>
                <w:sz w:val="20"/>
                <w:szCs w:val="20"/>
                <w:color w:val="auto"/>
              </w:rPr>
            </w:pPr>
            <w:r>
              <w:rPr>
                <w:rFonts w:ascii="Arial" w:cs="Arial" w:eastAsia="Arial" w:hAnsi="Arial"/>
                <w:sz w:val="17"/>
                <w:szCs w:val="17"/>
                <w:color w:val="auto"/>
              </w:rPr>
              <w:t>Taipei, Taiwan</w:t>
            </w:r>
          </w:p>
        </w:tc>
        <w:tc>
          <w:tcPr>
            <w:tcW w:w="120" w:type="dxa"/>
            <w:vAlign w:val="bottom"/>
          </w:tcPr>
          <w:p>
            <w:pPr>
              <w:spacing w:after="0"/>
              <w:rPr>
                <w:sz w:val="17"/>
                <w:szCs w:val="17"/>
                <w:color w:val="auto"/>
              </w:rPr>
            </w:pPr>
          </w:p>
        </w:tc>
        <w:tc>
          <w:tcPr>
            <w:tcW w:w="2040" w:type="dxa"/>
            <w:vAlign w:val="bottom"/>
          </w:tcPr>
          <w:p>
            <w:pPr>
              <w:jc w:val="center"/>
              <w:ind w:right="61"/>
              <w:spacing w:after="0"/>
              <w:rPr>
                <w:sz w:val="20"/>
                <w:szCs w:val="20"/>
                <w:color w:val="auto"/>
              </w:rPr>
            </w:pPr>
            <w:r>
              <w:rPr>
                <w:rFonts w:ascii="Arial" w:cs="Arial" w:eastAsia="Arial" w:hAnsi="Arial"/>
                <w:sz w:val="17"/>
                <w:szCs w:val="17"/>
                <w:color w:val="auto"/>
                <w:w w:val="94"/>
              </w:rPr>
              <w:t>March 31, 2014 (3) April 9,</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42,903</w:t>
            </w:r>
          </w:p>
        </w:tc>
        <w:tc>
          <w:tcPr>
            <w:tcW w:w="3760" w:type="dxa"/>
            <w:vAlign w:val="bottom"/>
          </w:tcPr>
          <w:p>
            <w:pPr>
              <w:spacing w:after="0"/>
              <w:rPr>
                <w:sz w:val="20"/>
                <w:szCs w:val="20"/>
                <w:color w:val="auto"/>
              </w:rPr>
            </w:pPr>
            <w:r>
              <w:rPr>
                <w:rFonts w:ascii="Arial" w:cs="Arial" w:eastAsia="Arial" w:hAnsi="Arial"/>
                <w:sz w:val="17"/>
                <w:szCs w:val="17"/>
                <w:color w:val="auto"/>
                <w:w w:val="97"/>
              </w:rPr>
              <w:t>Administration, sales, manufacturing, research and</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7"/>
                <w:szCs w:val="17"/>
                <w:color w:val="auto"/>
                <w:w w:val="91"/>
              </w:rPr>
              <w:t>2014 (3)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development</w:t>
            </w:r>
          </w:p>
        </w:tc>
      </w:tr>
      <w:tr>
        <w:trPr>
          <w:trHeight w:val="107"/>
        </w:trPr>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6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property is subject to a mortgage in favor of East West Bank, securing our long-term debt obligations.</w:t>
      </w:r>
    </w:p>
    <w:p>
      <w:pPr>
        <w:spacing w:after="0" w:line="125" w:lineRule="exact"/>
        <w:rPr>
          <w:rFonts w:ascii="Arial" w:cs="Arial" w:eastAsia="Arial" w:hAnsi="Arial"/>
          <w:sz w:val="13"/>
          <w:szCs w:val="13"/>
          <w:color w:val="auto"/>
        </w:rPr>
      </w:pPr>
    </w:p>
    <w:p>
      <w:pPr>
        <w:ind w:left="1680" w:right="180" w:hanging="533"/>
        <w:spacing w:after="0" w:line="256"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China subsidiary acquired the land use rights to the real property on which our new facility is located from the Chinese government. The land use rights expire on March 8, 2054. Our China subsidiary owns the facility located on the property.</w:t>
      </w:r>
    </w:p>
    <w:p>
      <w:pPr>
        <w:spacing w:after="0" w:line="100" w:lineRule="exact"/>
        <w:rPr>
          <w:rFonts w:ascii="Arial" w:cs="Arial" w:eastAsia="Arial" w:hAnsi="Arial"/>
          <w:sz w:val="13"/>
          <w:szCs w:val="13"/>
          <w:color w:val="auto"/>
        </w:rPr>
      </w:pPr>
    </w:p>
    <w:p>
      <w:pPr>
        <w:ind w:left="1680" w:hanging="533"/>
        <w:spacing w:after="0"/>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Leases covering two floors expire on March 31, 2014 and the lease covering the other floor expires on April 9, 2014.</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our existing facilities are adequate to meet our current needs and that we will be able to obtain additional commercial space as needed.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Ningbo and Taipei are both certified to meet the requirements of ISO14001:2004. However, there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176"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88"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Export Regulations</w:t>
      </w:r>
    </w:p>
    <w:p>
      <w:pPr>
        <w:spacing w:after="0" w:line="228" w:lineRule="exact"/>
        <w:rPr>
          <w:sz w:val="20"/>
          <w:szCs w:val="20"/>
          <w:color w:val="auto"/>
        </w:rPr>
      </w:pPr>
    </w:p>
    <w:p>
      <w:pPr>
        <w:ind w:right="260" w:firstLine="338"/>
        <w:spacing w:after="0" w:line="263" w:lineRule="auto"/>
        <w:rPr>
          <w:sz w:val="20"/>
          <w:szCs w:val="20"/>
          <w:color w:val="auto"/>
        </w:rPr>
      </w:pPr>
      <w:r>
        <w:rPr>
          <w:rFonts w:ascii="Arial" w:cs="Arial" w:eastAsia="Arial" w:hAnsi="Arial"/>
          <w:sz w:val="17"/>
          <w:szCs w:val="17"/>
          <w:color w:val="auto"/>
        </w:rPr>
        <w:t>The Bureau of Industry and Security (BIS)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currently do not export our products to any countries on the restricted list, and therefore a change in the ECCN would not materially impact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our executive officers and directors as of August 30, 2013.</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2420" w:type="dxa"/>
            <w:vAlign w:val="bottom"/>
            <w:gridSpan w:val="2"/>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Age</w:t>
            </w:r>
          </w:p>
        </w:tc>
        <w:tc>
          <w:tcPr>
            <w:tcW w:w="140" w:type="dxa"/>
            <w:vAlign w:val="bottom"/>
          </w:tcPr>
          <w:p>
            <w:pPr>
              <w:spacing w:after="0"/>
              <w:rPr>
                <w:sz w:val="13"/>
                <w:szCs w:val="13"/>
                <w:color w:val="auto"/>
              </w:rPr>
            </w:pPr>
          </w:p>
        </w:tc>
        <w:tc>
          <w:tcPr>
            <w:tcW w:w="5780" w:type="dxa"/>
            <w:vAlign w:val="bottom"/>
            <w:tcBorders>
              <w:bottom w:val="single" w:sz="8" w:color="auto"/>
            </w:tcBorders>
          </w:tcPr>
          <w:p>
            <w:pPr>
              <w:ind w:left="2620"/>
              <w:spacing w:after="0"/>
              <w:rPr>
                <w:sz w:val="20"/>
                <w:szCs w:val="20"/>
                <w:color w:val="auto"/>
              </w:rPr>
            </w:pPr>
            <w:r>
              <w:rPr>
                <w:rFonts w:ascii="Arial" w:cs="Arial" w:eastAsia="Arial" w:hAnsi="Arial"/>
                <w:sz w:val="13"/>
                <w:szCs w:val="13"/>
                <w:b w:val="1"/>
                <w:bCs w:val="1"/>
                <w:color w:val="auto"/>
              </w:rPr>
              <w:t>Position(s)</w:t>
            </w:r>
          </w:p>
        </w:tc>
      </w:tr>
      <w:tr>
        <w:trPr>
          <w:trHeight w:val="203"/>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Chih-Hsiang (Thompson) Lin</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James L. Dunn, Jr.</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51</w:t>
            </w:r>
          </w:p>
        </w:tc>
        <w:tc>
          <w:tcPr>
            <w:tcW w:w="57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Stefan J. Murry</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Strategy Officer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Hung-Lun (Fred) Chang</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49</w:t>
            </w:r>
          </w:p>
        </w:tc>
        <w:tc>
          <w:tcPr>
            <w:tcW w:w="5780" w:type="dxa"/>
            <w:vAlign w:val="bottom"/>
          </w:tcPr>
          <w:p>
            <w:pPr>
              <w:ind w:left="20"/>
              <w:spacing w:after="0"/>
              <w:rPr>
                <w:sz w:val="20"/>
                <w:szCs w:val="20"/>
                <w:color w:val="auto"/>
              </w:rPr>
            </w:pPr>
            <w:r>
              <w:rPr>
                <w:rFonts w:ascii="Arial" w:cs="Arial" w:eastAsia="Arial" w:hAnsi="Arial"/>
                <w:sz w:val="17"/>
                <w:szCs w:val="17"/>
                <w:color w:val="auto"/>
              </w:rPr>
              <w:t>Senior Vice President of Optical Component Business Unit</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Klaus Alexander Anselm</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Vice President of Semiconductor Products</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Shu-Hua (Joshua) Yeh</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5780" w:type="dxa"/>
            <w:vAlign w:val="bottom"/>
          </w:tcPr>
          <w:p>
            <w:pPr>
              <w:ind w:left="20"/>
              <w:spacing w:after="0"/>
              <w:rPr>
                <w:sz w:val="20"/>
                <w:szCs w:val="20"/>
                <w:color w:val="auto"/>
              </w:rPr>
            </w:pPr>
            <w:r>
              <w:rPr>
                <w:rFonts w:ascii="Arial" w:cs="Arial" w:eastAsia="Arial" w:hAnsi="Arial"/>
                <w:sz w:val="17"/>
                <w:szCs w:val="17"/>
                <w:color w:val="auto"/>
              </w:rPr>
              <w:t>Senior Vice President of Network Equipment Module Business Unit</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Chung-Yao (Ford) Li</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Asia General Manager</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David C. Kuo</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5780" w:type="dxa"/>
            <w:vAlign w:val="bottom"/>
          </w:tcPr>
          <w:p>
            <w:pPr>
              <w:ind w:left="20"/>
              <w:spacing w:after="0"/>
              <w:rPr>
                <w:sz w:val="20"/>
                <w:szCs w:val="20"/>
                <w:color w:val="auto"/>
              </w:rPr>
            </w:pPr>
            <w:r>
              <w:rPr>
                <w:rFonts w:ascii="Arial" w:cs="Arial" w:eastAsia="Arial" w:hAnsi="Arial"/>
                <w:sz w:val="17"/>
                <w:szCs w:val="17"/>
                <w:color w:val="auto"/>
              </w:rPr>
              <w:t>General Counsel and Secretary</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Juen-Sheng (Andrew) Kang</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 Chairman of the Board of Directors</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William H. Yeh (1)(3)</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5780" w:type="dxa"/>
            <w:vAlign w:val="bottom"/>
          </w:tcPr>
          <w:p>
            <w:pPr>
              <w:ind w:left="20"/>
              <w:spacing w:after="0"/>
              <w:rPr>
                <w:sz w:val="20"/>
                <w:szCs w:val="20"/>
                <w:color w:val="auto"/>
              </w:rPr>
            </w:pPr>
            <w:r>
              <w:rPr>
                <w:rFonts w:ascii="Arial" w:cs="Arial" w:eastAsia="Arial" w:hAnsi="Arial"/>
                <w:sz w:val="17"/>
                <w:szCs w:val="17"/>
                <w:color w:val="auto"/>
              </w:rPr>
              <w:t>Director, Compensation Committee Chairman</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Richard B. Black (1)(2)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 Audit Committee Chairman</w:t>
            </w:r>
          </w:p>
        </w:tc>
      </w:tr>
      <w:tr>
        <w:trPr>
          <w:trHeight w:val="210"/>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Alan Moore (2)</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57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Min-Chu (Mike) Chen (1)(3)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w:t>
            </w:r>
          </w:p>
        </w:tc>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6"/>
        </w:trPr>
        <w:tc>
          <w:tcPr>
            <w:tcW w:w="2820" w:type="dxa"/>
            <w:vAlign w:val="bottom"/>
            <w:gridSpan w:val="3"/>
          </w:tcPr>
          <w:p>
            <w:pPr>
              <w:ind w:left="20"/>
              <w:spacing w:after="0"/>
              <w:rPr>
                <w:sz w:val="20"/>
                <w:szCs w:val="20"/>
                <w:color w:val="auto"/>
              </w:rPr>
            </w:pPr>
            <w:r>
              <w:rPr>
                <w:rFonts w:ascii="Arial" w:cs="Arial" w:eastAsia="Arial" w:hAnsi="Arial"/>
                <w:sz w:val="17"/>
                <w:szCs w:val="17"/>
                <w:color w:val="auto"/>
              </w:rPr>
              <w:t>Alex Ignatiev (2)(3)</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68</w:t>
            </w:r>
          </w:p>
        </w:tc>
        <w:tc>
          <w:tcPr>
            <w:tcW w:w="5780" w:type="dxa"/>
            <w:vAlign w:val="bottom"/>
          </w:tcPr>
          <w:p>
            <w:pPr>
              <w:ind w:left="20"/>
              <w:spacing w:after="0"/>
              <w:rPr>
                <w:sz w:val="20"/>
                <w:szCs w:val="20"/>
                <w:color w:val="auto"/>
              </w:rPr>
            </w:pPr>
            <w:r>
              <w:rPr>
                <w:rFonts w:ascii="Arial" w:cs="Arial" w:eastAsia="Arial" w:hAnsi="Arial"/>
                <w:sz w:val="17"/>
                <w:szCs w:val="17"/>
                <w:color w:val="auto"/>
              </w:rPr>
              <w:t>Director, Nominating and Corporate Governance Committee Chairman</w:t>
            </w:r>
          </w:p>
        </w:tc>
      </w:tr>
      <w:tr>
        <w:trPr>
          <w:trHeight w:val="99"/>
        </w:trPr>
        <w:tc>
          <w:tcPr>
            <w:tcW w:w="4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78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20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b w:val="1"/>
          <w:bCs w:val="1"/>
          <w:i w:val="1"/>
          <w:iCs w:val="1"/>
          <w:color w:val="auto"/>
        </w:rPr>
        <w:t>Chih-Hsiang (Thompson) Lin, Ph.D.</w:t>
      </w:r>
      <w:r>
        <w:rPr>
          <w:rFonts w:ascii="Arial" w:cs="Arial" w:eastAsia="Arial" w:hAnsi="Arial"/>
          <w:sz w:val="17"/>
          <w:szCs w:val="17"/>
          <w:color w:val="auto"/>
        </w:rPr>
        <w:t>, founded Applied Optoelectronics, Inc. in February 1997 and has been President and Chief Executive Officer since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He currently serves as a director on our board of directors, and he served as Chairman of our board of directors from May 2000 through September 2002, and again from June 2008 through October 2009. Dr. Lin has also served as a research associate professor and senior research scientist at the University of Houston. Dr. Lin holds a BS degree in Nuclear Engineering from National Tsing Hua University in Taiwan and an MS degree and a Ph.D. in Electrical and Computer Engineering from University of Missouri-Columbia.</w:t>
      </w:r>
    </w:p>
    <w:p>
      <w:pPr>
        <w:spacing w:after="0" w:line="187"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board of directors believes that Dr. Lin is qualified to serve as a director based on his extensive background in business management, his role as founder, President and Chief Executive Officer and his years of service on our board.</w:t>
      </w:r>
    </w:p>
    <w:p>
      <w:pPr>
        <w:spacing w:after="0" w:line="170"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b w:val="1"/>
          <w:bCs w:val="1"/>
          <w:i w:val="1"/>
          <w:iCs w:val="1"/>
          <w:color w:val="auto"/>
        </w:rPr>
        <w:t>James L. Dunn, Jr.</w:t>
      </w:r>
      <w:r>
        <w:rPr>
          <w:rFonts w:ascii="Arial" w:cs="Arial" w:eastAsia="Arial" w:hAnsi="Arial"/>
          <w:sz w:val="17"/>
          <w:szCs w:val="17"/>
          <w:color w:val="auto"/>
        </w:rPr>
        <w:t>, has served as our Chief Financial Officer since December 2012. Prior to joining us, Mr. Dunn served as the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GET Enterprises, LLC, a private equity backed distributor of restaurant tableware, from March to December 2012. Mr. Dunn also served as Chief Financial Officer and in-house counsel of Polymics, Ltd., a global manufacturer</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of high temperature plastics, from 2009 to 2012. Mr. Dunn served as the Chief Financial Officer and General Counsel of iLinc Communications, Inc. (Amex:ILC), a provider of web conferencing software, from 1998 to 2009. Mr. Dunn received a BBA in Accounting from Texas A&amp;M University and a JD from Southern Methodist University School of Law.</w:t>
      </w:r>
    </w:p>
    <w:p>
      <w:pPr>
        <w:spacing w:after="0" w:line="179"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b w:val="1"/>
          <w:bCs w:val="1"/>
          <w:i w:val="1"/>
          <w:iCs w:val="1"/>
          <w:color w:val="auto"/>
        </w:rPr>
        <w:t>Stefan J. Murry, Ph.D.</w:t>
      </w:r>
      <w:r>
        <w:rPr>
          <w:rFonts w:ascii="Arial" w:cs="Arial" w:eastAsia="Arial" w:hAnsi="Arial"/>
          <w:sz w:val="16"/>
          <w:szCs w:val="16"/>
          <w:color w:val="auto"/>
        </w:rPr>
        <w:t>, has served as our Chief Strategy Officer since December 2012. Previously, Dr. Murry served as our Vice President of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from June 2004 until December 2012, our Director of Sales and Marketing from January 2000 to June 2004 and as a Senior Engineer of Device Packaging from February 1997 to January 2000. He also previously served as Research Associate and Mission Control Specialist with the Space Vacuum Epitaxy Center in Houston, TX. Dr. Murry has been issued multiple patents in the optoelectronics industry, as well as in various related and complimentary industries. Dr. Murry received BS and MS degrees in Physics and a Ph.D. in Electrical Engineering from the University of Houston.</w:t>
      </w:r>
    </w:p>
    <w:p>
      <w:pPr>
        <w:spacing w:after="0" w:line="174"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b w:val="1"/>
          <w:bCs w:val="1"/>
          <w:i w:val="1"/>
          <w:iCs w:val="1"/>
          <w:color w:val="auto"/>
        </w:rPr>
        <w:t>Hung-Lun (Fred) Chang, Ph.D.</w:t>
      </w:r>
      <w:r>
        <w:rPr>
          <w:rFonts w:ascii="Arial" w:cs="Arial" w:eastAsia="Arial" w:hAnsi="Arial"/>
          <w:sz w:val="16"/>
          <w:szCs w:val="16"/>
          <w:color w:val="auto"/>
        </w:rPr>
        <w:t>, has served as Senior Vice President of our Optical Component Business Unit since October 2012. Previously, Dr. Chang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Vice President of our Optical Module Division from March 2005 until October 2012, our Director of Manufacturing from June 2002 to March 2004, and as our Deputy Packaging Manager from April 2001 to May 2002. Dr. Chang has held numerous positions in the optoelectronics industry throughout his career. His most recent position prior to joining us was Deputy Manager of the Optical Active Component Group at Hon-Hai Precision Industry Co., Ltd., which is based in Taiwan. He was also a researcher and project manager of the Optoelectronic Module Technology group at Chunghwa Telecom Co., Ltd. from 1996 to 2000. Dr. Chang received a BS degree in Electrophysics and a Ph.D. in Electro-Optical Engineering from National Chiao Tung University in Taiwan.</w:t>
      </w:r>
    </w:p>
    <w:p>
      <w:pPr>
        <w:spacing w:after="0" w:line="176"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b w:val="1"/>
          <w:bCs w:val="1"/>
          <w:i w:val="1"/>
          <w:iCs w:val="1"/>
          <w:color w:val="auto"/>
        </w:rPr>
        <w:t>Klaus Alexander Anselm, Ph.D.</w:t>
      </w:r>
      <w:r>
        <w:rPr>
          <w:rFonts w:ascii="Arial" w:cs="Arial" w:eastAsia="Arial" w:hAnsi="Arial"/>
          <w:sz w:val="17"/>
          <w:szCs w:val="17"/>
          <w:color w:val="auto"/>
        </w:rPr>
        <w:t>, has served as our Vice President of Semiconductor Products since 2009. Previously, Dr. Anselm served as our Senior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Semiconductor Products from October 2007 to 2009, as our Director of Semiconductor Products from 2004 until September 2007, and as our Processing Department Manager from 1999 to 2004. Dr. Anselm received a BS degree in Electrical Engineering from Rice University, and an MS degree and Ph.D. in Electrical Engineering from the University of Texas at Austin.</w:t>
      </w:r>
    </w:p>
    <w:p>
      <w:pPr>
        <w:spacing w:after="0" w:line="185"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b w:val="1"/>
          <w:bCs w:val="1"/>
          <w:i w:val="1"/>
          <w:iCs w:val="1"/>
          <w:color w:val="auto"/>
        </w:rPr>
        <w:t xml:space="preserve">Shu-Hua (Joshua) Yeh </w:t>
      </w:r>
      <w:r>
        <w:rPr>
          <w:rFonts w:ascii="Arial" w:cs="Arial" w:eastAsia="Arial" w:hAnsi="Arial"/>
          <w:sz w:val="17"/>
          <w:szCs w:val="17"/>
          <w:color w:val="auto"/>
        </w:rPr>
        <w:t>has served as Senior Vice President of our Network Equipment Module Business Unit since November 2012. Previously, Mr. Yeh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General Manager of our Video Equipment Division of Global Technology Inc., our China subsidiary, since its acquisition by us in March 2006 and had served as its President and Chief Executive Officer from April 2002 until the acquisition. From May 1995 to April 2002, Mr. Yeh served as a Vice President of Sales and Marketing of Twoway CATV Technology Inc. Mr. Yeh received a BS degree in Mechanical Engineering and an MS in Automatic Control Science from National Chung Shing University in Taiwan.</w:t>
      </w:r>
    </w:p>
    <w:p>
      <w:pPr>
        <w:spacing w:after="0" w:line="187"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b w:val="1"/>
          <w:bCs w:val="1"/>
          <w:i w:val="1"/>
          <w:iCs w:val="1"/>
          <w:color w:val="auto"/>
        </w:rPr>
        <w:t xml:space="preserve">Chung-Yao (Ford) Li </w:t>
      </w:r>
      <w:r>
        <w:rPr>
          <w:rFonts w:ascii="Arial" w:cs="Arial" w:eastAsia="Arial" w:hAnsi="Arial"/>
          <w:sz w:val="15"/>
          <w:szCs w:val="15"/>
          <w:color w:val="auto"/>
        </w:rPr>
        <w:t>has served as our Senior Vice President since November 2011 and as our Asia General Manager since July 2011. From 2007 to 2011,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Li served as a general manager in Shanghai, China for Pegatron Corporation, an electronics and computing design and manufacturing company. Mr. Li served in various operational management capacities of Wistron Infocomm Corporation from 2005 until 2007. From 2002 to 2005, Mr. Li also served as an Assistant Vice President of Quanta Computer Inc., in Shanghai, China. Mr. Li received an MS degree in Engineering Manufacturing Management from University of South Australia.</w:t>
      </w:r>
    </w:p>
    <w:p>
      <w:pPr>
        <w:spacing w:after="0" w:line="155"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David C. Kuo </w:t>
      </w:r>
      <w:r>
        <w:rPr>
          <w:rFonts w:ascii="Arial" w:cs="Arial" w:eastAsia="Arial" w:hAnsi="Arial"/>
          <w:sz w:val="17"/>
          <w:szCs w:val="17"/>
          <w:color w:val="auto"/>
        </w:rPr>
        <w:t>has served as our General Counsel since August 2013 and as our Secretary since November 2012. Previously, Mr. Kuo served as our Assistant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Counsel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May 2009 until August 2013, and as our Asia Legal Manager from January 2011 until August 2013. Mr. Kuo holds a JD from South Texas College of Law and a BBA degree in Real Estate from Baylor University.</w:t>
      </w:r>
    </w:p>
    <w:p>
      <w:pPr>
        <w:spacing w:after="0" w:line="170"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b w:val="1"/>
          <w:bCs w:val="1"/>
          <w:i w:val="1"/>
          <w:iCs w:val="1"/>
          <w:color w:val="auto"/>
        </w:rPr>
        <w:t xml:space="preserve">Juen Sheng (Andrew) Kang </w:t>
      </w:r>
      <w:r>
        <w:rPr>
          <w:rFonts w:ascii="Arial" w:cs="Arial" w:eastAsia="Arial" w:hAnsi="Arial"/>
          <w:sz w:val="16"/>
          <w:szCs w:val="16"/>
          <w:color w:val="auto"/>
        </w:rPr>
        <w:t>has served as a director on our board of directors since May 2000 and currently serves as the Chairman of our board of directors,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he has held since October 2009. Mr. Kang also served as our Chairman of our board of directors from October 2002 through May 2008. He is a director, the Managing Director and a co-founder of Technology Associates Management Co. Ltd., a strategic investment company, a position he has held since 1997. Before founding Technology Associates Management Company Ltd. in 1997, Mr. Kang was the founder and President of a venture capital company, Technology Associates Corporation, in Taiwan from 1990 to 1997. Mr. Kang currently serves as a director of Asia Star, a position he has held since September 2012, and as a director Techgains Pan Pacific Corporation and Techgains Global Corporation, positions he has held 2000. Mr. Kang also currently serves as a director and Chairman of Intelligent Expitaxy Technology, Inc., a publicly-held company in Taiwan, and as a director and Chief Executive Officer of Natural Polymer International Corporation, positions he has held since 1997. Mr. Kang has also served as a director of HelixMicro Inc. from 2007 to March 2013, Techgains International Corporation from 1999 to March 2013, and GobiTech, Inc. from 1998 to 2011. Mr. Kang received an MS in Management from Arthur D. Little School of Management, and BA and MA degrees in Economics from Soochow University in Taiwan.</w:t>
      </w:r>
    </w:p>
    <w:p>
      <w:pPr>
        <w:spacing w:after="0" w:line="176"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board of directors believes that Mr. Kang is qualified to serve as a director based on his business management and leadership experience, his service on other private company and publicly-held boards of directors and his years of service as the Chairman of our board of directors.</w:t>
      </w:r>
    </w:p>
    <w:p>
      <w:pPr>
        <w:spacing w:after="0" w:line="170"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b w:val="1"/>
          <w:bCs w:val="1"/>
          <w:i w:val="1"/>
          <w:iCs w:val="1"/>
          <w:color w:val="auto"/>
        </w:rPr>
        <w:t xml:space="preserve">William H. Yeh </w:t>
      </w:r>
      <w:r>
        <w:rPr>
          <w:rFonts w:ascii="Arial" w:cs="Arial" w:eastAsia="Arial" w:hAnsi="Arial"/>
          <w:sz w:val="16"/>
          <w:szCs w:val="16"/>
          <w:color w:val="auto"/>
        </w:rPr>
        <w:t>has served as a director on our board of directors since May 2000. He is the current Chief Executive Officer and President of Hungyeh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Ltd., a hospitality real estate investment and management company, a position he has held since 2000. Mr. Yeh has also served as president of Gold Star Investment since 1997. He was a Senior Vice President of United Central Bank overseeing the Houston region and Vice Chairman of Central Bancorp, Inc. from 1997 to 2012. He is also currently a director of Central Bancorp, Inc., the holding company of United Central Bank, a position which he has held since 1997. Mr. Yeh received a BS degree from National Cheng Kung University in Taiwan an MS degree from University of Houston–Clear Lake.</w:t>
      </w:r>
    </w:p>
    <w:p>
      <w:pPr>
        <w:spacing w:after="0" w:line="174"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board of directors believes that Mr. Yeh is qualified to serve as a director based on his business and financial management and leadership experience and his years of service on our board.</w:t>
      </w:r>
    </w:p>
    <w:p>
      <w:pPr>
        <w:spacing w:after="0" w:line="170"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b w:val="1"/>
          <w:bCs w:val="1"/>
          <w:i w:val="1"/>
          <w:iCs w:val="1"/>
          <w:color w:val="auto"/>
        </w:rPr>
        <w:t xml:space="preserve">Richard B. Black </w:t>
      </w:r>
      <w:r>
        <w:rPr>
          <w:rFonts w:ascii="Arial" w:cs="Arial" w:eastAsia="Arial" w:hAnsi="Arial"/>
          <w:sz w:val="15"/>
          <w:szCs w:val="15"/>
          <w:color w:val="auto"/>
        </w:rPr>
        <w:t>has served as a director on our board of directors since August 2001. He is the President and Chief Executive Officer of ECRM, Incorporated,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worldwide supplier of laser based imaging equipment, a position he has held since 2002, and has been the chairman of the board of directors of ECRM, Incorporated since 1983. Beginning in 1989, Mr. Black was a director of Oak Technology, Inc., a manufacturer of semi-conductors for optical storage, and then became President in 1998 and vice chairman of the board of directors in 1999 until its merger with Zoran, Inc. in 2003. Mr. Black has served as President and CEO of AM International from 1980 to 1982. He served as a Division President of Maremont Corporation, a manufacturer of auto parts and textile machinery, from 1967, then as Maremont's President and CEO from 1974 to 1979. When Maremont was acquired by Alusuisse in 1979, he served as President and CEO of Alusuisse of America until 1981. He served as a director and chairman of the audit committee of GSI Group, a manufacturer of lasers, laser systems, semi-conductor equipment, from 1998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2012, and was its chairman of its board of directors from 2006 to 2012. He currently serves as a director and chairman of the audit committee of Alliance Fiber Optics Products, Inc. (Nasdaq: AFOP), a position he has held since 2002, and TREX Enterprises, Inc., a position he has held since 2000. Mr. Black has served as trustee of the Institute for Advanced Study at Princeton since 1990, and became its vice chairman in 2006. He has served as a trustee of the American Indian College Fund, Beloit College, Bard College, and serves on the Visiting Committee for the Physical Sciences Division of the University of Chicago. Mr. Black received a BS degree in Engineering from Texas A&amp;M University, an MBA from Harvard University and an honorary Ph.D. from Beloit College.</w:t>
      </w:r>
    </w:p>
    <w:p>
      <w:pPr>
        <w:spacing w:after="0" w:line="174" w:lineRule="exact"/>
        <w:rPr>
          <w:sz w:val="20"/>
          <w:szCs w:val="20"/>
          <w:color w:val="auto"/>
        </w:rPr>
      </w:pPr>
    </w:p>
    <w:p>
      <w:pPr>
        <w:ind w:right="600" w:firstLine="338"/>
        <w:spacing w:after="0" w:line="282" w:lineRule="auto"/>
        <w:rPr>
          <w:sz w:val="20"/>
          <w:szCs w:val="20"/>
          <w:color w:val="auto"/>
        </w:rPr>
      </w:pPr>
      <w:r>
        <w:rPr>
          <w:rFonts w:ascii="Arial" w:cs="Arial" w:eastAsia="Arial" w:hAnsi="Arial"/>
          <w:sz w:val="17"/>
          <w:szCs w:val="17"/>
          <w:color w:val="auto"/>
        </w:rPr>
        <w:t>The board of directors believes that Mr. Black is qualified to serve as a director based on his extensive business and financial management and leadership experience, and his service on other private company and publicly-held boards of directors.</w:t>
      </w:r>
    </w:p>
    <w:p>
      <w:pPr>
        <w:spacing w:after="0" w:line="170"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b w:val="1"/>
          <w:bCs w:val="1"/>
          <w:i w:val="1"/>
          <w:iCs w:val="1"/>
          <w:color w:val="auto"/>
        </w:rPr>
        <w:t xml:space="preserve">Alan Moore </w:t>
      </w:r>
      <w:r>
        <w:rPr>
          <w:rFonts w:ascii="Arial" w:cs="Arial" w:eastAsia="Arial" w:hAnsi="Arial"/>
          <w:sz w:val="16"/>
          <w:szCs w:val="16"/>
          <w:color w:val="auto"/>
        </w:rPr>
        <w:t>has served as a director on our board of directors since March 2013. Since 2007, Mr. Moore has served as a Manager of Silver Tree Fund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a real estate investment fund, since 1999, he has served as the Treasurer of Silver Tree Partners, Inc., a real estate development company, and since 1995, he has served as the President of Red Oak Capital, a private equity company. From May 2004 until December 2011, Mr. Moore served as a Manager of Silver Tree Fund Management, LLC, also a real estate investment fund, and from March 1998 to October 1999, Mr. Moore served as the Chief Financial Officer of Window on WallStreet (sold to Trade Station Group, Inc. in 1999). Previously, Mr. Moore was a co-founder of Fossil, Inc. (Nasdaq: FOSL). Mr. Moore received an MS degree in Accounting and a BA degree in Business Control Systems from the University of North Texas.</w:t>
      </w:r>
    </w:p>
    <w:p>
      <w:pPr>
        <w:spacing w:after="0" w:line="176" w:lineRule="exact"/>
        <w:rPr>
          <w:sz w:val="20"/>
          <w:szCs w:val="20"/>
          <w:color w:val="auto"/>
        </w:rPr>
      </w:pPr>
    </w:p>
    <w:p>
      <w:pPr>
        <w:ind w:right="20" w:firstLine="338"/>
        <w:spacing w:after="0" w:line="282" w:lineRule="auto"/>
        <w:rPr>
          <w:sz w:val="20"/>
          <w:szCs w:val="20"/>
          <w:color w:val="auto"/>
        </w:rPr>
      </w:pPr>
      <w:r>
        <w:rPr>
          <w:rFonts w:ascii="Arial" w:cs="Arial" w:eastAsia="Arial" w:hAnsi="Arial"/>
          <w:sz w:val="17"/>
          <w:szCs w:val="17"/>
          <w:color w:val="auto"/>
        </w:rPr>
        <w:t>The board of directors believes that Mr. Moore is qualified to serve as a director based on his extensive background in business and financial management and his role as co-founder of a publicly-held company.</w:t>
      </w:r>
    </w:p>
    <w:p>
      <w:pPr>
        <w:spacing w:after="0" w:line="170" w:lineRule="exact"/>
        <w:rPr>
          <w:sz w:val="20"/>
          <w:szCs w:val="20"/>
          <w:color w:val="auto"/>
        </w:rPr>
      </w:pPr>
    </w:p>
    <w:p>
      <w:pPr>
        <w:ind w:right="60" w:firstLine="341"/>
        <w:spacing w:after="0" w:line="280" w:lineRule="auto"/>
        <w:rPr>
          <w:sz w:val="20"/>
          <w:szCs w:val="20"/>
          <w:color w:val="auto"/>
        </w:rPr>
      </w:pPr>
      <w:r>
        <w:rPr>
          <w:rFonts w:ascii="Arial" w:cs="Arial" w:eastAsia="Arial" w:hAnsi="Arial"/>
          <w:sz w:val="16"/>
          <w:szCs w:val="16"/>
          <w:b w:val="1"/>
          <w:bCs w:val="1"/>
          <w:i w:val="1"/>
          <w:iCs w:val="1"/>
          <w:color w:val="auto"/>
        </w:rPr>
        <w:t xml:space="preserve">Min-Chu (Mike) Chen, Ph.D. </w:t>
      </w:r>
      <w:r>
        <w:rPr>
          <w:rFonts w:ascii="Arial" w:cs="Arial" w:eastAsia="Arial" w:hAnsi="Arial"/>
          <w:sz w:val="16"/>
          <w:szCs w:val="16"/>
          <w:color w:val="auto"/>
        </w:rPr>
        <w:t>has served as a director on our board of directors since February 27, 2013. Since January 2013, Dr. Chen has served as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of Nanning Baota Biowin Technologies Co. Ltd., a real estate management company, since January 2012, he has served as an executive director of FGel Nanotek, Inc., a food and beverage additive company, since November 2011, he has served as the Asia Pacific Director for U.S. Flow Control Group Pte. Ltd., a petroleum equipment manufacturer and services company, since 2010, he has served as a director of Iecont Technology Inc., and since 2001, he has been a partner and member of the board of directors of EverRich Capital Inc., a consulting company. From September 2008 to April 2010, Dr. Chen served as the Chief Executive Officer of SilverPAC, Inc., a consumer electronics business, and from March 1994 to June 2002, Dr. Chen served as a board member of PCTEL, Inc. (Nasdaq: PCTI). Dr. Chen received a Ph.D. in Ocean Engineering from Oregon State University.</w:t>
      </w:r>
    </w:p>
    <w:p>
      <w:pPr>
        <w:spacing w:after="0" w:line="175" w:lineRule="exact"/>
        <w:rPr>
          <w:sz w:val="20"/>
          <w:szCs w:val="20"/>
          <w:color w:val="auto"/>
        </w:rPr>
      </w:pPr>
    </w:p>
    <w:p>
      <w:pPr>
        <w:ind w:right="600" w:firstLine="338"/>
        <w:spacing w:after="0" w:line="282" w:lineRule="auto"/>
        <w:rPr>
          <w:sz w:val="20"/>
          <w:szCs w:val="20"/>
          <w:color w:val="auto"/>
        </w:rPr>
      </w:pPr>
      <w:r>
        <w:rPr>
          <w:rFonts w:ascii="Arial" w:cs="Arial" w:eastAsia="Arial" w:hAnsi="Arial"/>
          <w:sz w:val="17"/>
          <w:szCs w:val="17"/>
          <w:color w:val="auto"/>
        </w:rPr>
        <w:t>The board of directors believes that Dr. Chen is qualified to serve as a director based on his business management experience, his service on other private company boards of directors and his prior service on the board of a publicly-held company.</w:t>
      </w:r>
    </w:p>
    <w:p>
      <w:pPr>
        <w:spacing w:after="0" w:line="170"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b w:val="1"/>
          <w:bCs w:val="1"/>
          <w:i w:val="1"/>
          <w:iCs w:val="1"/>
          <w:color w:val="auto"/>
        </w:rPr>
        <w:t xml:space="preserve">Alex Ignatiev, Ph.D. </w:t>
      </w:r>
      <w:r>
        <w:rPr>
          <w:rFonts w:ascii="Arial" w:cs="Arial" w:eastAsia="Arial" w:hAnsi="Arial"/>
          <w:sz w:val="17"/>
          <w:szCs w:val="17"/>
          <w:color w:val="auto"/>
        </w:rPr>
        <w:t>has served as a director on our board of directors since February 2013, and previously served as a director on our board of directors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2008 to October 2009 and from May 2001 to August 2002. Since March 2013, Dr. Ignatiev has served as the Chief Science Officer of Smart Grid Intelligent Management, Inc., which develops operating systems and alternative energy source integration, since February 2009, he has served as the Chief Technology Officer of Quarius Technologies, LP, a renewable energy company, since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February 2006, he has served as a vice president and Chief Technology Officer at Nano EnerTex, Inc., a nanomaterials company, since January 2005, he has served as a Vice President of Virtual Vision LLP, which develops artificial retinas, and since May 2002, he has served as the Chief Technology Officer of Metal Oxide Technologies, Inc., which develops, manufactures and sells superconducting wire. Dr. Ignatiev was a director of the Space Vacuum Epitaxy Center at the University of Houston from 1987 until 2002 after which he became director of the Texas Center for Superconductivity and Advanced Materials until 2005. From 2005 until the present he has served as a director of the Center for Advanced Materials at the University of Houston. Dr. Ignatiev has also served a task leader for the Texas Center for Superconductivity from 1987 to 2008. Dr. Ignatiev has served since 2010 as the Hugh Roy and Lillie Cranz Cullen professor of physics, chemistry and electrical and computer engineering at the University of Houston, and has been elected to the International Academy of Astronautics and to the Kazakhstan National Academy of Sciences. Dr. Ignatiev received a Ph.D. in Materials Science from Cornell University.</w:t>
      </w:r>
    </w:p>
    <w:p>
      <w:pPr>
        <w:spacing w:after="0" w:line="177"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The board of directors believes that Dr. Ignatiev is qualified to serve as a director based on his business management experience, broad technology industry experience and his past service on our board.</w:t>
      </w:r>
    </w:p>
    <w:p>
      <w:pPr>
        <w:spacing w:after="0" w:line="170"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ind w:right="80" w:firstLine="341"/>
        <w:spacing w:after="0" w:line="293" w:lineRule="auto"/>
        <w:rPr>
          <w:sz w:val="20"/>
          <w:szCs w:val="20"/>
          <w:color w:val="auto"/>
        </w:rPr>
      </w:pPr>
      <w:r>
        <w:rPr>
          <w:rFonts w:ascii="Arial" w:cs="Arial" w:eastAsia="Arial" w:hAnsi="Arial"/>
          <w:sz w:val="15"/>
          <w:szCs w:val="15"/>
          <w:color w:val="auto"/>
        </w:rPr>
        <w:t>Our amended and restated certificate of incorporation to be in effect immediately prior to the closing of this offering will provide that the number of authorized directors will be determined from time to time by resolution of the board of directors and any vacancies in our board of directors and newly created directorships may be filled only by our board of directors. Any additional directorships resulting from an increase in the number of directors will be distributed among the three classes, so that, as nearly as possible, each class will consist of one-third of the total number of directors. Our amended and restated certificate of incorporation will further</w:t>
      </w:r>
    </w:p>
    <w:p>
      <w:pPr>
        <w:spacing w:after="0" w:line="3"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provide for the removal of a director only for cause and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the shares then entitled to vote at an election of our directors. We currently have seven directors.</w:t>
      </w:r>
    </w:p>
    <w:p>
      <w:pPr>
        <w:spacing w:after="0" w:line="205"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Following the closing of this offering, our board of directors will be divided into three classes with members of each class of directors serving for staggered three-year terms as follows:</w:t>
      </w:r>
    </w:p>
    <w:p>
      <w:pPr>
        <w:spacing w:after="0" w:line="183"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Class I directors, Alan Moore and Juen-Sheng (Andrew) Kang, whose initial terms will expire at the annual meetings held in 2014;</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Class II directors, William H. Yeh and Alex Ignatiev, whose initial terms will expire at the annual meetings held in 2015; and</w:t>
      </w:r>
    </w:p>
    <w:p>
      <w:pPr>
        <w:spacing w:after="0" w:line="237" w:lineRule="exact"/>
        <w:rPr>
          <w:rFonts w:ascii="Arial" w:cs="Arial" w:eastAsia="Arial" w:hAnsi="Arial"/>
          <w:sz w:val="17"/>
          <w:szCs w:val="17"/>
          <w:color w:val="auto"/>
        </w:rPr>
      </w:pPr>
    </w:p>
    <w:p>
      <w:pPr>
        <w:ind w:left="1060" w:right="14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Class III directors, Chih-Hsiang (Thompson) Lin, Richard B. Black and Min-Chu (Mike) Chen, whose initial terms will expire at the annual meetings held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classified board could have the effect of making it more difficult for a third party to acquire us. We have determined that each of William H. Yeh, Richard B.</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 Alex Ignatiev, Alan Moore and Min-Chu (Mike) Chen qualify as independent directors under the NASDAQ rules and SEC rules and regulations.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right="140" w:firstLine="341"/>
        <w:spacing w:after="0" w:line="287" w:lineRule="auto"/>
        <w:rPr>
          <w:sz w:val="20"/>
          <w:szCs w:val="20"/>
          <w:color w:val="auto"/>
        </w:rPr>
      </w:pPr>
      <w:r>
        <w:rPr>
          <w:rFonts w:ascii="Arial" w:cs="Arial" w:eastAsia="Arial" w:hAnsi="Arial"/>
          <w:sz w:val="16"/>
          <w:szCs w:val="16"/>
          <w:color w:val="auto"/>
        </w:rPr>
        <w:t>In 2012 non-employee directors were eligible to receive $1,500 for each board meeting attended in person. In addition, a $300 meeting fee was payable for each board or committee meeting attended by telephone. If a committee meeting occurred at the same site as a scheduled board meeting, no additional compensation was paid. Employee directors did not receive any compensation other than their employee compensation for their service as directors. Directors were reimbursed for out-of-pocket expenses incurred in the course of their service on the board of directors or its committees.</w:t>
      </w:r>
    </w:p>
    <w:p>
      <w:pPr>
        <w:spacing w:after="0" w:line="169"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Non-employee directors continuing in office following each annual meeting of stockholders were eligible to receive an option to acquire 1,333 shares. The Chairman of the board of directors was eligible to receive an option for an additional 333 shares and each chair of a committee was eligible to receive an option for an additional 167 shares. All options granted to directors vest in equal monthly amounts over the first twelve months following the date of grant and expire, subject to early termination in accordance with their terms, on the tenth anniversary of the date of grant.</w:t>
      </w:r>
    </w:p>
    <w:p>
      <w:pPr>
        <w:spacing w:after="0" w:line="185"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table below sets forth, for each person who served as a non-employee director during 2012, information regarding compensation for service on our board of directors during 2012.</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b w:val="1"/>
                <w:bCs w:val="1"/>
                <w:color w:val="auto"/>
                <w:w w:val="93"/>
              </w:rPr>
              <w:t>Fees Earned or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39"/>
              <w:spacing w:after="0"/>
              <w:rPr>
                <w:sz w:val="20"/>
                <w:szCs w:val="20"/>
                <w:color w:val="auto"/>
              </w:rPr>
            </w:pPr>
            <w:r>
              <w:rPr>
                <w:rFonts w:ascii="Arial" w:cs="Arial" w:eastAsia="Arial" w:hAnsi="Arial"/>
                <w:sz w:val="13"/>
                <w:szCs w:val="13"/>
                <w:b w:val="1"/>
                <w:bCs w:val="1"/>
                <w:color w:val="auto"/>
              </w:rPr>
              <w:t>Option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8"/>
              </w:rPr>
              <w:t>All Other</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b w:val="1"/>
                <w:bCs w:val="1"/>
                <w:color w:val="auto"/>
                <w:w w:val="92"/>
              </w:rPr>
              <w:t>Paid in Cash (1)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9"/>
              <w:spacing w:after="0"/>
              <w:rPr>
                <w:sz w:val="20"/>
                <w:szCs w:val="20"/>
                <w:color w:val="auto"/>
              </w:rPr>
            </w:pPr>
            <w:r>
              <w:rPr>
                <w:rFonts w:ascii="Arial" w:cs="Arial" w:eastAsia="Arial" w:hAnsi="Arial"/>
                <w:sz w:val="13"/>
                <w:szCs w:val="13"/>
                <w:b w:val="1"/>
                <w:bCs w:val="1"/>
                <w:color w:val="auto"/>
                <w:w w:val="90"/>
              </w:rPr>
              <w:t>Awards (2)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0"/>
              </w:rPr>
              <w:t>Compensation</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Juen-Sheng (Andrew) Kang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ind w:left="760"/>
              <w:spacing w:after="0"/>
              <w:rPr>
                <w:sz w:val="20"/>
                <w:szCs w:val="20"/>
                <w:color w:val="auto"/>
              </w:rPr>
            </w:pPr>
            <w:r>
              <w:rPr>
                <w:rFonts w:ascii="Arial" w:cs="Arial" w:eastAsia="Arial" w:hAnsi="Arial"/>
                <w:sz w:val="17"/>
                <w:szCs w:val="17"/>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William H. Yeh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10,292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B. Black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Nancy T. Chang (3)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Benjamin C M Jen (4)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7"/>
                <w:szCs w:val="17"/>
                <w:color w:val="auto"/>
              </w:rPr>
              <w:t>Chih-Kai (C.K.) Cheng (5)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6,524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Hsiang-Teh (Steven) Ho (5)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right="100" w:hanging="523"/>
        <w:spacing w:after="0" w:line="256" w:lineRule="auto"/>
        <w:tabs>
          <w:tab w:leader="none" w:pos="22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Reflects the aggregate dollar amount of fees earned or paid in cash for services as a non-employee director, including committee service fees, fees for serving as a committee chairperson, and board and committee meeting fees.</w:t>
      </w:r>
    </w:p>
    <w:p>
      <w:pPr>
        <w:spacing w:after="0" w:line="100" w:lineRule="exact"/>
        <w:rPr>
          <w:rFonts w:ascii="Arial" w:cs="Arial" w:eastAsia="Arial" w:hAnsi="Arial"/>
          <w:sz w:val="13"/>
          <w:szCs w:val="13"/>
          <w:color w:val="auto"/>
        </w:rPr>
      </w:pPr>
    </w:p>
    <w:p>
      <w:pPr>
        <w:ind w:left="2240" w:hanging="523"/>
        <w:spacing w:after="0" w:line="274" w:lineRule="auto"/>
        <w:tabs>
          <w:tab w:leader="none" w:pos="22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The assumptions used in calculating the grant date fair value of the stock options reported in Note M to the consolidated financial statements included in this prospectus. The amounts reported in this column reflect the accounting cost for these stock options and do not correspond to the actual economic value that may be received by the named executive officers for the stock options.</w:t>
      </w:r>
    </w:p>
    <w:p>
      <w:pPr>
        <w:spacing w:after="0" w:line="91" w:lineRule="exact"/>
        <w:rPr>
          <w:rFonts w:ascii="Arial" w:cs="Arial" w:eastAsia="Arial" w:hAnsi="Arial"/>
          <w:sz w:val="12"/>
          <w:szCs w:val="12"/>
          <w:color w:val="auto"/>
        </w:rPr>
      </w:pPr>
    </w:p>
    <w:p>
      <w:pPr>
        <w:ind w:left="2240" w:right="40" w:hanging="523"/>
        <w:spacing w:after="0" w:line="243" w:lineRule="auto"/>
        <w:tabs>
          <w:tab w:leader="none" w:pos="22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Resigned as a member of our board of directors on March 22, 2013. Reflects payment of $25,000 to Chang Office, LLC under our consulting agreement with Chang Office, LLC. Under the consulting agreement, Chang Office, LLC agreed to provide certain consulting services for the benefit of our audit committee, including the evaluation of our internal controls. Ms. Chang is the President and sole member of Chang Office, LLC.</w:t>
      </w:r>
    </w:p>
    <w:p>
      <w:pPr>
        <w:spacing w:after="0" w:line="109" w:lineRule="exact"/>
        <w:rPr>
          <w:rFonts w:ascii="Arial" w:cs="Arial" w:eastAsia="Arial" w:hAnsi="Arial"/>
          <w:sz w:val="13"/>
          <w:szCs w:val="13"/>
          <w:color w:val="auto"/>
        </w:rPr>
      </w:pPr>
    </w:p>
    <w:p>
      <w:pPr>
        <w:ind w:left="2240" w:hanging="523"/>
        <w:spacing w:after="0"/>
        <w:tabs>
          <w:tab w:leader="none" w:pos="22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Resigned as a member of our board of directors on February 27, 2013.</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Resigned as a member of our board of directors on February 20, 2013.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ind w:right="60" w:firstLine="341"/>
        <w:spacing w:after="0" w:line="322" w:lineRule="auto"/>
        <w:rPr>
          <w:sz w:val="20"/>
          <w:szCs w:val="20"/>
          <w:color w:val="auto"/>
        </w:rPr>
      </w:pPr>
      <w:r>
        <w:rPr>
          <w:rFonts w:ascii="Arial" w:cs="Arial" w:eastAsia="Arial" w:hAnsi="Arial"/>
          <w:sz w:val="15"/>
          <w:szCs w:val="15"/>
          <w:color w:val="auto"/>
        </w:rPr>
        <w:t>Our board of directors directs the management of our business and affairs, as provided by Delaware law, and conducts its business through meetings of the board of directors. Upon completion of this offering our board of directors will have three standing committees: an audit committee, a compensation committee and a nominating and corporate governance committee. Our board of directors may establish other committees to facilitate the management of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Our audit committee currently consists of Richard B. Black, Alan Moore and Alex Ignatiev. Our board of directors has determined that Messrs. Black, Moore and Ignatiev each satisfy the independence and financial literacy requirements under the applicable rules and regulations of the SEC and NASDAQ. Mr. Black serves as the chairman of this committee, and our board of directors has determined that he qualifies as an "audit committee financial expert" as that term is defined in the rules and regulations established by the SEC and has the requisite financial sophistication as defined under the applicable NASDAQ rules. The functions of this committee include, but are not limited to:</w:t>
      </w:r>
    </w:p>
    <w:p>
      <w:pPr>
        <w:spacing w:after="0" w:line="201"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meeting with our management periodically to consider the adequacy of our internal controls and the objectivity of our financial reporting;</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meeting with our independent auditors and with internal financial personnel regarding these matters;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appointing, compensating, retaining and overseeing the work of our independent auditors;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pre-approving audit and non-audit services of our independent auditors;</w:t>
      </w:r>
    </w:p>
    <w:p>
      <w:pPr>
        <w:spacing w:after="0" w:line="250" w:lineRule="exact"/>
        <w:rPr>
          <w:rFonts w:ascii="Arial" w:cs="Arial" w:eastAsia="Arial" w:hAnsi="Arial"/>
          <w:sz w:val="17"/>
          <w:szCs w:val="17"/>
          <w:color w:val="auto"/>
        </w:rPr>
      </w:pPr>
    </w:p>
    <w:p>
      <w:pPr>
        <w:ind w:left="1060" w:right="460" w:hanging="531"/>
        <w:spacing w:after="0" w:line="315"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our audited financial statements and reports and discussing the statements and reports with our management, including any significant adjustments, management judgments and estimates, new accounting policies and disagreements with management;</w:t>
      </w:r>
    </w:p>
    <w:p>
      <w:pPr>
        <w:spacing w:after="0" w:line="159" w:lineRule="exact"/>
        <w:rPr>
          <w:rFonts w:ascii="Arial" w:cs="Arial" w:eastAsia="Arial" w:hAnsi="Arial"/>
          <w:sz w:val="16"/>
          <w:szCs w:val="16"/>
          <w:color w:val="auto"/>
        </w:rPr>
      </w:pPr>
    </w:p>
    <w:p>
      <w:pPr>
        <w:ind w:left="1060" w:right="20" w:hanging="531"/>
        <w:spacing w:after="0" w:line="352" w:lineRule="auto"/>
        <w:tabs>
          <w:tab w:leader="none" w:pos="10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we receive regarding accounting, internal accounting controls or auditing matters, as well as for the confidential, anonymous submission by our employees of concerns regarding questionable accounting or auditing matters;</w:t>
      </w:r>
    </w:p>
    <w:p>
      <w:pPr>
        <w:spacing w:after="0" w:line="136" w:lineRule="exact"/>
        <w:rPr>
          <w:rFonts w:ascii="Arial" w:cs="Arial" w:eastAsia="Arial" w:hAnsi="Arial"/>
          <w:sz w:val="15"/>
          <w:szCs w:val="15"/>
          <w:color w:val="auto"/>
        </w:rPr>
      </w:pPr>
    </w:p>
    <w:p>
      <w:pPr>
        <w:ind w:left="1060" w:right="560" w:hanging="531"/>
        <w:spacing w:after="0" w:line="28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reviewing the independence and quality control procedures of the independent auditor and the experience and qualifications of the independent auditor's senior personnel that are providing us audit services;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reviewing all related-party transactions for approval; and</w:t>
      </w:r>
    </w:p>
    <w:p>
      <w:pPr>
        <w:spacing w:after="0" w:line="237" w:lineRule="exact"/>
        <w:rPr>
          <w:rFonts w:ascii="Arial" w:cs="Arial" w:eastAsia="Arial" w:hAnsi="Arial"/>
          <w:sz w:val="17"/>
          <w:szCs w:val="17"/>
          <w:color w:val="auto"/>
        </w:rPr>
      </w:pPr>
    </w:p>
    <w:p>
      <w:pPr>
        <w:ind w:left="340" w:right="80" w:firstLine="189"/>
        <w:spacing w:after="0" w:line="583" w:lineRule="auto"/>
        <w:tabs>
          <w:tab w:leader="none" w:pos="10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reviewing and reassessing the adequacy of the audit committee's charter at least annually and recommending any changes to our board of directors. Both our independent auditors and internal financial personnel regularly meet privately with our audit committee and have unrestricted access to this committee.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Our compensation committee currently consists of William H. Yeh, Richard B. Black and Min-Chu (Mike) Chen, each of whom is not an employee and is otherwise "independent" as that term is defined in the current applicable NASDAQ rules. Mr. Yeh serves as the chairman of this committee. Pursuant to its charter, our compensation committee has responsibility for overseeing our compensation policies and programs, including developing compensation policies and providing oversight in the implementation of all applicable policies and benefit plans. Specifically, the compensation committee recommends the compensation payable to our non-employee directors, evaluates and sets compensation for the Chairman of our board of directors and our executive officers and monitors all general compensation programs. In accordance with its charter, the compensation committee's responsibilities include, but are not limited to:</w:t>
      </w:r>
    </w:p>
    <w:p>
      <w:pPr>
        <w:spacing w:after="0" w:line="189" w:lineRule="exact"/>
        <w:rPr>
          <w:sz w:val="20"/>
          <w:szCs w:val="20"/>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approving all compensation for the Chief Executive Officer, including incentive-based and equity-based compensation;</w:t>
      </w:r>
    </w:p>
    <w:p>
      <w:pPr>
        <w:spacing w:after="0" w:line="250" w:lineRule="exact"/>
        <w:rPr>
          <w:rFonts w:ascii="Arial" w:cs="Arial" w:eastAsia="Arial" w:hAnsi="Arial"/>
          <w:sz w:val="17"/>
          <w:szCs w:val="17"/>
          <w:color w:val="auto"/>
        </w:rPr>
      </w:pPr>
    </w:p>
    <w:p>
      <w:pPr>
        <w:ind w:left="1060" w:right="58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approving annual performance objectives and goals relevant to compensation for the Chief Executive Officer and evaluating the performance of the Chief Executive Officer;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approving incentive-based or equity-based compensation plans in which our executive officers participate;</w:t>
      </w:r>
    </w:p>
    <w:p>
      <w:pPr>
        <w:spacing w:after="0" w:line="237" w:lineRule="exact"/>
        <w:rPr>
          <w:rFonts w:ascii="Arial" w:cs="Arial" w:eastAsia="Arial" w:hAnsi="Arial"/>
          <w:sz w:val="17"/>
          <w:szCs w:val="17"/>
          <w:color w:val="auto"/>
        </w:rPr>
      </w:pPr>
    </w:p>
    <w:p>
      <w:pPr>
        <w:ind w:left="1060" w:right="52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approving all compensation for executive officers, including incentive-based and equity-based compensation, and overseeing the evaluation of management;</w:t>
      </w:r>
    </w:p>
    <w:p>
      <w:pPr>
        <w:spacing w:after="0" w:line="196"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approving all employment, severance, or change-in-control agreements, special or supplemental benefits, or provisions including the same, applicable to executive officers;</w:t>
      </w:r>
    </w:p>
    <w:p>
      <w:pPr>
        <w:spacing w:after="0" w:line="182" w:lineRule="exact"/>
        <w:rPr>
          <w:rFonts w:ascii="Arial" w:cs="Arial" w:eastAsia="Arial" w:hAnsi="Arial"/>
          <w:sz w:val="17"/>
          <w:szCs w:val="17"/>
          <w:color w:val="auto"/>
        </w:rPr>
      </w:pPr>
    </w:p>
    <w:p>
      <w:pPr>
        <w:ind w:left="1060" w:right="200" w:hanging="531"/>
        <w:spacing w:after="0" w:line="352" w:lineRule="auto"/>
        <w:tabs>
          <w:tab w:leader="none" w:pos="10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periodically reviewing and advising our board of directors concerning both regional and industry-wide compensation practices and trends in order to assess the adequacy and competitiveness of our compensation programs for executive officers relative to comparable companies in our industry;</w:t>
      </w:r>
    </w:p>
    <w:p>
      <w:pPr>
        <w:spacing w:after="0" w:line="136" w:lineRule="exact"/>
        <w:rPr>
          <w:rFonts w:ascii="Arial" w:cs="Arial" w:eastAsia="Arial" w:hAnsi="Arial"/>
          <w:sz w:val="15"/>
          <w:szCs w:val="15"/>
          <w:color w:val="auto"/>
        </w:rPr>
      </w:pPr>
    </w:p>
    <w:p>
      <w:pPr>
        <w:ind w:left="1060" w:right="6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reassessing the adequacy of the compensation committee charter and recommending any changes to our board of directors on an annual basis; and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reviewing and evaluating the compensation committee's own performance periodically.</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compensation committee may delegate its authority to a subcommittee to make grants of stock, stock options and other equity securities to executive officers and other employees, provided that these grants are made within established guidelines. In addition, the compensation committee may obtain advice or assistance from compensation consultants, legal counsel or other advisors to perform its duties, provided that the compensation committee shall periodically assess the independence of any such compensation consultant as required by NASDAQ rules and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228"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Our nominating and corporate governance committee currently consists of William H. Yeh, Alex Ignatiev and Min-Chu (Mike) Chen. Mr. Ignatiev serves as the chairman of this committee.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nominating and corporate governance committee oversees and advises the board of directors with respect to corporate governance matters, assists the board of directors in identifying and recommending qualified candidates for nomination to the board of directors, makes recommendations to the board of directors with respect to assignments to committees of the board of directors and oversees the evaluation of the board of directors. The functions of this committee include, but are not limited to:</w:t>
      </w:r>
    </w:p>
    <w:p>
      <w:pPr>
        <w:spacing w:after="0" w:line="199" w:lineRule="exact"/>
        <w:rPr>
          <w:sz w:val="20"/>
          <w:szCs w:val="20"/>
          <w:color w:val="auto"/>
        </w:rPr>
      </w:pPr>
    </w:p>
    <w:p>
      <w:pPr>
        <w:ind w:left="1060" w:right="40" w:hanging="531"/>
        <w:spacing w:after="0" w:line="352" w:lineRule="auto"/>
        <w:tabs>
          <w:tab w:leader="none" w:pos="10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making recommendations to the board of directors regarding all nominees for board membership, whether for the slate of director nominees to be proposed by the board of directors to the stockholders or any director nominees to be elected by the board of directors to fill interim director vacancies;</w:t>
      </w:r>
    </w:p>
    <w:p>
      <w:pPr>
        <w:spacing w:after="0" w:line="149" w:lineRule="exact"/>
        <w:rPr>
          <w:rFonts w:ascii="Arial" w:cs="Arial" w:eastAsia="Arial" w:hAnsi="Arial"/>
          <w:sz w:val="15"/>
          <w:szCs w:val="15"/>
          <w:color w:val="auto"/>
        </w:rPr>
      </w:pPr>
    </w:p>
    <w:p>
      <w:pPr>
        <w:ind w:left="1060" w:right="80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considering director candidates submitted by stockholders and determining the procedure to be followed by stockholders in submitting such recommendations;</w:t>
      </w:r>
    </w:p>
    <w:p>
      <w:pPr>
        <w:spacing w:after="0" w:line="182" w:lineRule="exact"/>
        <w:rPr>
          <w:rFonts w:ascii="Arial" w:cs="Arial" w:eastAsia="Arial" w:hAnsi="Arial"/>
          <w:sz w:val="17"/>
          <w:szCs w:val="17"/>
          <w:color w:val="auto"/>
        </w:rPr>
      </w:pPr>
    </w:p>
    <w:p>
      <w:pPr>
        <w:ind w:left="1060" w:right="6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recommending board of director committee structure and responsibilities to be included in the charter of each committee of the board of directors to be submitted to full board of directors for consideration;</w:t>
      </w:r>
    </w:p>
    <w:p>
      <w:pPr>
        <w:spacing w:after="0" w:line="182" w:lineRule="exact"/>
        <w:rPr>
          <w:rFonts w:ascii="Arial" w:cs="Arial" w:eastAsia="Arial" w:hAnsi="Arial"/>
          <w:sz w:val="17"/>
          <w:szCs w:val="17"/>
          <w:color w:val="auto"/>
        </w:rPr>
      </w:pPr>
    </w:p>
    <w:p>
      <w:pPr>
        <w:ind w:left="1060" w:right="26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recommending directors to serve on each board committee and suggesting rotations for chairpersons of the board committees as the nominating and corporate governance committee deems appropriate;</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recommending corporate governance standards to the board of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evaluating and recommending any revisions to board of directors and board committee meeting policies;</w:t>
      </w:r>
    </w:p>
    <w:p>
      <w:pPr>
        <w:spacing w:after="0" w:line="237" w:lineRule="exact"/>
        <w:rPr>
          <w:rFonts w:ascii="Arial" w:cs="Arial" w:eastAsia="Arial" w:hAnsi="Arial"/>
          <w:sz w:val="17"/>
          <w:szCs w:val="17"/>
          <w:color w:val="auto"/>
        </w:rPr>
      </w:pPr>
    </w:p>
    <w:p>
      <w:pPr>
        <w:ind w:left="1060" w:right="66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the effectiveness of the operation of the board of directors and board committees, including the corporate governance and operating practices;</w:t>
      </w:r>
    </w:p>
    <w:p>
      <w:pPr>
        <w:spacing w:after="0" w:line="196" w:lineRule="exact"/>
        <w:rPr>
          <w:rFonts w:ascii="Arial" w:cs="Arial" w:eastAsia="Arial" w:hAnsi="Arial"/>
          <w:sz w:val="17"/>
          <w:szCs w:val="17"/>
          <w:color w:val="auto"/>
        </w:rPr>
      </w:pPr>
    </w:p>
    <w:p>
      <w:pPr>
        <w:ind w:left="1060" w:right="20" w:hanging="531"/>
        <w:spacing w:after="0" w:line="282"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and reassessing the adequacy of the nominating and corporate governance committee charter and recommending any changes to the board of directors;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periodically reviewing the compensation paid to non-employee directors and make recommendations to our board of directors for any adjustments.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 in Compensation Decisions</w:t>
      </w:r>
    </w:p>
    <w:p>
      <w:pPr>
        <w:spacing w:after="0" w:line="228" w:lineRule="exact"/>
        <w:rPr>
          <w:sz w:val="20"/>
          <w:szCs w:val="20"/>
          <w:color w:val="auto"/>
        </w:rPr>
      </w:pPr>
    </w:p>
    <w:p>
      <w:pPr>
        <w:ind w:right="240" w:firstLine="341"/>
        <w:spacing w:after="0" w:line="352" w:lineRule="auto"/>
        <w:rPr>
          <w:sz w:val="20"/>
          <w:szCs w:val="20"/>
          <w:color w:val="auto"/>
        </w:rPr>
      </w:pPr>
      <w:r>
        <w:rPr>
          <w:rFonts w:ascii="Arial" w:cs="Arial" w:eastAsia="Arial" w:hAnsi="Arial"/>
          <w:sz w:val="15"/>
          <w:szCs w:val="15"/>
          <w:color w:val="auto"/>
        </w:rPr>
        <w:t>None of our executive officers serves as a member of our compensation committee or as a member of the board of directors or any other committee serving an equivalent function of any other entity that has one or more of its executive officers serving as a member of our board of directors or compensation committee.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228" w:lineRule="exact"/>
        <w:rPr>
          <w:sz w:val="20"/>
          <w:szCs w:val="20"/>
          <w:color w:val="auto"/>
        </w:rPr>
      </w:pPr>
    </w:p>
    <w:p>
      <w:pPr>
        <w:jc w:val="both"/>
        <w:ind w:right="320" w:firstLine="341"/>
        <w:spacing w:after="0" w:line="322" w:lineRule="auto"/>
        <w:rPr>
          <w:sz w:val="20"/>
          <w:szCs w:val="20"/>
          <w:color w:val="auto"/>
        </w:rPr>
      </w:pPr>
      <w:r>
        <w:rPr>
          <w:rFonts w:ascii="Arial" w:cs="Arial" w:eastAsia="Arial" w:hAnsi="Arial"/>
          <w:sz w:val="15"/>
          <w:szCs w:val="15"/>
          <w:color w:val="auto"/>
        </w:rPr>
        <w:t>Our board of directors has adopted a code of business conduct. The code of business conduct applies to all of our employees, officers and directors. Upon the effectiveness of the registration statement of which this prospectus is a part, the full text of our code of business conduct will be posted on our website at www.ao-inc.com under the Investor Relations section. We intend to disclose future amendments to certain provisions of our code of business conduct,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or waivers of such provisions, at the same location on our website identified above and also in public filings.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Assessment of Compensation Programs</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We do not believe that our compensation programs create risks that are reasonably likely to have a material adverse effect on our company. We believe that the combination of different types of compensation as well as the overall amount of compensation, together with our internal controls and oversight by the board of directors, mitigates potential risks.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and Accounting Considerations</w:t>
      </w:r>
    </w:p>
    <w:p>
      <w:pPr>
        <w:spacing w:after="0" w:line="228"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their Chief Executive Officer and certain other executive officers unless certain performance and other requirements are met. As one of the factors in its consideration of compensation matters, the compensation committee also considers the anticipated tax treatment to our company and to the executive officers of various payments and benefits, including the effect of Section 162(m). The compensation committee retains discretion, however, to implement executive compensation programs that may not be deductible under Section 162(m) if the compensation committee believes the programs are nevertheless appropriate to help achieve our primary objective of ensuring that compensation paid to our executive officers is reasonable, performance-based and consistent with the goals of our company and its stockholders. We do not believe that Code Section 162(m) will limit our tax deductions for our last completed fiscal year.</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and paid to our principal executive officer, principal financial officer and other two most highly compensated executive officers who were serving as executive officers at the end of the fiscal year ended December 31, 2012. These officers are referred to as our named executive officers. The information included in this table reflects compensation for the years ended December 31, 2011 and 2012.</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Nonqualified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Non-Equity</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deferred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8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Name and Principal</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2"/>
                <w:szCs w:val="12"/>
                <w:color w:val="auto"/>
              </w:rPr>
            </w:pPr>
          </w:p>
        </w:tc>
        <w:tc>
          <w:tcPr>
            <w:tcW w:w="100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c>
          <w:tcPr>
            <w:tcW w:w="7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Salary (1)</w:t>
            </w:r>
          </w:p>
        </w:tc>
        <w:tc>
          <w:tcPr>
            <w:tcW w:w="160" w:type="dxa"/>
            <w:vAlign w:val="bottom"/>
          </w:tcPr>
          <w:p>
            <w:pPr>
              <w:spacing w:after="0"/>
              <w:rPr>
                <w:sz w:val="13"/>
                <w:szCs w:val="13"/>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8"/>
              </w:rPr>
              <w:t>Bonus</w:t>
            </w: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3"/>
                <w:szCs w:val="13"/>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Awards (2)</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earnings</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Compensation (3)</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r>
      <w:tr>
        <w:trPr>
          <w:trHeight w:val="137"/>
        </w:trPr>
        <w:tc>
          <w:tcPr>
            <w:tcW w:w="18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b w:val="1"/>
                <w:bCs w:val="1"/>
                <w:color w:val="auto"/>
                <w:w w:val="99"/>
              </w:rPr>
              <w:t>Chih-Hsiang (Thompson) Lin</w:t>
            </w:r>
          </w:p>
        </w:tc>
        <w:tc>
          <w:tcPr>
            <w:tcW w:w="7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w w:val="98"/>
              </w:rPr>
              <w:t>$   318,689</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53,733</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4,632</w:t>
            </w:r>
          </w:p>
        </w:tc>
        <w:tc>
          <w:tcPr>
            <w:tcW w:w="8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w w:val="98"/>
              </w:rPr>
              <w:t>$   377,054</w:t>
            </w:r>
          </w:p>
        </w:tc>
      </w:tr>
      <w:tr>
        <w:trPr>
          <w:trHeight w:val="135"/>
        </w:trPr>
        <w:tc>
          <w:tcPr>
            <w:tcW w:w="180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3"/>
                <w:szCs w:val="13"/>
                <w:color w:val="auto"/>
                <w:w w:val="95"/>
              </w:rPr>
              <w:t>President and Chief Executive</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306,886</w:t>
            </w:r>
          </w:p>
        </w:tc>
        <w:tc>
          <w:tcPr>
            <w:tcW w:w="58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4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6,879</w:t>
            </w:r>
          </w:p>
        </w:tc>
        <w:tc>
          <w:tcPr>
            <w:tcW w:w="9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4,347</w:t>
            </w: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318,112</w:t>
            </w:r>
          </w:p>
        </w:tc>
      </w:tr>
      <w:tr>
        <w:trPr>
          <w:trHeight w:val="153"/>
        </w:trPr>
        <w:tc>
          <w:tcPr>
            <w:tcW w:w="18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Officer</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93"/>
        </w:trPr>
        <w:tc>
          <w:tcPr>
            <w:tcW w:w="1800" w:type="dxa"/>
            <w:vAlign w:val="bottom"/>
            <w:gridSpan w:val="3"/>
          </w:tcPr>
          <w:p>
            <w:pPr>
              <w:spacing w:after="0"/>
              <w:rPr>
                <w:sz w:val="20"/>
                <w:szCs w:val="20"/>
                <w:color w:val="auto"/>
              </w:rPr>
            </w:pPr>
            <w:r>
              <w:rPr>
                <w:rFonts w:ascii="Arial" w:cs="Arial" w:eastAsia="Arial" w:hAnsi="Arial"/>
                <w:sz w:val="13"/>
                <w:szCs w:val="13"/>
                <w:b w:val="1"/>
                <w:bCs w:val="1"/>
                <w:color w:val="auto"/>
              </w:rPr>
              <w:t>James L. Dunn, Jr. (4)</w:t>
            </w: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3,654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113</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3,767</w:t>
            </w:r>
          </w:p>
        </w:tc>
      </w:tr>
      <w:tr>
        <w:trPr>
          <w:trHeight w:val="153"/>
        </w:trPr>
        <w:tc>
          <w:tcPr>
            <w:tcW w:w="1800" w:type="dxa"/>
            <w:vAlign w:val="bottom"/>
            <w:gridSpan w:val="3"/>
          </w:tcPr>
          <w:p>
            <w:pPr>
              <w:ind w:left="120"/>
              <w:spacing w:after="0"/>
              <w:rPr>
                <w:sz w:val="20"/>
                <w:szCs w:val="20"/>
                <w:color w:val="auto"/>
              </w:rPr>
            </w:pPr>
            <w:r>
              <w:rPr>
                <w:rFonts w:ascii="Arial" w:cs="Arial" w:eastAsia="Arial" w:hAnsi="Arial"/>
                <w:sz w:val="13"/>
                <w:szCs w:val="13"/>
                <w:color w:val="auto"/>
              </w:rPr>
              <w:t>Chief Financial Officer</w:t>
            </w: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2011</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302"/>
        </w:trPr>
        <w:tc>
          <w:tcPr>
            <w:tcW w:w="18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Stefan J. Murry</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201,872</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21,829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1,540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225,241</w:t>
            </w:r>
          </w:p>
        </w:tc>
      </w:tr>
      <w:tr>
        <w:trPr>
          <w:trHeight w:val="144"/>
        </w:trPr>
        <w:tc>
          <w:tcPr>
            <w:tcW w:w="1800" w:type="dxa"/>
            <w:vAlign w:val="bottom"/>
            <w:gridSpan w:val="3"/>
            <w:shd w:val="clear" w:color="auto" w:fill="CCEEFF"/>
          </w:tcPr>
          <w:p>
            <w:pPr>
              <w:ind w:left="120"/>
              <w:spacing w:after="0" w:line="144" w:lineRule="exact"/>
              <w:rPr>
                <w:sz w:val="20"/>
                <w:szCs w:val="20"/>
                <w:color w:val="auto"/>
              </w:rPr>
            </w:pPr>
            <w:r>
              <w:rPr>
                <w:rFonts w:ascii="Arial" w:cs="Arial" w:eastAsia="Arial" w:hAnsi="Arial"/>
                <w:sz w:val="13"/>
                <w:szCs w:val="13"/>
                <w:color w:val="auto"/>
              </w:rPr>
              <w:t>Chief Strategy Officer</w:t>
            </w:r>
          </w:p>
        </w:tc>
        <w:tc>
          <w:tcPr>
            <w:tcW w:w="720" w:type="dxa"/>
            <w:vAlign w:val="bottom"/>
            <w:gridSpan w:val="3"/>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190,256</w:t>
            </w:r>
          </w:p>
        </w:tc>
        <w:tc>
          <w:tcPr>
            <w:tcW w:w="580" w:type="dxa"/>
            <w:vAlign w:val="bottom"/>
            <w:gridSpan w:val="2"/>
            <w:shd w:val="clear" w:color="auto" w:fill="CCEEFF"/>
          </w:tcPr>
          <w:p>
            <w:pPr>
              <w:ind w:left="280"/>
              <w:spacing w:after="0" w:line="144"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4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2,635</w:t>
            </w: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6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1,255</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194,146</w:t>
            </w:r>
          </w:p>
        </w:tc>
      </w:tr>
      <w:tr>
        <w:trPr>
          <w:trHeight w:val="293"/>
        </w:trPr>
        <w:tc>
          <w:tcPr>
            <w:tcW w:w="1800" w:type="dxa"/>
            <w:vAlign w:val="bottom"/>
            <w:gridSpan w:val="3"/>
          </w:tcPr>
          <w:p>
            <w:pPr>
              <w:spacing w:after="0"/>
              <w:rPr>
                <w:sz w:val="20"/>
                <w:szCs w:val="20"/>
                <w:color w:val="auto"/>
              </w:rPr>
            </w:pPr>
            <w:r>
              <w:rPr>
                <w:rFonts w:ascii="Arial" w:cs="Arial" w:eastAsia="Arial" w:hAnsi="Arial"/>
                <w:sz w:val="13"/>
                <w:szCs w:val="13"/>
                <w:b w:val="1"/>
                <w:bCs w:val="1"/>
                <w:color w:val="auto"/>
              </w:rPr>
              <w:t>Hung-Lun (Fred) Chang</w:t>
            </w: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177,285</w:t>
            </w: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15,112</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1,540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193,937</w:t>
            </w:r>
          </w:p>
        </w:tc>
      </w:tr>
      <w:tr>
        <w:trPr>
          <w:trHeight w:val="144"/>
        </w:trPr>
        <w:tc>
          <w:tcPr>
            <w:tcW w:w="1800" w:type="dxa"/>
            <w:vAlign w:val="bottom"/>
            <w:gridSpan w:val="3"/>
          </w:tcPr>
          <w:p>
            <w:pPr>
              <w:ind w:left="120"/>
              <w:spacing w:after="0" w:line="144" w:lineRule="exact"/>
              <w:rPr>
                <w:sz w:val="20"/>
                <w:szCs w:val="20"/>
                <w:color w:val="auto"/>
              </w:rPr>
            </w:pPr>
            <w:r>
              <w:rPr>
                <w:rFonts w:ascii="Arial" w:cs="Arial" w:eastAsia="Arial" w:hAnsi="Arial"/>
                <w:sz w:val="13"/>
                <w:szCs w:val="13"/>
                <w:color w:val="auto"/>
              </w:rPr>
              <w:t>Senior Vice President of</w:t>
            </w:r>
          </w:p>
        </w:tc>
        <w:tc>
          <w:tcPr>
            <w:tcW w:w="720" w:type="dxa"/>
            <w:vAlign w:val="bottom"/>
            <w:gridSpan w:val="3"/>
          </w:tcPr>
          <w:p>
            <w:pPr>
              <w:jc w:val="right"/>
              <w:ind w:right="160"/>
              <w:spacing w:after="0" w:line="144" w:lineRule="exact"/>
              <w:rPr>
                <w:sz w:val="20"/>
                <w:szCs w:val="20"/>
                <w:color w:val="auto"/>
              </w:rPr>
            </w:pPr>
            <w:r>
              <w:rPr>
                <w:rFonts w:ascii="Arial" w:cs="Arial" w:eastAsia="Arial" w:hAnsi="Arial"/>
                <w:sz w:val="13"/>
                <w:szCs w:val="13"/>
                <w:color w:val="auto"/>
              </w:rPr>
              <w:t>2011</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172,033</w:t>
            </w:r>
          </w:p>
        </w:tc>
        <w:tc>
          <w:tcPr>
            <w:tcW w:w="580" w:type="dxa"/>
            <w:vAlign w:val="bottom"/>
            <w:gridSpan w:val="2"/>
          </w:tcPr>
          <w:p>
            <w:pPr>
              <w:ind w:left="280"/>
              <w:spacing w:after="0" w:line="144" w:lineRule="exact"/>
              <w:rPr>
                <w:sz w:val="20"/>
                <w:szCs w:val="20"/>
                <w:color w:val="auto"/>
              </w:rPr>
            </w:pPr>
            <w:r>
              <w:rPr>
                <w:rFonts w:ascii="Arial" w:cs="Arial" w:eastAsia="Arial" w:hAnsi="Arial"/>
                <w:sz w:val="13"/>
                <w:szCs w:val="13"/>
                <w:color w:val="auto"/>
              </w:rPr>
              <w:t>—</w:t>
            </w:r>
          </w:p>
        </w:tc>
        <w:tc>
          <w:tcPr>
            <w:tcW w:w="640" w:type="dxa"/>
            <w:vAlign w:val="bottom"/>
            <w:gridSpan w:val="2"/>
          </w:tcPr>
          <w:p>
            <w:pPr>
              <w:ind w:left="34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1,844</w:t>
            </w: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ind w:left="6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1,255</w:t>
            </w:r>
          </w:p>
        </w:tc>
        <w:tc>
          <w:tcPr>
            <w:tcW w:w="8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175,132</w:t>
            </w:r>
          </w:p>
        </w:tc>
      </w:tr>
      <w:tr>
        <w:trPr>
          <w:trHeight w:val="165"/>
        </w:trPr>
        <w:tc>
          <w:tcPr>
            <w:tcW w:w="1800" w:type="dxa"/>
            <w:vAlign w:val="bottom"/>
            <w:gridSpan w:val="3"/>
          </w:tcPr>
          <w:p>
            <w:pPr>
              <w:ind w:left="120"/>
              <w:spacing w:after="0"/>
              <w:rPr>
                <w:sz w:val="20"/>
                <w:szCs w:val="20"/>
                <w:color w:val="auto"/>
              </w:rPr>
            </w:pPr>
            <w:r>
              <w:rPr>
                <w:rFonts w:ascii="Arial" w:cs="Arial" w:eastAsia="Arial" w:hAnsi="Arial"/>
                <w:sz w:val="13"/>
                <w:szCs w:val="13"/>
                <w:color w:val="auto"/>
              </w:rPr>
              <w:t>Optical Module Division</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93"/>
        </w:trPr>
        <w:tc>
          <w:tcPr>
            <w:tcW w:w="10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88" w:lineRule="exact"/>
        <w:rPr>
          <w:sz w:val="20"/>
          <w:szCs w:val="20"/>
          <w:color w:val="auto"/>
        </w:rPr>
      </w:pPr>
    </w:p>
    <w:p>
      <w:pPr>
        <w:ind w:left="1680" w:hanging="533"/>
        <w:spacing w:after="0"/>
        <w:tabs>
          <w:tab w:leader="none" w:pos="16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amounts earned but deferred at the election of the named executive officers, such as salary deferrals under our 401(k) Plan established under Section 401(k) of the Code.</w:t>
      </w:r>
    </w:p>
    <w:p>
      <w:pPr>
        <w:spacing w:after="0" w:line="137" w:lineRule="exact"/>
        <w:rPr>
          <w:rFonts w:ascii="Arial" w:cs="Arial" w:eastAsia="Arial" w:hAnsi="Arial"/>
          <w:sz w:val="12"/>
          <w:szCs w:val="12"/>
          <w:color w:val="auto"/>
        </w:rPr>
      </w:pPr>
    </w:p>
    <w:p>
      <w:pPr>
        <w:ind w:left="1680" w:right="120" w:hanging="533"/>
        <w:spacing w:after="0" w:line="274" w:lineRule="auto"/>
        <w:tabs>
          <w:tab w:leader="none" w:pos="16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The assumptions used in calculating the grant date fair value of the stock options reported in the Option Awards column are set forth in Note M to the consolidated financial statements included in this prospectus. The amounts reported in this column reflect the accounting cost for these stock options and do not correspond to the actual economic value that may be received by the named executive officers for the stock options.</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life insurance premiums paid by us for the benefit of the named executive officers.</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Mr. Dunn joined us on December 12, 2012 as Chief Financial Officer. His base annualized salary for 2012 was $192,000.</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following table sets forth certain information regarding outstanding equity awards at fiscal year-end for our named executive officers for the year ended December 31, 2012.</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1"/>
              </w:rPr>
              <w:t>Number of Shares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Option</w:t>
            </w:r>
          </w:p>
        </w:tc>
        <w:tc>
          <w:tcPr>
            <w:tcW w:w="15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66"/>
        </w:trPr>
        <w:tc>
          <w:tcPr>
            <w:tcW w:w="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8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9"/>
              </w:rPr>
              <w:t>Unexercised Options</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80" w:type="dxa"/>
            <w:vAlign w:val="bottom"/>
            <w:gridSpan w:val="5"/>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Exercise</w:t>
            </w:r>
          </w:p>
        </w:tc>
        <w:tc>
          <w:tcPr>
            <w:tcW w:w="1540" w:type="dxa"/>
            <w:vAlign w:val="bottom"/>
            <w:gridSpan w:val="2"/>
            <w:vMerge w:val="restart"/>
          </w:tcPr>
          <w:p>
            <w:pPr>
              <w:jc w:val="center"/>
              <w:spacing w:after="0" w:line="144" w:lineRule="exact"/>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4"/>
              </w:rPr>
              <w:t>Exercisable</w:t>
            </w: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92"/>
              </w:rPr>
              <w:t>Unexercisable</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Chih-Hsiang (Thompson) Lin</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31,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3,438</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9,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11,667</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5,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3,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8,333</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12,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May 29,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14,083</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23,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7,615</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March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May 22,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tcPr>
          <w:p>
            <w:pPr>
              <w:spacing w:after="0"/>
              <w:rPr>
                <w:sz w:val="20"/>
                <w:szCs w:val="20"/>
                <w:color w:val="auto"/>
              </w:rPr>
            </w:pPr>
            <w:r>
              <w:rPr>
                <w:rFonts w:ascii="Arial" w:cs="Arial" w:eastAsia="Arial" w:hAnsi="Arial"/>
                <w:sz w:val="17"/>
                <w:szCs w:val="17"/>
                <w:color w:val="auto"/>
              </w:rPr>
              <w:t>James L. Dunn, Jr.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Stefan J. Murry</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19,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12,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23,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March 4,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May 22,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40" w:type="dxa"/>
            <w:vAlign w:val="bottom"/>
            <w:gridSpan w:val="3"/>
          </w:tcPr>
          <w:p>
            <w:pPr>
              <w:spacing w:after="0"/>
              <w:rPr>
                <w:sz w:val="20"/>
                <w:szCs w:val="20"/>
                <w:color w:val="auto"/>
              </w:rPr>
            </w:pPr>
            <w:r>
              <w:rPr>
                <w:rFonts w:ascii="Arial" w:cs="Arial" w:eastAsia="Arial" w:hAnsi="Arial"/>
                <w:sz w:val="17"/>
                <w:szCs w:val="17"/>
                <w:color w:val="auto"/>
              </w:rPr>
              <w:t>Hung-Lun (Fred) Chang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751</w:t>
            </w:r>
          </w:p>
        </w:tc>
        <w:tc>
          <w:tcPr>
            <w:tcW w:w="560" w:type="dxa"/>
            <w:vAlign w:val="bottom"/>
          </w:tcPr>
          <w:p>
            <w:pPr>
              <w:ind w:left="4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3.00</w:t>
            </w:r>
          </w:p>
        </w:tc>
        <w:tc>
          <w:tcPr>
            <w:tcW w:w="1520" w:type="dxa"/>
            <w:vAlign w:val="bottom"/>
          </w:tcPr>
          <w:p>
            <w:pPr>
              <w:jc w:val="right"/>
              <w:spacing w:after="0"/>
              <w:rPr>
                <w:sz w:val="20"/>
                <w:szCs w:val="20"/>
                <w:color w:val="auto"/>
              </w:rPr>
            </w:pPr>
            <w:r>
              <w:rPr>
                <w:rFonts w:ascii="Arial" w:cs="Arial" w:eastAsia="Arial" w:hAnsi="Arial"/>
                <w:sz w:val="17"/>
                <w:szCs w:val="17"/>
                <w:color w:val="auto"/>
              </w:rPr>
              <w:t>December 31,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2,833</w:t>
            </w:r>
          </w:p>
        </w:tc>
        <w:tc>
          <w:tcPr>
            <w:tcW w:w="560" w:type="dxa"/>
            <w:vAlign w:val="bottom"/>
          </w:tcPr>
          <w:p>
            <w:pPr>
              <w:ind w:left="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July 31, 2014</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400</w:t>
            </w:r>
          </w:p>
        </w:tc>
        <w:tc>
          <w:tcPr>
            <w:tcW w:w="560" w:type="dxa"/>
            <w:vAlign w:val="bottom"/>
          </w:tcPr>
          <w:p>
            <w:pPr>
              <w:ind w:left="4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7.50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June 9, 2015</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1,366</w:t>
            </w:r>
          </w:p>
        </w:tc>
        <w:tc>
          <w:tcPr>
            <w:tcW w:w="560" w:type="dxa"/>
            <w:vAlign w:val="bottom"/>
          </w:tcPr>
          <w:p>
            <w:pPr>
              <w:ind w:left="4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2,166</w:t>
            </w:r>
          </w:p>
        </w:tc>
        <w:tc>
          <w:tcPr>
            <w:tcW w:w="560" w:type="dxa"/>
            <w:vAlign w:val="bottom"/>
          </w:tcPr>
          <w:p>
            <w:pPr>
              <w:ind w:left="4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2,000</w:t>
            </w:r>
          </w:p>
        </w:tc>
        <w:tc>
          <w:tcPr>
            <w:tcW w:w="560" w:type="dxa"/>
            <w:vAlign w:val="bottom"/>
          </w:tcPr>
          <w:p>
            <w:pPr>
              <w:ind w:left="4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October 19, 2019</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3,000</w:t>
            </w:r>
          </w:p>
        </w:tc>
        <w:tc>
          <w:tcPr>
            <w:tcW w:w="560" w:type="dxa"/>
            <w:vAlign w:val="bottom"/>
          </w:tcPr>
          <w:p>
            <w:pPr>
              <w:ind w:left="4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3,000</w:t>
            </w:r>
          </w:p>
        </w:tc>
        <w:tc>
          <w:tcPr>
            <w:tcW w:w="560" w:type="dxa"/>
            <w:vAlign w:val="bottom"/>
          </w:tcPr>
          <w:p>
            <w:pPr>
              <w:ind w:left="20"/>
              <w:spacing w:after="0"/>
              <w:rPr>
                <w:sz w:val="20"/>
                <w:szCs w:val="20"/>
                <w:color w:val="auto"/>
              </w:rPr>
            </w:pPr>
            <w:r>
              <w:rPr>
                <w:rFonts w:ascii="Arial" w:cs="Arial" w:eastAsia="Arial" w:hAnsi="Arial"/>
                <w:sz w:val="17"/>
                <w:szCs w:val="17"/>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August 23, 2020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2,041</w:t>
            </w:r>
          </w:p>
        </w:tc>
        <w:tc>
          <w:tcPr>
            <w:tcW w:w="560" w:type="dxa"/>
            <w:vAlign w:val="bottom"/>
          </w:tcPr>
          <w:p>
            <w:pPr>
              <w:ind w:left="4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2,625</w:t>
            </w:r>
          </w:p>
        </w:tc>
        <w:tc>
          <w:tcPr>
            <w:tcW w:w="560" w:type="dxa"/>
            <w:vAlign w:val="bottom"/>
          </w:tcPr>
          <w:p>
            <w:pPr>
              <w:ind w:left="20"/>
              <w:spacing w:after="0"/>
              <w:rPr>
                <w:sz w:val="20"/>
                <w:szCs w:val="20"/>
                <w:color w:val="auto"/>
              </w:rPr>
            </w:pPr>
            <w:r>
              <w:rPr>
                <w:rFonts w:ascii="Arial" w:cs="Arial" w:eastAsia="Arial" w:hAnsi="Arial"/>
                <w:sz w:val="17"/>
                <w:szCs w:val="17"/>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March 4,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3,000</w:t>
            </w:r>
          </w:p>
        </w:tc>
        <w:tc>
          <w:tcPr>
            <w:tcW w:w="560" w:type="dxa"/>
            <w:vAlign w:val="bottom"/>
          </w:tcPr>
          <w:p>
            <w:pPr>
              <w:ind w:left="20"/>
              <w:spacing w:after="0"/>
              <w:rPr>
                <w:sz w:val="20"/>
                <w:szCs w:val="20"/>
                <w:color w:val="auto"/>
              </w:rPr>
            </w:pPr>
            <w:r>
              <w:rPr>
                <w:rFonts w:ascii="Arial" w:cs="Arial" w:eastAsia="Arial" w:hAnsi="Arial"/>
                <w:sz w:val="17"/>
                <w:szCs w:val="17"/>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May 22, 2022</w:t>
            </w:r>
          </w:p>
        </w:tc>
        <w:tc>
          <w:tcPr>
            <w:tcW w:w="0" w:type="dxa"/>
            <w:vAlign w:val="bottom"/>
          </w:tcPr>
          <w:p>
            <w:pPr>
              <w:spacing w:after="0"/>
              <w:rPr>
                <w:sz w:val="1"/>
                <w:szCs w:val="1"/>
                <w:color w:val="auto"/>
              </w:rPr>
            </w:pPr>
          </w:p>
        </w:tc>
      </w:tr>
      <w:tr>
        <w:trPr>
          <w:trHeight w:val="107"/>
        </w:trPr>
        <w:tc>
          <w:tcPr>
            <w:tcW w:w="3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right="80" w:hanging="533"/>
        <w:spacing w:after="0" w:line="243" w:lineRule="auto"/>
        <w:tabs>
          <w:tab w:leader="none" w:pos="16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2004 under our 2000 Incentive Share Plan. The stock options vest over a four-year period with respect to one-forty-eighth (1/48) of the shares as of the first day of the calendar month following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hanging="533"/>
        <w:spacing w:after="0" w:line="243" w:lineRule="auto"/>
        <w:tabs>
          <w:tab w:leader="none" w:pos="16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2005 under our 2004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right="8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2006 under our 2006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right="24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2006 under our 2006 Incentive Share Plan. The stock options vest over a one year period with respect to one-twelfth (1/12) of the shares as of the first day of the calendar month beginning after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2007 under our 2006 Incentive Share Plan. The stock options vest over a four-year period as follows: 25% of the shares underlying the stock option vest on the first anniversary of the vesting start date with the remainder vesting 25% each twelve month period over the remaining three years, subject to continued service through each applicable vesting date.</w:t>
      </w:r>
    </w:p>
    <w:p>
      <w:pPr>
        <w:spacing w:after="0" w:line="109" w:lineRule="exact"/>
        <w:rPr>
          <w:rFonts w:ascii="Arial" w:cs="Arial" w:eastAsia="Arial" w:hAnsi="Arial"/>
          <w:sz w:val="13"/>
          <w:szCs w:val="13"/>
          <w:color w:val="auto"/>
        </w:rPr>
      </w:pPr>
    </w:p>
    <w:p>
      <w:pPr>
        <w:ind w:left="1680" w:right="16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2007 under our 2006 Incentive Share Plan. The stock options vest over a seventeen month period with respect to one-seventeenth (1/17) of the shares as of the first day of the calendar month beginning after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right="20" w:hanging="533"/>
        <w:spacing w:after="0" w:line="239"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2008 under our 2006 Incentive Share Plan. The stock options vest over a four-year period as follows: 25% of the shares underlying the stock option vest on the first anniversary of the vesting start date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12" w:lineRule="exact"/>
        <w:rPr>
          <w:rFonts w:ascii="Arial" w:cs="Arial" w:eastAsia="Arial" w:hAnsi="Arial"/>
          <w:sz w:val="13"/>
          <w:szCs w:val="13"/>
          <w:color w:val="auto"/>
        </w:rPr>
      </w:pPr>
    </w:p>
    <w:p>
      <w:pPr>
        <w:ind w:left="1680" w:right="24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2009 under our 2006 Incentive Share Plan. The stock options vest over a one year period with respect to one-twelfth (1/12) of the shares as of the first day of the calendar month beginning after the vesting start date, subject to continued service through each applicable vesting date.</w:t>
      </w:r>
    </w:p>
    <w:p>
      <w:pPr>
        <w:spacing w:after="0" w:line="109" w:lineRule="exact"/>
        <w:rPr>
          <w:rFonts w:ascii="Arial" w:cs="Arial" w:eastAsia="Arial" w:hAnsi="Arial"/>
          <w:sz w:val="13"/>
          <w:szCs w:val="13"/>
          <w:color w:val="auto"/>
        </w:rPr>
      </w:pPr>
    </w:p>
    <w:p>
      <w:pPr>
        <w:ind w:left="1680" w:right="6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2010 under our 2006 Incentive Share Plan. The stock options vest over a four-year period as follows: 25% of the shares underlying the stock option vest on the first anniversary of the vesting start date with the remaining shares vesting 12.5% each six months over the remaining three years, subject to continued service through each applicable vesting date.</w:t>
      </w:r>
    </w:p>
    <w:p>
      <w:pPr>
        <w:spacing w:after="0" w:line="109" w:lineRule="exact"/>
        <w:rPr>
          <w:rFonts w:ascii="Arial" w:cs="Arial" w:eastAsia="Arial" w:hAnsi="Arial"/>
          <w:sz w:val="13"/>
          <w:szCs w:val="13"/>
          <w:color w:val="auto"/>
        </w:rPr>
      </w:pPr>
    </w:p>
    <w:p>
      <w:pPr>
        <w:ind w:left="1680" w:right="20" w:hanging="533"/>
        <w:spacing w:after="0" w:line="239"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2011 under our 2006 Incentive Share Plan. The stock options vest over a four-year period as follows: 25% of the shares underlying the stock option vest on the first anniversary of the vesting start date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112" w:lineRule="exact"/>
        <w:rPr>
          <w:rFonts w:ascii="Arial" w:cs="Arial" w:eastAsia="Arial" w:hAnsi="Arial"/>
          <w:sz w:val="13"/>
          <w:szCs w:val="13"/>
          <w:color w:val="auto"/>
        </w:rPr>
      </w:pPr>
    </w:p>
    <w:p>
      <w:pPr>
        <w:ind w:left="1680" w:right="6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2012 under our 2006 Incentive Share Plan. The stock options vest over a four-year period as follows: 25% of the shares underlying the stock option vest on the first anniversary of the vesting start date with the remaining shares vesting 12.5% each six months over the remaining three years, subject to continued service through each applicable vesting date.</w:t>
      </w:r>
    </w:p>
    <w:p>
      <w:pPr>
        <w:spacing w:after="0" w:line="109" w:lineRule="exact"/>
        <w:rPr>
          <w:rFonts w:ascii="Arial" w:cs="Arial" w:eastAsia="Arial" w:hAnsi="Arial"/>
          <w:sz w:val="13"/>
          <w:szCs w:val="13"/>
          <w:color w:val="auto"/>
        </w:rPr>
      </w:pPr>
    </w:p>
    <w:p>
      <w:pPr>
        <w:ind w:left="1680" w:right="80" w:hanging="533"/>
        <w:spacing w:after="0" w:line="243" w:lineRule="auto"/>
        <w:tabs>
          <w:tab w:leader="none" w:pos="16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2001 under our 2000 Incentive Share Plan. The stock options vest over a five-year period with respect to one-twentieth (1/20) of the shares as of the first day of the calendar quarter (three-month period) following the vesting start date, subject to continued service through each applicable vesting date.</w:t>
      </w:r>
    </w:p>
    <w:p>
      <w:pPr>
        <w:spacing w:after="0" w:line="109" w:lineRule="exact"/>
        <w:rPr>
          <w:rFonts w:ascii="Arial" w:cs="Arial" w:eastAsia="Arial" w:hAnsi="Arial"/>
          <w:sz w:val="13"/>
          <w:szCs w:val="13"/>
          <w:color w:val="auto"/>
        </w:rPr>
      </w:pPr>
    </w:p>
    <w:p>
      <w:pPr>
        <w:jc w:val="both"/>
        <w:ind w:left="1680" w:right="160" w:hanging="533"/>
        <w:spacing w:after="0" w:line="309" w:lineRule="auto"/>
        <w:tabs>
          <w:tab w:leader="none" w:pos="168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amounts reported reflect shares of common stock underlying stock options granted in calendar year 2000 under our 1998 Incentive Share Plan. The stock options vest over a four-year period as follows: 25% of the shares underlying the stock option vest immediately and the remaining shares shall become exercisable with respect to one-thirty-sixth (1/36) of the remaining shares as of the first day of the calendar month following the first anniversary of the vesting start date, subject to continued service through each applicable vesting date.</w:t>
      </w:r>
    </w:p>
    <w:p>
      <w:pPr>
        <w:spacing w:after="0" w:line="75" w:lineRule="exact"/>
        <w:rPr>
          <w:rFonts w:ascii="Arial" w:cs="Arial" w:eastAsia="Arial" w:hAnsi="Arial"/>
          <w:sz w:val="11"/>
          <w:szCs w:val="11"/>
          <w:color w:val="auto"/>
        </w:rPr>
      </w:pPr>
    </w:p>
    <w:p>
      <w:pPr>
        <w:ind w:left="1680" w:right="120" w:hanging="533"/>
        <w:spacing w:after="0" w:line="274" w:lineRule="auto"/>
        <w:tabs>
          <w:tab w:leader="none" w:pos="16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amounts reported reflect shares of common stock underlying stock options granted in calendar year 2002 under our 2000 Incentive Share Plan. The stock options vest over a four-year period as follows: 25% of the shares underlying the stock option vest on the first anniversary of the vesting start date with the remainder vesting one-sixteenth (1/16) as of the first day of the calendar quarter (three-month period) following the vesting start date, subject to continued service through each applicable vesting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hanging="533"/>
        <w:spacing w:after="0" w:line="243" w:lineRule="auto"/>
        <w:tabs>
          <w:tab w:leader="none" w:pos="16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amounts reported reflect shares of common stock underlying stock options granted in calendar year 2005 under our 2000 Incentive Share Plan. The stock options vest over a four-year period with respect to one-sixteenth (1/16) of the shares as of each three-month period following the vesting start date, subject to continued service through each applicable vesting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Change of Control or Separation of Service Agreements with Chief Executive Officer and Other Executive Officers</w:t>
      </w:r>
    </w:p>
    <w:p>
      <w:pPr>
        <w:spacing w:after="0" w:line="224" w:lineRule="exact"/>
        <w:rPr>
          <w:sz w:val="20"/>
          <w:szCs w:val="20"/>
          <w:color w:val="auto"/>
        </w:rPr>
      </w:pPr>
    </w:p>
    <w:p>
      <w:pPr>
        <w:ind w:right="20" w:firstLine="341"/>
        <w:spacing w:after="0" w:line="299" w:lineRule="auto"/>
        <w:rPr>
          <w:sz w:val="20"/>
          <w:szCs w:val="20"/>
          <w:color w:val="auto"/>
        </w:rPr>
      </w:pPr>
      <w:r>
        <w:rPr>
          <w:rFonts w:ascii="Arial" w:cs="Arial" w:eastAsia="Arial" w:hAnsi="Arial"/>
          <w:sz w:val="15"/>
          <w:szCs w:val="15"/>
          <w:color w:val="auto"/>
        </w:rPr>
        <w:t>Each of Mr. Lin, Mr. Murry and Mr. J. Yeh has an agreement regarding change of control or separation of service with our company, which provides that, if our board of directors terminates his employment for any reason other than Cause or if he resigns for Good Reason before the occurrence of a Change in Control, as defined below, he will be entitled to receive (i) a payment equal to one year's base salary plus $15,000, (which may be used for benefit continuation under COBRA or for any other purpose), (ii) a payment equal to his target bonus and (iii) in the case of Mr. Murry, a lump sum equal to Mr. Murry's four most recent commission payments. The severance benefits that may arise as a result of a termination prior to a Change of Control will be paid periodically in installments over the 12 months following his separation from service, subject to certain limitations including his execution of a release agreement. The release agreement would include a reasonable agreement to cooperate for a period of six months following the employment termination date and a mutual non-disparagement clause. In consideration of these benefits, he has agreed to be subject to a non-compete provision for a period of 12 months following his separation from service and would agree to maintain the confidentiality of company information. Mr. Dunn's and Mr. Chang's employment agreement do not provide for the above benefits.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employment agreement generally defines "Cause" as, following written notice to the executive and the executive's failure to cure such occurrence(s):</w:t>
      </w:r>
    </w:p>
    <w:p>
      <w:pPr>
        <w:spacing w:after="0" w:line="32" w:lineRule="exact"/>
        <w:rPr>
          <w:sz w:val="20"/>
          <w:szCs w:val="20"/>
          <w:color w:val="auto"/>
        </w:rPr>
      </w:pPr>
    </w:p>
    <w:p>
      <w:pPr>
        <w:ind w:right="40" w:firstLine="5"/>
        <w:spacing w:after="0" w:line="291" w:lineRule="auto"/>
        <w:tabs>
          <w:tab w:leader="none" w:pos="204" w:val="left"/>
        </w:tabs>
        <w:numPr>
          <w:ilvl w:val="0"/>
          <w:numId w:val="64"/>
        </w:numPr>
        <w:rPr>
          <w:rFonts w:ascii="Arial" w:cs="Arial" w:eastAsia="Arial" w:hAnsi="Arial"/>
          <w:sz w:val="15"/>
          <w:szCs w:val="15"/>
          <w:color w:val="auto"/>
        </w:rPr>
      </w:pPr>
      <w:r>
        <w:rPr>
          <w:rFonts w:ascii="Arial" w:cs="Arial" w:eastAsia="Arial" w:hAnsi="Arial"/>
          <w:sz w:val="15"/>
          <w:szCs w:val="15"/>
          <w:color w:val="auto"/>
        </w:rPr>
        <w:t>conviction or plea of nolo contendre to any felony offense or to a crime of moral turpitude; (ii) commission of willful misconduct or violation of law in connection with the performance of his duties, including (a) misappropriation of funds or property, (b) attempting to secure personally any profit in connection with any transaction entered into on behalf of our company, or (c) making any material misrepresentation to our board of directors, our company or its affiliates; (iii) material violation or failure to comply with our company policy; (iv) material breach of the employment agreement; or (v) the willful and continued failure or neglect to substantially perform his duties with our company. "Good Reason" is defined to include: (i) the executive's assignment to duties inconsistent with his position or title;</w:t>
      </w:r>
    </w:p>
    <w:p>
      <w:pPr>
        <w:spacing w:after="0" w:line="3" w:lineRule="exact"/>
        <w:rPr>
          <w:rFonts w:ascii="Arial" w:cs="Arial" w:eastAsia="Arial" w:hAnsi="Arial"/>
          <w:sz w:val="15"/>
          <w:szCs w:val="15"/>
          <w:color w:val="auto"/>
        </w:rPr>
      </w:pPr>
    </w:p>
    <w:p>
      <w:pPr>
        <w:jc w:val="both"/>
        <w:ind w:right="300" w:firstLine="5"/>
        <w:spacing w:after="0" w:line="291" w:lineRule="auto"/>
        <w:tabs>
          <w:tab w:leader="none" w:pos="251"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reduction in his base compensation, except as part of an overall cost reduction program that affects all senior executives and does not disproportionately affect executive; (iii) any purported termination of the executive by our company other than for disability or Cause or a voluntary resignation initiated by the executive, except for a voluntary termination for Good Reason; (iv) failure of any successor entity to our company to expressly assume the employment agreement; and</w:t>
      </w:r>
    </w:p>
    <w:p>
      <w:pPr>
        <w:spacing w:after="0" w:line="1" w:lineRule="exact"/>
        <w:rPr>
          <w:rFonts w:ascii="Arial" w:cs="Arial" w:eastAsia="Arial" w:hAnsi="Arial"/>
          <w:sz w:val="15"/>
          <w:szCs w:val="15"/>
          <w:color w:val="auto"/>
        </w:rPr>
      </w:pPr>
    </w:p>
    <w:p>
      <w:pPr>
        <w:ind w:left="240" w:hanging="235"/>
        <w:spacing w:after="0"/>
        <w:tabs>
          <w:tab w:leader="none" w:pos="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material breach by our company of the agreement.</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97" w:lineRule="auto"/>
        <w:rPr>
          <w:sz w:val="20"/>
          <w:szCs w:val="20"/>
          <w:color w:val="auto"/>
        </w:rPr>
      </w:pPr>
      <w:r>
        <w:rPr>
          <w:rFonts w:ascii="Arial" w:cs="Arial" w:eastAsia="Arial" w:hAnsi="Arial"/>
          <w:sz w:val="15"/>
          <w:szCs w:val="15"/>
          <w:color w:val="auto"/>
        </w:rPr>
        <w:t>Each of Mr. Lin, Mr. Murry, Mr. J. Yeh, Mr. Dunn and Mr. Chang have provisions in their employment agreements that provide if, within one year after a Change of Control or within six months prior to a Change of Control, the executive's employment is terminated by the executive for Good Reason or by our company other than for Cause, the executive will instead be entitled to receive severance benefits consisting of: (i) a lump sum payment equal to one year's base salary plus $10,000 ($15,000 for Mr. Dunn and Mr. Chang) which may be used for benefit continuation under COBRA or for any other purpose; (ii) a lump sum payment equal to his target bonus; and (iii) accelerated vesting of the executive's stock options, with all vested options becoming exercisable for an extended period following termination of employment. The severance benefits that may arise as a result of termination within one year following a Change of Control will be paid on the later of the 60th day after the effective date of the executive's separation from service or six months and one day after executive's separation from service if the executive is, at the time of termination, a "specified employee" as defined under Section 409A of the Internal Revenue Code, as amended. Additionally, Mr. Lin's employment agreement provides him with a tax gross-up payment to make him whole for any excise taxes that he would owe resulting from the application of the 20% excise tax provisions under Section 280G of the Internal Revenue Code of 1986, as amended, that apply when certain "parachute payments" are paid to Mr. Lin as the result of a Change of Control. None of the other employment agreements with our executive officers provide them with any right to a tax gross-up.</w:t>
      </w:r>
    </w:p>
    <w:p>
      <w:pPr>
        <w:spacing w:after="0" w:line="169" w:lineRule="exact"/>
        <w:rPr>
          <w:sz w:val="20"/>
          <w:szCs w:val="20"/>
          <w:color w:val="auto"/>
        </w:rPr>
      </w:pPr>
    </w:p>
    <w:p>
      <w:pPr>
        <w:ind w:right="40" w:firstLine="332"/>
        <w:spacing w:after="0" w:line="261" w:lineRule="auto"/>
        <w:rPr>
          <w:sz w:val="20"/>
          <w:szCs w:val="20"/>
          <w:color w:val="auto"/>
        </w:rPr>
      </w:pPr>
      <w:r>
        <w:rPr>
          <w:rFonts w:ascii="Arial" w:cs="Arial" w:eastAsia="Arial" w:hAnsi="Arial"/>
          <w:sz w:val="17"/>
          <w:szCs w:val="17"/>
          <w:color w:val="auto"/>
        </w:rPr>
        <w:t>A "Change in Control" is deemed to occur if: (i) individuals who constitute the board of directors of our company on the date of the employment agreement (Incumbent Directors) cease to constitute at least a majority of our board of directors; provided, that any individual whose election or nomination for election by the stockholders was approved by a majority of the then Incumbent Directors shall be considered an Incumbent Director, with certain exceptions; or (ii) the stockholders of our company approve (1) any merger, consolidation or recapitalization of our company or any sale of substantially all of its assets where (a) the stockholders of our company prior to the transaction do not, immediately thereafter, own at least 51% of both the equity and voting power of the surviving entity or (b) the Incumbent Directors at the time of the approval of the transaction would not immediately thereafter constitute a majority of the board of directors of the surviving entity, or (2) any plan of liquidation or dissolution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Long-Term Incentive Plan</w:t>
      </w:r>
    </w:p>
    <w:p>
      <w:pPr>
        <w:spacing w:after="0" w:line="224"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Our board of directors and stockholders have adopted and approved our 2013 Long-Term Incentive Plan, or the 2013 Plan, which will become effective immediately prior to the closing of this offering. The following is a brief summary of the material terms of our 2013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Purpose</w:t>
      </w:r>
    </w:p>
    <w:p>
      <w:pPr>
        <w:spacing w:after="0" w:line="224" w:lineRule="exact"/>
        <w:rPr>
          <w:sz w:val="20"/>
          <w:szCs w:val="20"/>
          <w:color w:val="auto"/>
        </w:rPr>
      </w:pPr>
    </w:p>
    <w:p>
      <w:pPr>
        <w:ind w:right="460" w:firstLine="338"/>
        <w:spacing w:after="0" w:line="282" w:lineRule="auto"/>
        <w:rPr>
          <w:sz w:val="20"/>
          <w:szCs w:val="20"/>
          <w:color w:val="auto"/>
        </w:rPr>
      </w:pPr>
      <w:r>
        <w:rPr>
          <w:rFonts w:ascii="Arial" w:cs="Arial" w:eastAsia="Arial" w:hAnsi="Arial"/>
          <w:sz w:val="17"/>
          <w:szCs w:val="17"/>
          <w:color w:val="auto"/>
        </w:rPr>
        <w:t>The purpose of our 2013 Plan is to attract and retain employees, directors and consultants by providing them with additional incentives, and to promote the success of our company's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4" w:lineRule="exact"/>
        <w:rPr>
          <w:sz w:val="20"/>
          <w:szCs w:val="20"/>
          <w:color w:val="auto"/>
        </w:rPr>
      </w:pPr>
    </w:p>
    <w:p>
      <w:pPr>
        <w:ind w:right="60" w:firstLine="341"/>
        <w:spacing w:after="0" w:line="278" w:lineRule="auto"/>
        <w:rPr>
          <w:sz w:val="20"/>
          <w:szCs w:val="20"/>
          <w:color w:val="auto"/>
        </w:rPr>
      </w:pPr>
      <w:r>
        <w:rPr>
          <w:rFonts w:ascii="Arial" w:cs="Arial" w:eastAsia="Arial" w:hAnsi="Arial"/>
          <w:sz w:val="16"/>
          <w:szCs w:val="16"/>
          <w:color w:val="auto"/>
        </w:rPr>
        <w:t>Our board of directors or one or more committees appointed by our board of directors will administer the 2013 Plan. For this purpose our board of directors has delegated general administrative authority for the 2013 Plan to the compensation committee. A committee may delegate some or all of its authority with respect to the 2013 Plan to another committee of directors and may delegate certain limited award grant authority to one or more officers of our company. (The appropriate acting body, be it our board of directors, a committee within its delegated authority, or an officer within his or her delegated authority, is referred to in this summary as the "Administrator.") The Administrator determines the number of shares that are subject to awards and the terms and conditions of such awards, including the price (if any) to be paid for the shares or the award. Along with other authority granted to the Administrator under the 2013 Plan, the Administrator may (i) determine fair market value, (ii) select recipients of awards, (iii) determine the number of shares subject to awards, (iv) approve form award agreements, (v) determine the terms and conditions of awards, (vi) reduce the exercise price of outstanding awards without participant consent, (vii) amend outstanding awards, and (viii) allow participants to satisfy withholding tax obligations through a reduction of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Eligibility</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Persons eligible to receive awards under the 2013 Plan include our officers, employees, consultants and member of our board of directors. The Administrator determines from time to time the participants to whom awards will be granted.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 limits on awards</w:t>
      </w:r>
    </w:p>
    <w:p>
      <w:pPr>
        <w:spacing w:after="0" w:line="224" w:lineRule="exact"/>
        <w:rPr>
          <w:sz w:val="20"/>
          <w:szCs w:val="20"/>
          <w:color w:val="auto"/>
        </w:rPr>
      </w:pPr>
    </w:p>
    <w:p>
      <w:pPr>
        <w:ind w:firstLine="338"/>
        <w:spacing w:after="0" w:line="293" w:lineRule="auto"/>
        <w:rPr>
          <w:sz w:val="20"/>
          <w:szCs w:val="20"/>
          <w:color w:val="auto"/>
        </w:rPr>
      </w:pPr>
      <w:r>
        <w:rPr>
          <w:rFonts w:ascii="Arial" w:cs="Arial" w:eastAsia="Arial" w:hAnsi="Arial"/>
          <w:sz w:val="15"/>
          <w:szCs w:val="15"/>
          <w:color w:val="auto"/>
        </w:rPr>
        <w:t>The maximum number of common shares that may be issued or transferred pursuant to awards under the 2013 Plan equals 800,000, which number includes shares remaining available under our prior plans as described below and shares subject to outstanding awards forfeited back to our prior plans, all of which may be subject to incentive stock option treatment. The maximum aggregate number of common shares that may be issued pursuant to all awards under the 2013 Plan shall increase annually on the first day of each fiscal year following the adoption of the 2013 Plan by the number of common shares equal to the lesser of (i) 333,333 shares,</w:t>
      </w:r>
    </w:p>
    <w:p>
      <w:pPr>
        <w:spacing w:after="0" w:line="3" w:lineRule="exact"/>
        <w:rPr>
          <w:sz w:val="20"/>
          <w:szCs w:val="20"/>
          <w:color w:val="auto"/>
        </w:rPr>
      </w:pPr>
    </w:p>
    <w:p>
      <w:pPr>
        <w:ind w:right="180" w:firstLine="5"/>
        <w:spacing w:after="0" w:line="266" w:lineRule="auto"/>
        <w:tabs>
          <w:tab w:leader="none" w:pos="251" w:val="left"/>
        </w:tabs>
        <w:numPr>
          <w:ilvl w:val="0"/>
          <w:numId w:val="66"/>
        </w:numPr>
        <w:rPr>
          <w:rFonts w:ascii="Arial" w:cs="Arial" w:eastAsia="Arial" w:hAnsi="Arial"/>
          <w:sz w:val="17"/>
          <w:szCs w:val="17"/>
          <w:color w:val="auto"/>
        </w:rPr>
      </w:pPr>
      <w:r>
        <w:rPr>
          <w:rFonts w:ascii="Arial" w:cs="Arial" w:eastAsia="Arial" w:hAnsi="Arial"/>
          <w:sz w:val="17"/>
          <w:szCs w:val="17"/>
          <w:color w:val="auto"/>
        </w:rPr>
        <w:t>2% of the total issued and outstanding common shares on the first day of such fiscal year, or (iii) such lesser amount determined by our board of directors. Additionally, the maximum number of shares subject to those options and stock appreciation rights that are granted during any calendar year to any individual under the 2013 Plan is 600,000 shares.</w:t>
      </w:r>
    </w:p>
    <w:p>
      <w:pPr>
        <w:spacing w:after="0" w:line="183"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To the extent that an award is settled in cash or a form other than shares, the shares that would have been delivered had there been no such cash or other settlement will not be counted against the shares available for issuance under the 2013 Plan. To the extent that shares are delivered pursuant to the exercise of a stock appreciation right or stock option, or to satisfy the tax withholding obligations under an award, then only the shares actually issued shall be counted against the applicable share limits. Shares that are subject to or underlie awards that expire or for any reason are cancelled or terminated, are forfeited, fail to vest, or for any other reason are not paid or delivered under the 2013 Plan will again be available for subsequent awards under the 2013 Plan. Additionally, shares that are exchanged by a participant or withheld by our company as full or partial payment in connection with any award under the 2013 Plan, as well as any shares exchanged by a participant or withheld by our company to satisfy the tax withholding obligations related to any award under the 2013 Plan, will be available for subsequent awards under the 2013 Plan and are not counted against the applicable share limits.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60" w:firstLine="332"/>
        <w:spacing w:after="0" w:line="265" w:lineRule="auto"/>
        <w:rPr>
          <w:sz w:val="20"/>
          <w:szCs w:val="20"/>
          <w:color w:val="auto"/>
        </w:rPr>
      </w:pPr>
      <w:r>
        <w:rPr>
          <w:rFonts w:ascii="Arial" w:cs="Arial" w:eastAsia="Arial" w:hAnsi="Arial"/>
          <w:sz w:val="17"/>
          <w:szCs w:val="17"/>
          <w:color w:val="auto"/>
        </w:rPr>
        <w:t>As is customary in incentive plans of this nature, the number and kind of shares available under the 2013 Plan and the then outstanding stock-based awards, as well as exercise or purchase prices, performance targets under certain performance-based awards and share limits, are subject to adjustment in the event of certain reorganizations, mergers, combinations, consolidations, recapitalizations, dividends, stock splits, a split-up or a spin-off, repurchases or exchange, or other similar events, or extraordinary dividends or distributions of property to the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awards</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2013 Plan authorizes stock options, stock appreciation rights, or SARs, restricted stock, restricted stock units, performance shares and performance units, as well as other awards (described in the 2013 Plan) that are responsive to changing developments in management compensation. The 2013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199" w:lineRule="exact"/>
        <w:rPr>
          <w:sz w:val="20"/>
          <w:szCs w:val="20"/>
          <w:color w:val="auto"/>
        </w:rPr>
      </w:pPr>
    </w:p>
    <w:p>
      <w:pPr>
        <w:ind w:left="1060" w:right="120" w:hanging="531"/>
        <w:spacing w:after="0" w:line="283"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 </w:t>
      </w:r>
      <w:r>
        <w:rPr>
          <w:rFonts w:ascii="Arial" w:cs="Arial" w:eastAsia="Arial" w:hAnsi="Arial"/>
          <w:sz w:val="16"/>
          <w:szCs w:val="16"/>
          <w:color w:val="auto"/>
        </w:rPr>
        <w:t>A stock option is the right to purchase common shares at a future date at a specified price per share generally equal to, but no less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fair market value of a share on the date of grant. An option may either be an Incentive Stock Option, or ISO, or a nonstatutory stock option, or NSO. ISO benefits are taxed differently from NSOs, as described under "Federal Income Tax Treatment of Awards under the 2013 Plan," below. ISOs also are subject to more restrictive terms and are limited in amount by the Code and the 2013 Plan. Full payment for shares purchased on the exercise of any option must be made at the time of such exercise in a manner approved by the Administrator.</w:t>
      </w:r>
    </w:p>
    <w:p>
      <w:pPr>
        <w:spacing w:after="0" w:line="199" w:lineRule="exact"/>
        <w:rPr>
          <w:rFonts w:ascii="Arial" w:cs="Arial" w:eastAsia="Arial" w:hAnsi="Arial"/>
          <w:sz w:val="16"/>
          <w:szCs w:val="16"/>
          <w:color w:val="auto"/>
        </w:rPr>
      </w:pPr>
    </w:p>
    <w:p>
      <w:pPr>
        <w:ind w:left="1060" w:right="40" w:hanging="531"/>
        <w:spacing w:after="0" w:line="294"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SAR. </w:t>
      </w:r>
      <w:r>
        <w:rPr>
          <w:rFonts w:ascii="Arial" w:cs="Arial" w:eastAsia="Arial" w:hAnsi="Arial"/>
          <w:sz w:val="16"/>
          <w:szCs w:val="16"/>
          <w:color w:val="auto"/>
        </w:rPr>
        <w:t>A SAR is the right to receive payment of an amount equal to the excess of the fair market value of a common share on the date of exercise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SAR over the base price of the SAR. The base price will be established by the Administrator at the time of grant of the SAR but will not be less than the fair market value of a share on the date of grant. SARs may be granted in connection with other awards or independently.</w:t>
      </w:r>
    </w:p>
    <w:p>
      <w:pPr>
        <w:spacing w:after="0" w:line="175" w:lineRule="exact"/>
        <w:rPr>
          <w:rFonts w:ascii="Arial" w:cs="Arial" w:eastAsia="Arial" w:hAnsi="Arial"/>
          <w:sz w:val="16"/>
          <w:szCs w:val="16"/>
          <w:color w:val="auto"/>
        </w:rPr>
      </w:pPr>
    </w:p>
    <w:p>
      <w:pPr>
        <w:ind w:left="1060" w:hanging="531"/>
        <w:spacing w:after="0" w:line="26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award. </w:t>
      </w:r>
      <w:r>
        <w:rPr>
          <w:rFonts w:ascii="Arial" w:cs="Arial" w:eastAsia="Arial" w:hAnsi="Arial"/>
          <w:sz w:val="17"/>
          <w:szCs w:val="17"/>
          <w:color w:val="auto"/>
        </w:rPr>
        <w:t>A restricted stock award is typically for a fixed number of common shares subject to restrictions. The Administrator specifies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price, if any, the participant must pay for such shares and the restrictions (which may include, for example, continued service and/or performance standards) imposed on such shares. A stock bonus may be granted by the Administrator to any eligible person to reward exceptional or special services, contributions or achievements in the manner and on such terms and conditions (including any restrictions on such shares) as determined from time to time by the Administrator. The number of shares so awarded shall be determined by the Administrator and may be granted independently or in lieu of a cash bonus.</w:t>
      </w:r>
    </w:p>
    <w:p>
      <w:pPr>
        <w:spacing w:after="0" w:line="201"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unit. </w:t>
      </w:r>
      <w:r>
        <w:rPr>
          <w:rFonts w:ascii="Arial" w:cs="Arial" w:eastAsia="Arial" w:hAnsi="Arial"/>
          <w:sz w:val="17"/>
          <w:szCs w:val="17"/>
          <w:color w:val="auto"/>
        </w:rPr>
        <w:t>A restricted stock unit is similar to a SAR except that it entitles the recipient to receive an amount equal to the fair market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common share.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78" w:lineRule="auto"/>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Performance-based award. </w:t>
      </w:r>
      <w:r>
        <w:rPr>
          <w:rFonts w:ascii="Arial" w:cs="Arial" w:eastAsia="Arial" w:hAnsi="Arial"/>
          <w:sz w:val="16"/>
          <w:szCs w:val="16"/>
          <w:color w:val="auto"/>
        </w:rPr>
        <w:t>A performance-based award is designed to satisfy the requirements for deductibility under Section 162(m) of the Code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to other awards expressly authorized under the 2013 Plan which may also qualify as performance-based) and may be based on the performance of our company and/or one or more of our subsidiaries, divisions, segments, or units. The business criteria from which performance goals will be established are listed in the 2013 Plan under the term "Performance Goals." Performance goals may be adjusted to reflect certain changes, including reorganizations, liquidations and capitalization and accounting changes, to the extent permitted by Section 162(m). Performance-based awards may be stock-based (payable in stock only or in cash or stock) or may be cash-only awards (in either case, subject to the limits described under the heading "Authorized Shares; Limits on Awards" above). Before any performance-based award is paid, the Administrator must certify that the performance goals have been satisfied. The Administrator has discretion to determine the performance goals and restrictions or other limitations of the individual awards and reserves discretion to reduce payments below maximum award limits.</w:t>
      </w:r>
    </w:p>
    <w:p>
      <w:pPr>
        <w:spacing w:after="0" w:line="179"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Administrator may grant stock unit awards and permit deferred payment of awards, and may determine the form and timing of payment, vesting and other terms applicable to stock units or deferrals.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Acceleration of awards; possible early termination of awards</w:t>
      </w:r>
    </w:p>
    <w:p>
      <w:pPr>
        <w:spacing w:after="0" w:line="224" w:lineRule="exact"/>
        <w:rPr>
          <w:sz w:val="20"/>
          <w:szCs w:val="20"/>
          <w:color w:val="auto"/>
        </w:rPr>
      </w:pPr>
    </w:p>
    <w:p>
      <w:pPr>
        <w:jc w:val="both"/>
        <w:ind w:right="200" w:firstLine="341"/>
        <w:spacing w:after="0" w:line="287" w:lineRule="auto"/>
        <w:rPr>
          <w:sz w:val="20"/>
          <w:szCs w:val="20"/>
          <w:color w:val="auto"/>
        </w:rPr>
      </w:pPr>
      <w:r>
        <w:rPr>
          <w:rFonts w:ascii="Arial" w:cs="Arial" w:eastAsia="Arial" w:hAnsi="Arial"/>
          <w:sz w:val="16"/>
          <w:szCs w:val="16"/>
          <w:color w:val="auto"/>
        </w:rPr>
        <w:t>Upon a change in control of our company, outstanding awards under the 2013 Plan will be assumed or substituted on the same terms. However, if the successor corporation does not assume or substitute the outstanding awards, then vesting of these awards will fully accelerate, and in the case of options or stock appreciation rights, will become immediately exercisable. For this purpose a change in control is defined to include certain changes in the majority of our board of directors, the sale of all or substantially all of our company's assets and the consummation of certain mergers or consolidations.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 restrictions</w:t>
      </w:r>
    </w:p>
    <w:p>
      <w:pPr>
        <w:spacing w:after="0" w:line="224"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Subject to certain exceptions, awards under the 2013 Plan are not transferable by the recipient other than by will or the laws of descent and distribution and are generally exercisable, during the recipient's lifetime, only by him or her.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Termination of or changes to the 2013 Plan</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Our board of directors may amend or terminate the 2013 Plan at any time and in any manner. Unless required by applicable law or listing agency rule, stockholder approval for any amendment will not be required. Unless previously terminated by our board of directors, the 2013 Plan will terminate in September 2023 upon the tenth anniversary of the completion of this offering. Generally speaking, outstanding awards may be amended, subject, however, to the consent of the holder if the amendment materially and adversely affects the holder.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 income tax treatment of awards under the 2013 Plan</w:t>
      </w:r>
    </w:p>
    <w:p>
      <w:pPr>
        <w:spacing w:after="0" w:line="224" w:lineRule="exact"/>
        <w:rPr>
          <w:sz w:val="20"/>
          <w:szCs w:val="20"/>
          <w:color w:val="auto"/>
        </w:rPr>
      </w:pPr>
    </w:p>
    <w:p>
      <w:pPr>
        <w:ind w:right="280" w:firstLine="341"/>
        <w:spacing w:after="0" w:line="322" w:lineRule="auto"/>
        <w:rPr>
          <w:sz w:val="20"/>
          <w:szCs w:val="20"/>
          <w:color w:val="auto"/>
        </w:rPr>
      </w:pPr>
      <w:r>
        <w:rPr>
          <w:rFonts w:ascii="Arial" w:cs="Arial" w:eastAsia="Arial" w:hAnsi="Arial"/>
          <w:sz w:val="15"/>
          <w:szCs w:val="15"/>
          <w:color w:val="auto"/>
        </w:rPr>
        <w:t>Federal income tax consequences (subject to change) relating to awards under the 2013 Plan are summarized in the following discussion.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For "NSOs," our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2013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as for those awards subject to ISO treatment, our company would generally have no corresponding compensation deduction.</w:t>
      </w:r>
    </w:p>
    <w:p>
      <w:pPr>
        <w:spacing w:after="0" w:line="192"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If an award is accelerated under the 2013 Plan in connection with a change in control (as this term is used under the Code), our company may not be permitted to deduct the portion of the compensation attributable to the acceleration ("parachute payments") if it exceeds certain threshold limits under the Code (and certain related excise taxes may be triggered). Furthermore, the aggregate compensation in excess of $1,000,000 attributable to awards which are not "performance-based" within the meaning of Section 162(m) of the Code, or do not fall within any other applicable exception, may not be permitted to be deducted by our company in certain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Various Incentive Share Plans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Our board of directors previously adopted, and our stockholders previously approved, the 1998 Share Incentive Plan, the 2000 Share Incentive Plan, the 2004 Share Incentive Plan and the 2006 Share Incentive Plan, which are referred to collectively as our Prior Plans. As of July 31, 2013, we had 736,138 shares of common stock subject to outstanding stock options under our Prior Plans with a weighted average exercise price of $6.65327. Following this offering and in connection with the effectiveness of our 2013 Plan, no further awards will be granted under the Prior Plans. However, all outstanding awards under the Prior Plans will continue to exist and will continue to be governed by their existing terms. Upon a change in control of our company, as described in each of the Prior Plans, the vesting of stock options and other outstanding awards under the Prior Plans will be accelerated and all unexercised awards will terminate upon the change in control to the extent the acquirer does not assume the outstanding stock options.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401(k) Plan</w:t>
      </w:r>
    </w:p>
    <w:p>
      <w:pPr>
        <w:spacing w:after="0" w:line="224" w:lineRule="exact"/>
        <w:rPr>
          <w:sz w:val="20"/>
          <w:szCs w:val="20"/>
          <w:color w:val="auto"/>
        </w:rPr>
      </w:pPr>
    </w:p>
    <w:p>
      <w:pPr>
        <w:ind w:right="140" w:firstLine="338"/>
        <w:spacing w:after="0" w:line="265"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Historically, we have not made any matching contributions to the Section 401(k) plan. Pre-tax contributions are allocated to each participant's individual account and are then invested in selected investment alternatives according to the participants' directions. The retirement plan is intended to qualify under Sections 401(a) and 501(a) of the Code.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 and Limitation of Liability</w:t>
      </w:r>
    </w:p>
    <w:p>
      <w:pPr>
        <w:spacing w:after="0" w:line="228" w:lineRule="exact"/>
        <w:rPr>
          <w:sz w:val="20"/>
          <w:szCs w:val="20"/>
          <w:color w:val="auto"/>
        </w:rPr>
      </w:pPr>
    </w:p>
    <w:p>
      <w:pPr>
        <w:ind w:right="100" w:firstLine="332"/>
        <w:spacing w:after="0" w:line="294" w:lineRule="auto"/>
        <w:rPr>
          <w:sz w:val="20"/>
          <w:szCs w:val="20"/>
          <w:color w:val="auto"/>
        </w:rPr>
      </w:pPr>
      <w:r>
        <w:rPr>
          <w:rFonts w:ascii="Arial" w:cs="Arial" w:eastAsia="Arial" w:hAnsi="Arial"/>
          <w:sz w:val="16"/>
          <w:szCs w:val="16"/>
          <w:color w:val="auto"/>
        </w:rPr>
        <w:t>As permitted by Delaware General Corporation Law, we have adopted provisions in our amended and restated certificate of incorporation and amended and restated bylaws to be in effect immediately prior to the closing of this offering that limit or eliminate the personal liability of our directors. Consequently, a director will not be personally liable to us or our stockholders for monetary damages for breach of fiduciary duty as a director, except for liability for:</w:t>
      </w:r>
    </w:p>
    <w:p>
      <w:pPr>
        <w:spacing w:after="0" w:line="176"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repurchases, redemptions or other distributions;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These limitations of liability do not alter director liability under the federal securities laws and do not affect the availability of equitable remedies such as an injunction or rescission. In addition, our amended and restated bylaws to be in effect immediately prior to the closing of this offering provide that:</w:t>
      </w:r>
    </w:p>
    <w:p>
      <w:pPr>
        <w:spacing w:after="0" w:line="173" w:lineRule="exact"/>
        <w:rPr>
          <w:sz w:val="20"/>
          <w:szCs w:val="20"/>
          <w:color w:val="auto"/>
        </w:rPr>
      </w:pPr>
    </w:p>
    <w:p>
      <w:pPr>
        <w:jc w:val="both"/>
        <w:ind w:left="1060" w:right="180" w:hanging="531"/>
        <w:spacing w:after="0" w:line="270"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w:t>
      </w:r>
    </w:p>
    <w:p>
      <w:pPr>
        <w:spacing w:after="0" w:line="192" w:lineRule="exact"/>
        <w:rPr>
          <w:rFonts w:ascii="Arial" w:cs="Arial" w:eastAsia="Arial" w:hAnsi="Arial"/>
          <w:sz w:val="17"/>
          <w:szCs w:val="17"/>
          <w:color w:val="auto"/>
        </w:rPr>
      </w:pPr>
    </w:p>
    <w:p>
      <w:pPr>
        <w:ind w:left="1060" w:hanging="531"/>
        <w:spacing w:after="0" w:line="270"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and</w:t>
      </w:r>
    </w:p>
    <w:p>
      <w:pPr>
        <w:spacing w:after="0" w:line="192"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must advance expenses incurred by or on behalf of a director or officer in advance of the final disposition of any action or proceeding, subject to very limited exceptions.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ind w:right="20" w:firstLine="338"/>
        <w:spacing w:after="0" w:line="262" w:lineRule="auto"/>
        <w:rPr>
          <w:sz w:val="20"/>
          <w:szCs w:val="20"/>
          <w:color w:val="auto"/>
        </w:rPr>
      </w:pPr>
      <w:r>
        <w:rPr>
          <w:rFonts w:ascii="Arial" w:cs="Arial" w:eastAsia="Arial" w:hAnsi="Arial"/>
          <w:sz w:val="17"/>
          <w:szCs w:val="17"/>
          <w:color w:val="auto"/>
        </w:rPr>
        <w:t>We have entered into agreements that indemnify each of our directors and certain of our executive officers, in addition to the indemnification provided for in our amended and restated certificate of incorporation and amended and restated bylaws that will be in effect immediately prior to the closing of this offering. These agreements, among other things, provide for indemnification for judgments, fines, settlement amounts and expenses, including attorneys' fees incurred by the director or executive officer in any action or proceeding, including any action by or in our right, arising out of the person's services as a director or executive officer, or any other company or enterprise to which the person provides services at our request. We believe that these provisions and agreements are necessary to attract and retain qualified persons as directors and executive officers.</w:t>
      </w:r>
    </w:p>
    <w:p>
      <w:pPr>
        <w:spacing w:after="0" w:line="18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limitations on liability and indemnification provisions in our amended and restated certificate of incorporation and amended and restated bylaws upon our completion of this offering may discourage stockholders from bringing a lawsuit against our directors for breach of their fiduciary duty and may reduce the likelihood of derivative litigation against our directors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87" w:lineRule="exact"/>
        <w:rPr>
          <w:sz w:val="20"/>
          <w:szCs w:val="20"/>
          <w:color w:val="auto"/>
        </w:rPr>
      </w:pPr>
    </w:p>
    <w:p>
      <w:pPr>
        <w:ind w:right="300" w:firstLine="332"/>
        <w:spacing w:after="0" w:line="282" w:lineRule="auto"/>
        <w:rPr>
          <w:sz w:val="20"/>
          <w:szCs w:val="20"/>
          <w:color w:val="auto"/>
        </w:rPr>
      </w:pPr>
      <w:r>
        <w:rPr>
          <w:rFonts w:ascii="Arial" w:cs="Arial" w:eastAsia="Arial" w:hAnsi="Arial"/>
          <w:sz w:val="17"/>
          <w:szCs w:val="17"/>
          <w:color w:val="auto"/>
        </w:rPr>
        <w:t>At present, there is no pending litigation or proceeding involving any of our directors or officers in which indemnification is sought, nor are we aware of any threatened litigation that may result in claims for indemnification.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Other than compensation agreements and other arrangements which are described as required under "Management" and the transactions described below, since January 1, 2010,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their immediate family had or will have a direct or indirect material interest. Our audit committee will be responsible for approving all future transactions between us and our officers, directors and principal stockholders and their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from Stockholders</w:t>
      </w:r>
    </w:p>
    <w:p>
      <w:pPr>
        <w:spacing w:after="0" w:line="228" w:lineRule="exact"/>
        <w:rPr>
          <w:sz w:val="20"/>
          <w:szCs w:val="20"/>
          <w:color w:val="auto"/>
        </w:rPr>
      </w:pPr>
    </w:p>
    <w:p>
      <w:pPr>
        <w:ind w:right="280" w:firstLine="341"/>
        <w:spacing w:after="0" w:line="281" w:lineRule="auto"/>
        <w:rPr>
          <w:sz w:val="20"/>
          <w:szCs w:val="20"/>
          <w:color w:val="auto"/>
        </w:rPr>
      </w:pPr>
      <w:r>
        <w:rPr>
          <w:rFonts w:ascii="Arial" w:cs="Arial" w:eastAsia="Arial" w:hAnsi="Arial"/>
          <w:sz w:val="16"/>
          <w:szCs w:val="16"/>
          <w:color w:val="auto"/>
        </w:rPr>
        <w:t>On February 3, 2010, we entered into a promissory note with Lina Yeh in the principal amount of $200,000 at an interest rate of 6%. Lina Yeh is the wife of William Yeh, a member of our board of directors. The principal balance of $200,000 was converted to acquire 19,047 shares of Series G preferred stock in August 2012 at a price of $10.50 per share, and the remaining interest amount of $7,715 under the promissory note was paid off in September 2012. In connection with the promissory note, Ms. Yeh was also issued warrants to acquire 3,200 shares of Series F preferred stock at a price of $7.50 per share, and 785 shares of Series G preferred stock at a price of $18.00 per share. The warrant to acquire 3,200 shares of Series F preferred stock was exercised by Ms. Yeh on May 13, 2013. Unless exercised, the remaining warrants will expire upon the closing of this offering.</w:t>
      </w:r>
    </w:p>
    <w:p>
      <w:pPr>
        <w:spacing w:after="0" w:line="17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On February 8, 2010, we entered into (i) a promissory note with Techgains Global Corporation in the aggregate principal amount of $150,000 at an interest rate of 6% and (ii) a promissory note with Techgains Pan Pacific Corporation in the aggregate principal amount of $150,000 at an interest rate of 6%. Juen-Sheng (Andrew) Kang, the Chairman of our board of directors, is a shareholder and a member of the board of directors of both Techgains Global Corporation and Techgains Pan Pacific Corporation. The remaining principal balance and the remaining interest of $319,159 under the two promissory notes was converted to acquire 30,396 shares of Series G preferred stock in September 2012 at a price of $10.50 per share. In connection with the promissory notes, Techgains Global Corporation and Techgains Pan Pacific Corporation each received warrants to acquire (i) 2,400 shares of Series F preferred stock at a price of $7.50 per share and (ii) 889 shares of Series G preferred stock at a price of $18.00. Unless exercised, these warrants will automatically convert into an aggregate of 3,188 shares of common stock upon the closing of this offering, based on the midpoint of the price range provided on the cover of this prospectus.</w:t>
      </w:r>
    </w:p>
    <w:p>
      <w:pPr>
        <w:spacing w:after="0" w:line="177"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On February 11, 2010, we entered into (i) a promissory note with Budworth Investments Limited in the aggregate principal amount of $175,000 at an interest rate of 6% and (ii) a promissory note with Harbinger III Venture Capital Corp. in the aggregate principal amount of $75,000 at an interest rate of 6%. Chih-Kai (C.K.) Cheng, a former member of our board of directors, is a shareholder, co-founder and general partner of both Budworth Investments Limited and Harbinger III Venture Capital Corp. The principal balance and interest owed under the two promissory notes were paid off in September 2011. In connection with the promissory notes, Budworth Investments Limited and Harbinger III Venture Capital Corp. received warrants to acquire an aggregate of 4,000 shares of Series F preferred stock at a price of $7.50 per share. Unless exercised, these warrants will automatically convert into an aggregate of 2,657 shares of common stock upon the closing of this offering, based on the midpoint of the price range provided on the cover of this prospectus.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entered into (i) a promissory note with Robinhood III, LP on February 25, 2010 in the aggregate principal amount of $300,000 at an interest rate of 6% and</w:t>
      </w:r>
    </w:p>
    <w:p>
      <w:pPr>
        <w:spacing w:after="0" w:line="43" w:lineRule="exact"/>
        <w:rPr>
          <w:sz w:val="20"/>
          <w:szCs w:val="20"/>
          <w:color w:val="auto"/>
        </w:rPr>
      </w:pPr>
    </w:p>
    <w:p>
      <w:pPr>
        <w:ind w:right="180" w:firstLine="5"/>
        <w:spacing w:after="0" w:line="280" w:lineRule="auto"/>
        <w:tabs>
          <w:tab w:leader="none" w:pos="251"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promissory note with Robinhood III, LP on April 21, 2010 in the aggregate principal amount of $550,000 at an interest rate of 6%. Nancy T. Chang, a former member of our board of directors is the sole beneficiary and the President of the general partner of Robinhood III, LP, and entities affiliated with Robinhood III, LP beneficially own more than five percent of any class of our capital stock. The principal balance and interest owed under one promissory note was paid off in August 2011 and the principal balance and interest owed under the other promissory note was paid off in November 2011. In connection with the promissory notes, Robinhood III, LP received warrants to acquire an aggregate of 13,600 shares of Series F preferred stock at a price of $7.50 per share. The warrants to acquire 13,600 shares of Series F preferred stock were exercised by Robinhood III, LP on March 12, 2013.</w:t>
      </w:r>
    </w:p>
    <w:p>
      <w:pPr>
        <w:spacing w:after="0" w:line="174"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color w:val="auto"/>
        </w:rPr>
        <w:t>On April 23, 2010, we entered into a promissory note with Helix Micro, Inc. the aggregate principal amount of $1,000,000 at an interest rate of 6%. Juen-Sheng (Andrew) Kang, the Chairman of our board of directors, is a shareholder and the former chairman of the board of directors of Helix Micro, Inc. The remaining principal balance of $1,000,000 under the promissory note was initially converted to acquire 55,555 shares of Series G preferred stock in December 2011 at a price of $18.00 per share, which number of shares was subsequently adjusted to an aggregate of 95,238 shares of Series G preferred stock at a price of $10.50 per share in September 2012 as a result of the second closing of our Series G private placement. The remaining interest of $102,445 owed under the promissory note was paid off in January 2012. In connection with the promissory note, Helix Micro, Inc. was issued warrants to acquire (i) 16,000 shares of Series F preferred stock at a price of $7.50 per share and (ii) 740 shares of Series G preferred stock at a price of $18.00. Unless exercised, these warrants will automatically convert into an aggregate of 10,629 shares of common stock upon the closing of this offering, based on the midpoint of the price range provided on the cover of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Services</w:t>
      </w:r>
    </w:p>
    <w:p>
      <w:pPr>
        <w:spacing w:after="0" w:line="228"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On April 1, 2009, William H. Yeh, a member of our board of directors, began providing us with certain financial consulting services. The compensation arrangement for such services was formalized on October 19, 2009 through a letter agreement that we entered into with Mr. Yeh. Pursuant to this letter agreement, we agreed to grant Mr. Yeh 133 shares of common stock as compensation for each month of such services that Mr. Yeh rendered to us. As a result, we granted Mr. Yeh 2,133 shares of common stock on August 1, 2010 for 16 months of services rendered and 1,333 shares of common stock on June 1, 2011 for 10 months of services rendered. As of May 31, 2011, Mr. Yeh ceased to render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 of Securities</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December 31, 2011, we issued and sold an aggregate of 222,554 shares of Series G preferred stock to twenty-five investors, at a price of $18.00 per share, in the initial closing of our Series G private placement. On September 7, 2012, we issued and sold an additional 1,046,999 shares of Series G preferred stock to fifty-four investors, at a price of $10.50 per share, in the second closing of our Series G private placement. In connection with the second closing of our Series G private placement, we agreed to amend the per share price of our Series G preferred stock issued under the initial closing of our Series G private placement from $18.00 per share to $10.50 per share and, as a result, an additional 158,973 shares of Series G preferred stock were issued to the investors in connection with the initial closing of our Series G private placement.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On December 31, 2011, we also issued warrants to purchase 33,385 shares of Series G preferred stock, with exercise price of $18.00 per share in connection with the initial closing of our Series G private placement to the investors in the private placement. However, those warrants were terminated as a result of the second closing of our Series G private placement. None of these warrants were exercised prior to their termination.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 the aggregate 1,431,307 shares of Series G preferred stock issued in the Series G private placement, 348,593 shares were sold for an aggregate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$3,660,277.90 to investors that, at such time, were beneficially owned by either directors, executive officers, holders of five percent or more of any class of our capital</w:t>
      </w:r>
    </w:p>
    <w:p>
      <w:pPr>
        <w:spacing w:after="0" w:line="3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stock, or members of their immediate families, consisting of 95,238 shares sold to Helix Micro, Inc., 34,245 shares sold to Techgains Global Corporation, 53,293 shares sold to Techgains Pan Pacific Corporation, 23,809 shares sold to Techgains Pacific Century Fund, 19,047 shares sold to Technology Associates Management Company, Ltd., 100,539 shares sold to Robinhood III, LP, 971 shares sold to Heather B. Black, 2,404 shares sold to Richard B. Black and 19,047 shares sold to William H. Yeh. In connection with the closing of this offering, it is expected that the outstanding shares of Series G preferred stock will convert into 1,431,307 shares of our common stock. See "Principal and Selling Stockholders" for more detail on the shares of our stock held by these investors.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We provided registration rights to our holders of common stock and redeemable Series A preferred stock in connection with this offering, including Chih-Hsiang (Thompson) Lin, an executive officer, director and holder of five percent or more of our common stock, Stefan J. Murry, Hung-Lun (Fred) Chang, Klaus Alexander Anselm, Richard B. Black and Alex Ignatiev, who are certain of our executive officers and directors, entities associated with Technology Associates Management Company, Ltd., who is considered a holder of five percent or more of a class of our capital stock, and Shiu-Mei Lin Chou, Yaun-Chung Hsu and Wei-Chien Wu (which shares are held jointly) and Yuanpin Hsu, each of which is a holder of five percent or more of a class of our capital stock. Such rights are subject to conditions and limitations at the sole discretion of our board of directors.</w:t>
      </w:r>
    </w:p>
    <w:p>
      <w:pPr>
        <w:spacing w:after="0" w:line="188"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Additionally, we entered into registration rights agreements with our investors in connection with our Series C, D, E, F and G preferred stock private placements. As a result, following the closing of this offering, the holders of approximately 3.6 million shares of our common stock will be eligible to exercise certain rights with respect to the registration of such shares under the Securities Act, assuming that the underwriters' overallotment option is not exercised. See "Description of Capital Stock—Registration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Beginning in 2000, we entered into a shareholders' agreement with stockholders who purchased shares of our preferred stock, which agreement has been amended to include additional investors and to make other changes at the time of each of our preferred stock private placements. The shareholders' agreement was most recently amended on January 14, 2011. The shareholders' agreement contains rights of first refusal and information rights and will terminate in accordance with its terms upon the closing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and Change in Control Agreements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We have agreed to indemnify our directors and our executive officers under certain circumstances and have purchased directors' and officers' liability insurance. The indemnification agreements and our amended and restated certificate of incorporation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amended and restated bylaws require us to indemnify our directors and officers to the fullest extent permitted by Delaware law. See "Management—Indemnification of directors and officers and limitation of liability" and "—Indemnification agreements. We have also entered into change in control agreements with our executive officers. See "Management—Agreements with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Awards</w:t>
      </w:r>
    </w:p>
    <w:p>
      <w:pPr>
        <w:spacing w:after="0" w:line="228"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For information regarding stock option awards to our named executive officers and directors in 2012, see "Executive Compensation—Summary Compensation Table" and "Executive Compensation—Outstanding equity awards at fiscal year-end." In addition, on January 18, 2013, our board of directors granted a stock option for 91,333 shares of our common stock to Chih-Hsiang (Thompson) Lin, a stock option for 17,333 shares of our common stock to Stefan J. Murry, a stock option for 12,667 shares of our common stock to Hung-Lun (Fred) Chang and a stock option for 10,000 shares of our common stock to James L. Dunn, Jr., each with an exercise price of $7.50 per share.</w:t>
      </w:r>
    </w:p>
    <w:p>
      <w:pPr>
        <w:spacing w:after="0" w:line="187" w:lineRule="exact"/>
        <w:rPr>
          <w:sz w:val="20"/>
          <w:szCs w:val="20"/>
          <w:color w:val="auto"/>
        </w:rPr>
      </w:pPr>
    </w:p>
    <w:p>
      <w:pPr>
        <w:ind w:right="120" w:firstLine="341"/>
        <w:spacing w:after="0" w:line="278" w:lineRule="auto"/>
        <w:rPr>
          <w:sz w:val="20"/>
          <w:szCs w:val="20"/>
          <w:color w:val="auto"/>
        </w:rPr>
      </w:pPr>
      <w:r>
        <w:rPr>
          <w:rFonts w:ascii="Arial" w:cs="Arial" w:eastAsia="Arial" w:hAnsi="Arial"/>
          <w:sz w:val="16"/>
          <w:szCs w:val="16"/>
          <w:color w:val="auto"/>
        </w:rPr>
        <w:t>On April 12, 2013, our board of directors approved a plan to grant stock options to Mr. Lin, to be effective upon the completion of the offering, to be exercisable for a number of shares of our common stock such that Mr. Lin will hold stock and stock options for an aggregate of 6% of our outstanding securities on an as-converted and on an as-exercised basis, as of the closing of the offering. On April 12, 2013, our board of directors also approved a plan to grant stock options to members of our management team, including our other executive officers, to be effective upon the completion of the offering, which stock options are to be exercisable for shares of our common stock equal to, in the aggregate, 1% of our common stock, of our outstanding securities on an as-converted and on an as-exercised basis, as of the closing of the offering. Our board of directors has yet to allocate these stock options to specific members of our management team. Such stock options for Mr. Lin and other members of our management team will have an exercise price equal to the closing price of our common stock on the NASDAQ Global Market on the closing date of the offering. Any such grant to Mr. Lin or any other members of our management team will be conditioned upon the completion of an initial public offering on the NASDAQ Global Market, and other conditions determined by our board of directors.</w:t>
      </w:r>
    </w:p>
    <w:p>
      <w:pPr>
        <w:spacing w:after="0" w:line="179"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Each of the stock options described above vest over a four year period, with 25% of the shares subject to each such option vesting on the first anniversary of the vesting commencement date and one sixth of the remaining shares vesting on the first day of each succeeding six month period, in each case subject to the optionee's continued service. Such vesting is subject to acceleration in the event of our change of control or the optionee's death, disability or retirement.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and Ratification of Transactions with Related Parties</w:t>
      </w:r>
    </w:p>
    <w:p>
      <w:pPr>
        <w:spacing w:after="0" w:line="228"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Prior to this offering, our board of directors reviewed and approved transactions with directors, officers and holders of five percent or more of our common stock of any class of our capital stock, each of whom is a related party. Prior to our board of directors' consideration of a transaction with a related party, the material facts as to the related party's relationship or interest in the transaction were disclosed to our board of directors, and the transaction was approved by our board of directors unless a majority of the directors who were not interested in the transaction approved the transaction. In March 2013, we adopted a new audit committee charter and put into place a related party transactions policy that will require, among other items, that such transactions must be approved by our audit committee.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AND SELLING STOCKHOLDERS</w:t>
      </w:r>
    </w:p>
    <w:p>
      <w:pPr>
        <w:spacing w:after="0" w:line="228"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following table sets forth the beneficial ownership information of our common stock as of July 31, 2013, and as adjusted to reflect the sale of the shares of common stock in this offering, for:</w:t>
      </w:r>
    </w:p>
    <w:p>
      <w:pPr>
        <w:spacing w:after="0" w:line="183"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person known to us to be the beneficial owner of more than 5% of our common stock outstanding, on an as-converted basis;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named executive officer;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selling stockholder.</w:t>
      </w:r>
    </w:p>
    <w:p>
      <w:pPr>
        <w:spacing w:after="0" w:line="224"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attribute beneficial ownership of securities to persons who possess sole or shared voting power or investment power with respect to those securities and include stock options and warrants that are immediately exercisable or exercisable within 60 days. Except as indicated by the footnotes below, we believe, based on the information furnished to us, that the persons and entities named in the table below have sole voting and investment power with respect to all shares of common stock beneficially owned by them, subject to applicable community property laws. This information is not necessarily indicative of beneficial ownership for any other purpose.</w:t>
      </w:r>
    </w:p>
    <w:p>
      <w:pPr>
        <w:spacing w:after="0" w:line="174" w:lineRule="exact"/>
        <w:rPr>
          <w:sz w:val="20"/>
          <w:szCs w:val="20"/>
          <w:color w:val="auto"/>
        </w:rPr>
      </w:pPr>
    </w:p>
    <w:p>
      <w:pPr>
        <w:jc w:val="both"/>
        <w:ind w:right="120" w:firstLine="341"/>
        <w:spacing w:after="0" w:line="265" w:lineRule="auto"/>
        <w:rPr>
          <w:sz w:val="20"/>
          <w:szCs w:val="20"/>
          <w:color w:val="auto"/>
        </w:rPr>
      </w:pPr>
      <w:r>
        <w:rPr>
          <w:rFonts w:ascii="Arial" w:cs="Arial" w:eastAsia="Arial" w:hAnsi="Arial"/>
          <w:sz w:val="17"/>
          <w:szCs w:val="17"/>
          <w:color w:val="auto"/>
        </w:rPr>
        <w:t>In computing the number of shares of common stock beneficially owned by a person and the percentage ownership of that person, we deemed to be outstanding shares of common stock and preferred stock subject to options or warrants held by that person that are currently exercisable or exercisable within 60 days of July 31, 2013 on an as-converted basis. We did not deem these shares outstanding, however, for the purpose of computing the percentage ownership of any other person. Beneficial ownership representing less than 1.0% is denoted with an asterisk (*).</w:t>
      </w:r>
    </w:p>
    <w:p>
      <w:pPr>
        <w:spacing w:after="0" w:line="18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Percentage ownership calculations for beneficial ownership before this offering are based on 8,993,174 shares of common stock outstanding, on an as-converted basis assuming the conversion of all of the outstanding preferred stock. This number excludes 16,474 shares of common stock that may be issued upon the automatic conversion of certain outstanding warrants to purchase shares of our preferred stock upon the completion of this offering, but the full number of shares for which outstanding warrants may be exercised is included in the calculation of each holder's beneficial ownership. Percentage ownership calculations for beneficial ownership after this offering also include 3,600,000 shares we are offering hereby.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left="500"/>
              <w:spacing w:after="0"/>
              <w:rPr>
                <w:sz w:val="20"/>
                <w:szCs w:val="20"/>
                <w:color w:val="auto"/>
              </w:rPr>
            </w:pPr>
            <w:r>
              <w:rPr>
                <w:rFonts w:ascii="Arial" w:cs="Arial" w:eastAsia="Arial" w:hAnsi="Arial"/>
                <w:sz w:val="13"/>
                <w:szCs w:val="13"/>
                <w:b w:val="1"/>
                <w:bCs w:val="1"/>
                <w:color w:val="auto"/>
                <w:w w:val="87"/>
              </w:rPr>
              <w:t>Shares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beneficially owned</w:t>
            </w:r>
          </w:p>
        </w:tc>
        <w:tc>
          <w:tcPr>
            <w:tcW w:w="14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w:t>
            </w:r>
          </w:p>
        </w:tc>
        <w:tc>
          <w:tcPr>
            <w:tcW w:w="980" w:type="dxa"/>
            <w:vAlign w:val="bottom"/>
            <w:gridSpan w:val="2"/>
          </w:tcPr>
          <w:p>
            <w:pPr>
              <w:jc w:val="center"/>
              <w:ind w:left="479"/>
              <w:spacing w:after="0" w:line="144" w:lineRule="exact"/>
              <w:rPr>
                <w:sz w:val="20"/>
                <w:szCs w:val="20"/>
                <w:color w:val="auto"/>
              </w:rPr>
            </w:pPr>
            <w:r>
              <w:rPr>
                <w:rFonts w:ascii="Arial" w:cs="Arial" w:eastAsia="Arial" w:hAnsi="Arial"/>
                <w:sz w:val="13"/>
                <w:szCs w:val="13"/>
                <w:b w:val="1"/>
                <w:bCs w:val="1"/>
                <w:color w:val="auto"/>
                <w:w w:val="87"/>
              </w:rPr>
              <w:t>Shares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after the offering</w:t>
            </w:r>
          </w:p>
        </w:tc>
        <w:tc>
          <w:tcPr>
            <w:tcW w:w="14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to be sold if</w:t>
            </w:r>
          </w:p>
        </w:tc>
        <w:tc>
          <w:tcPr>
            <w:tcW w:w="1820" w:type="dxa"/>
            <w:vAlign w:val="bottom"/>
            <w:gridSpan w:val="5"/>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beneficially owned</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gridSpan w:val="5"/>
          </w:tcPr>
          <w:p>
            <w:pPr>
              <w:jc w:val="right"/>
              <w:ind w:right="740"/>
              <w:spacing w:after="0" w:line="144" w:lineRule="exact"/>
              <w:rPr>
                <w:sz w:val="20"/>
                <w:szCs w:val="20"/>
                <w:color w:val="auto"/>
              </w:rPr>
            </w:pPr>
            <w:r>
              <w:rPr>
                <w:rFonts w:ascii="Arial" w:cs="Arial" w:eastAsia="Arial" w:hAnsi="Arial"/>
                <w:sz w:val="13"/>
                <w:szCs w:val="13"/>
                <w:b w:val="1"/>
                <w:bCs w:val="1"/>
                <w:color w:val="auto"/>
              </w:rPr>
              <w:t>Shares</w:t>
            </w: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assuming the</w:t>
            </w:r>
          </w:p>
        </w:tc>
        <w:tc>
          <w:tcPr>
            <w:tcW w:w="14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underwriters' option</w:t>
            </w:r>
          </w:p>
        </w:tc>
        <w:tc>
          <w:tcPr>
            <w:tcW w:w="1820" w:type="dxa"/>
            <w:vAlign w:val="bottom"/>
            <w:gridSpan w:val="5"/>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after the offering if</w:t>
            </w: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gridSpan w:val="5"/>
          </w:tcPr>
          <w:p>
            <w:pPr>
              <w:jc w:val="right"/>
              <w:ind w:right="420"/>
              <w:spacing w:after="0" w:line="144" w:lineRule="exact"/>
              <w:rPr>
                <w:sz w:val="20"/>
                <w:szCs w:val="20"/>
                <w:color w:val="auto"/>
              </w:rPr>
            </w:pPr>
            <w:r>
              <w:rPr>
                <w:rFonts w:ascii="Arial" w:cs="Arial" w:eastAsia="Arial" w:hAnsi="Arial"/>
                <w:sz w:val="13"/>
                <w:szCs w:val="13"/>
                <w:b w:val="1"/>
                <w:bCs w:val="1"/>
                <w:color w:val="auto"/>
              </w:rPr>
              <w:t>beneficially owned</w:t>
            </w: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underwriters' option</w:t>
            </w:r>
          </w:p>
        </w:tc>
        <w:tc>
          <w:tcPr>
            <w:tcW w:w="14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is exercised in</w:t>
            </w:r>
          </w:p>
        </w:tc>
        <w:tc>
          <w:tcPr>
            <w:tcW w:w="1820" w:type="dxa"/>
            <w:vAlign w:val="bottom"/>
            <w:gridSpan w:val="5"/>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underwriters' option</w:t>
            </w: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3"/>
                <w:szCs w:val="13"/>
                <w:b w:val="1"/>
                <w:bCs w:val="1"/>
                <w:color w:val="auto"/>
              </w:rPr>
              <w:t>before the offering</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is not exercised</w:t>
            </w:r>
          </w:p>
        </w:tc>
        <w:tc>
          <w:tcPr>
            <w:tcW w:w="1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full (28)</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is exercised in full</w:t>
            </w: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16"/>
                <w:szCs w:val="16"/>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Names of Beneficial owner</w:t>
            </w:r>
          </w:p>
        </w:tc>
        <w:tc>
          <w:tcPr>
            <w:tcW w:w="158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Percent</w:t>
            </w: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5% or Greater Stockholders: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Entities associated with Technology</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7"/>
                <w:szCs w:val="17"/>
                <w:color w:val="auto"/>
              </w:rPr>
              <w:t>Associates Management Company,</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7"/>
                <w:szCs w:val="17"/>
                <w:color w:val="auto"/>
              </w:rPr>
              <w:t>Ltd. (1)</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779,611</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8.7%</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779,611</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779,611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Entities associated with Robinhood II,</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LP (2)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670,391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670,391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670,391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6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b w:val="1"/>
                <w:bCs w:val="1"/>
                <w:color w:val="auto"/>
              </w:rPr>
              <w:t>Directors and Named Executive</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600" w:type="dxa"/>
            <w:vAlign w:val="bottom"/>
          </w:tcPr>
          <w:p>
            <w:pPr>
              <w:spacing w:after="0"/>
              <w:rPr>
                <w:sz w:val="19"/>
                <w:szCs w:val="19"/>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b w:val="1"/>
                <w:bCs w:val="1"/>
                <w:color w:val="auto"/>
              </w:rPr>
              <w:t>Officers: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Chih-Hsiang (Thompson) Lin (3)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120,845</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120,845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120,845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Juen-Sheng (Andrew) Kang (1)</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779,611</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8.7%</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779,611</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779,611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William H. Yeh (4)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91,257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91,257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91,257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Richard B. Black (5)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33,045</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33,045</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33,045</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Alex Ignatiev</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4,560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4,560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4,560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Min-Chu (Mike) Chen</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1,914</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1,914</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1,914</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Alan Moore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99,182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99,182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99,182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Hung-Lun (Fred) Chang (6)</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20,266</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20,266</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20,266</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Stefan J. Murry (7)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25,665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25,665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Klaus Alexander Anselm (8)</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17,135</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17,135</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17,135</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and directors as a</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group (14 persons) (9)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1,289,610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14.1%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1,289,610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1,289,610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7"/>
                <w:szCs w:val="17"/>
                <w:b w:val="1"/>
                <w:bCs w:val="1"/>
                <w:color w:val="auto"/>
              </w:rPr>
              <w:t>Selling Stockholders (10):</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GRC II Corp. (11)(12)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417,336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417,336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124,520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292,816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Grand River Capital Investment</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7"/>
                <w:szCs w:val="17"/>
                <w:color w:val="auto"/>
              </w:rPr>
              <w:t>Company Limited (11)(13)</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288,004</w:t>
            </w: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3.2%</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288,004</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2.3%</w:t>
            </w: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85,932</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202,072</w:t>
            </w: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Entities associated with Sycamore</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Management Corporation (11)(14)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215,581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215,581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64,325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151,256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w w:val="97"/>
              </w:rPr>
              <w:t>Global Strategic Investment Inc. (11)(15)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193,959</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2.2%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193,959</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57,874</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136,085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Budworth Investments Limited (11)(16)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151,714</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151,714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44,266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107,448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Kummell Investments Limited (11)(17)</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113,581</w:t>
            </w: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1.3%</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113,581</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11,297</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102,284</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Asia Sino Far East Limited (18)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7,161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72,839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7"/>
                <w:szCs w:val="17"/>
                <w:color w:val="auto"/>
              </w:rPr>
              <w:t>Harbinger III Venture Capital Corp. (19)</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65,016</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65,016</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18,971</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46,045</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NCKU Venture Capital Co., Ltd. (20)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47,311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47,311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39,240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394"/>
              <w:spacing w:after="0"/>
              <w:rPr>
                <w:sz w:val="20"/>
                <w:szCs w:val="20"/>
                <w:color w:val="auto"/>
              </w:rPr>
            </w:pPr>
            <w:r>
              <w:rPr>
                <w:rFonts w:ascii="Arial" w:cs="Arial" w:eastAsia="Arial" w:hAnsi="Arial"/>
                <w:sz w:val="17"/>
                <w:szCs w:val="17"/>
                <w:color w:val="auto"/>
                <w:w w:val="84"/>
              </w:rPr>
              <w:t>126</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6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left="500"/>
              <w:spacing w:after="0"/>
              <w:rPr>
                <w:sz w:val="20"/>
                <w:szCs w:val="20"/>
                <w:color w:val="auto"/>
              </w:rPr>
            </w:pPr>
            <w:r>
              <w:rPr>
                <w:rFonts w:ascii="Arial" w:cs="Arial" w:eastAsia="Arial" w:hAnsi="Arial"/>
                <w:sz w:val="13"/>
                <w:szCs w:val="13"/>
                <w:b w:val="1"/>
                <w:bCs w:val="1"/>
                <w:color w:val="auto"/>
                <w:w w:val="87"/>
              </w:rPr>
              <w:t>Shares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beneficially owned</w:t>
            </w:r>
          </w:p>
        </w:tc>
        <w:tc>
          <w:tcPr>
            <w:tcW w:w="14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Shares</w:t>
            </w:r>
          </w:p>
        </w:tc>
        <w:tc>
          <w:tcPr>
            <w:tcW w:w="980" w:type="dxa"/>
            <w:vAlign w:val="bottom"/>
            <w:gridSpan w:val="2"/>
          </w:tcPr>
          <w:p>
            <w:pPr>
              <w:jc w:val="center"/>
              <w:ind w:left="480"/>
              <w:spacing w:after="0" w:line="144" w:lineRule="exact"/>
              <w:rPr>
                <w:sz w:val="20"/>
                <w:szCs w:val="20"/>
                <w:color w:val="auto"/>
              </w:rPr>
            </w:pPr>
            <w:r>
              <w:rPr>
                <w:rFonts w:ascii="Arial" w:cs="Arial" w:eastAsia="Arial" w:hAnsi="Arial"/>
                <w:sz w:val="13"/>
                <w:szCs w:val="13"/>
                <w:b w:val="1"/>
                <w:bCs w:val="1"/>
                <w:color w:val="auto"/>
                <w:w w:val="87"/>
              </w:rPr>
              <w:t>Shares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after the offering</w:t>
            </w:r>
          </w:p>
        </w:tc>
        <w:tc>
          <w:tcPr>
            <w:tcW w:w="14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to be sold if</w:t>
            </w:r>
          </w:p>
        </w:tc>
        <w:tc>
          <w:tcPr>
            <w:tcW w:w="170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beneficially owned</w:t>
            </w: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center"/>
              <w:ind w:left="498"/>
              <w:spacing w:after="0" w:line="144" w:lineRule="exact"/>
              <w:rPr>
                <w:sz w:val="20"/>
                <w:szCs w:val="20"/>
                <w:color w:val="auto"/>
              </w:rPr>
            </w:pPr>
            <w:r>
              <w:rPr>
                <w:rFonts w:ascii="Arial" w:cs="Arial" w:eastAsia="Arial" w:hAnsi="Arial"/>
                <w:sz w:val="13"/>
                <w:szCs w:val="13"/>
                <w:b w:val="1"/>
                <w:bCs w:val="1"/>
                <w:color w:val="auto"/>
                <w:w w:val="87"/>
              </w:rPr>
              <w:t>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assuming the</w:t>
            </w:r>
          </w:p>
        </w:tc>
        <w:tc>
          <w:tcPr>
            <w:tcW w:w="14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underwriters' option</w:t>
            </w: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after the offering if</w:t>
            </w:r>
          </w:p>
        </w:tc>
      </w:tr>
      <w:tr>
        <w:trPr>
          <w:trHeight w:val="144"/>
        </w:trPr>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beneficially owned</w:t>
            </w:r>
          </w:p>
        </w:tc>
        <w:tc>
          <w:tcPr>
            <w:tcW w:w="160" w:type="dxa"/>
            <w:vAlign w:val="bottom"/>
          </w:tcPr>
          <w:p>
            <w:pPr>
              <w:spacing w:after="0"/>
              <w:rPr>
                <w:sz w:val="12"/>
                <w:szCs w:val="12"/>
                <w:color w:val="auto"/>
              </w:rPr>
            </w:pPr>
          </w:p>
        </w:tc>
        <w:tc>
          <w:tcPr>
            <w:tcW w:w="170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underwriters' option</w:t>
            </w:r>
          </w:p>
        </w:tc>
        <w:tc>
          <w:tcPr>
            <w:tcW w:w="14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is exercised in</w:t>
            </w:r>
          </w:p>
        </w:tc>
        <w:tc>
          <w:tcPr>
            <w:tcW w:w="170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underwriters' option</w:t>
            </w:r>
          </w:p>
        </w:tc>
      </w:tr>
      <w:tr>
        <w:trPr>
          <w:trHeight w:val="157"/>
        </w:trPr>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before the offering</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is not exercised</w:t>
            </w:r>
          </w:p>
        </w:tc>
        <w:tc>
          <w:tcPr>
            <w:tcW w:w="1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full (28)</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is exercised in full</w:t>
            </w:r>
          </w:p>
        </w:tc>
        <w:tc>
          <w:tcPr>
            <w:tcW w:w="160" w:type="dxa"/>
            <w:vAlign w:val="bottom"/>
          </w:tcPr>
          <w:p>
            <w:pPr>
              <w:spacing w:after="0"/>
              <w:rPr>
                <w:sz w:val="13"/>
                <w:szCs w:val="13"/>
                <w:color w:val="auto"/>
              </w:rPr>
            </w:pPr>
          </w:p>
        </w:tc>
      </w:tr>
      <w:tr>
        <w:trPr>
          <w:trHeight w:val="190"/>
        </w:trPr>
        <w:tc>
          <w:tcPr>
            <w:tcW w:w="1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Names of Beneficial owner</w:t>
            </w:r>
          </w:p>
        </w:tc>
        <w:tc>
          <w:tcPr>
            <w:tcW w:w="1580" w:type="dxa"/>
            <w:vAlign w:val="bottom"/>
            <w:gridSpan w:val="2"/>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6"/>
                <w:szCs w:val="16"/>
                <w:color w:val="auto"/>
              </w:rPr>
            </w:pPr>
          </w:p>
        </w:tc>
      </w:tr>
      <w:tr>
        <w:trPr>
          <w:trHeight w:val="194"/>
        </w:trPr>
        <w:tc>
          <w:tcPr>
            <w:tcW w:w="316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Entities associated with Yung-Tang</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31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Pan (21)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42,314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42314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12,627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1"/>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Sky Harvest Investments Limited (22)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1580" w:type="dxa"/>
            <w:vAlign w:val="bottom"/>
          </w:tcPr>
          <w:p>
            <w:pPr>
              <w:ind w:left="320"/>
              <w:spacing w:after="0"/>
              <w:rPr>
                <w:sz w:val="20"/>
                <w:szCs w:val="20"/>
                <w:color w:val="auto"/>
              </w:rPr>
            </w:pPr>
            <w:r>
              <w:rPr>
                <w:rFonts w:ascii="Arial" w:cs="Arial" w:eastAsia="Arial" w:hAnsi="Arial"/>
                <w:sz w:val="17"/>
                <w:szCs w:val="17"/>
                <w:color w:val="auto"/>
              </w:rPr>
              <w:t>(23)</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37,142</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37,142</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11,082</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26,060</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1"/>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Suer Shieh</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29,591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29,591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8,830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20,761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Hui-Min Huang Liu (22)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27,046</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27,046</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8,070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18,976</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Michael Dee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25,646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25,646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7,653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17,993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Chin Tai Hung (22)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19,047</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19,047</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5,683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13,364</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1"/>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Dynacom Development Co., Ltd. (22)</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1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(24)</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17,522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17,522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5,229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12,293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Chiung Fang Shen (22)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17,522</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17,522</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3,239</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14,283</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Yi-Chen Tu (22)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17,522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17,522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14,680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1"/>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Great Root International Co., Ltd. (22)</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1580" w:type="dxa"/>
            <w:vAlign w:val="bottom"/>
          </w:tcPr>
          <w:p>
            <w:pPr>
              <w:ind w:left="320"/>
              <w:spacing w:after="0"/>
              <w:rPr>
                <w:sz w:val="20"/>
                <w:szCs w:val="20"/>
                <w:color w:val="auto"/>
              </w:rPr>
            </w:pPr>
            <w:r>
              <w:rPr>
                <w:rFonts w:ascii="Arial" w:cs="Arial" w:eastAsia="Arial" w:hAnsi="Arial"/>
                <w:sz w:val="17"/>
                <w:szCs w:val="17"/>
                <w:color w:val="auto"/>
              </w:rPr>
              <w:t>(25)</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17,522</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17,522</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5,229</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12,293</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2"/>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Hwa Chung Venture Capital Co.,</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31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Ltd. (26)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13,524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13,524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11,506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Chung-Ta Hsin</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12,006</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12,006</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3,583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8,423</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Robert Chang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11,892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11,892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3,549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8,343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Chuan Chih Che (22)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11,808</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11,808</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1,760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10,048</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Ko-Pin Chu</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11,167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11,167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7,835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Dawei Liu (22)</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10,856</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10,856</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2,046</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8,810</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Daniel Chen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10,274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10,274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7,208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0"/>
        </w:trPr>
        <w:tc>
          <w:tcPr>
            <w:tcW w:w="3160" w:type="dxa"/>
            <w:vAlign w:val="bottom"/>
            <w:gridSpan w:val="3"/>
          </w:tcPr>
          <w:p>
            <w:pPr>
              <w:ind w:left="160"/>
              <w:spacing w:after="0"/>
              <w:rPr>
                <w:sz w:val="20"/>
                <w:szCs w:val="20"/>
                <w:color w:val="auto"/>
              </w:rPr>
            </w:pPr>
            <w:r>
              <w:rPr>
                <w:rFonts w:ascii="Arial" w:cs="Arial" w:eastAsia="Arial" w:hAnsi="Arial"/>
                <w:sz w:val="17"/>
                <w:szCs w:val="17"/>
                <w:color w:val="auto"/>
              </w:rPr>
              <w:t>Wei Yang Li</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9,600</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9,600</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2,864</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6,736</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1"/>
        </w:trPr>
        <w:tc>
          <w:tcPr>
            <w:tcW w:w="31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Additional selling stockholders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1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collectively holding less than 1% of</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1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w w:val="97"/>
              </w:rPr>
              <w:t>the outstanding shares of our common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1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stock prior to completion of the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8"/>
        </w:trPr>
        <w:tc>
          <w:tcPr>
            <w:tcW w:w="31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offering (18 persons) (22)(27)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89,068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89,068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24,881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64,187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05"/>
        </w:trPr>
        <w:tc>
          <w:tcPr>
            <w:tcW w:w="15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2120" w:right="60" w:hanging="517"/>
        <w:spacing w:after="0" w:line="276" w:lineRule="auto"/>
        <w:tabs>
          <w:tab w:leader="none" w:pos="2120"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Includes (i) stock options to purchase 5,945 shares of common stock held by Mr. Kang, (ii) warrants to purchase an aggregate of 3,769 shares of common stock on an as-converted basis held by Techgains Global Corporation, which warrants, if not exercised prior to the completion of this offering, will automatically convert into an aggregate of 1,594 shares of common stock upon the completion of this offering, based on the midpoint of the price range provided on the cover of this prospectus, and (iii) warrants to purchase an aggregate of 3,769 shares of common stock on an as-convered basis held by Techgains Pan Pacific Corporation, which warrants, if not exercised prior to the completion of this offering, will automatically convert into an aggregate of 1,594 shares of common stock upon the completion of this offering, based on the midpoint of the range provided on the cover of this prospectus, which in each case is exercisable within 60 days of July 31, 2013. Also includes (a) 196,226 shares held of record by Techgains Global Corporation, (b) 155,883 shares held of record by Techgains Pacific Century Fund, LP, (c) 394,972 shares held of record by Techgains Pan Pacific Corporation and</w:t>
      </w:r>
    </w:p>
    <w:p>
      <w:pPr>
        <w:spacing w:after="0" w:line="1" w:lineRule="exact"/>
        <w:rPr>
          <w:rFonts w:ascii="Arial" w:cs="Arial" w:eastAsia="Arial" w:hAnsi="Arial"/>
          <w:sz w:val="11"/>
          <w:szCs w:val="11"/>
          <w:color w:val="auto"/>
        </w:rPr>
      </w:pPr>
    </w:p>
    <w:p>
      <w:pPr>
        <w:ind w:left="2120"/>
        <w:spacing w:after="0" w:line="235" w:lineRule="auto"/>
        <w:rPr>
          <w:rFonts w:ascii="Arial" w:cs="Arial" w:eastAsia="Arial" w:hAnsi="Arial"/>
          <w:sz w:val="11"/>
          <w:szCs w:val="11"/>
          <w:color w:val="auto"/>
        </w:rPr>
      </w:pPr>
      <w:r>
        <w:rPr>
          <w:rFonts w:ascii="Arial" w:cs="Arial" w:eastAsia="Arial" w:hAnsi="Arial"/>
          <w:sz w:val="13"/>
          <w:szCs w:val="13"/>
          <w:color w:val="auto"/>
        </w:rPr>
        <w:t>(d) 19,047 shares held of record by Technology Associates Management Company, Ltd., in each case on an as-converted basis assuming the conversion of all of the outstanding shares of preferred stock. Mr. Kang has the power to direct investments and/or has the sole power to vote the securities owned by Technology Associates Management Company, Ltd., as its managing director. Mr. Kang also has the sole power to vote the securities owned by Techgains Pan Pacific Corporation, Techgains Global Corporation and Techgains Pacific Century Fund LP, pursuant to investment management arrangements with</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2120" w:right="20"/>
        <w:spacing w:after="0" w:line="278" w:lineRule="auto"/>
        <w:rPr>
          <w:sz w:val="20"/>
          <w:szCs w:val="20"/>
          <w:color w:val="auto"/>
        </w:rPr>
      </w:pPr>
      <w:r>
        <w:rPr>
          <w:rFonts w:ascii="Arial" w:cs="Arial" w:eastAsia="Arial" w:hAnsi="Arial"/>
          <w:sz w:val="11"/>
          <w:szCs w:val="11"/>
          <w:color w:val="auto"/>
        </w:rPr>
        <w:t>these entities. The principal address of the entities associated with Technology Associates Management Company, Ltd. is 5052 Tennyson Parkway, Suite 100 Plano, Texas 75024. Mr. Kang disclaims any and all pecuniary interests and beneficial ownership interests in the shares of our stock held by the foregoing entities. Tekkang Management Consulting Inc., the majority shareholder of Technology Associates Management Company Ltd., holds of record 225,875 shares of our common stock, on an as-converted basis. Tekkang Management Consulting Inc. does not have any power, whether by itself or shared with others, to direct investments or to vote our securities held by Techgains</w:t>
      </w:r>
    </w:p>
    <w:p>
      <w:pPr>
        <w:spacing w:after="0" w:line="1" w:lineRule="exact"/>
        <w:rPr>
          <w:sz w:val="20"/>
          <w:szCs w:val="20"/>
          <w:color w:val="auto"/>
        </w:rPr>
      </w:pPr>
    </w:p>
    <w:p>
      <w:pPr>
        <w:ind w:left="2120" w:right="40"/>
        <w:spacing w:after="0" w:line="235" w:lineRule="auto"/>
        <w:rPr>
          <w:sz w:val="20"/>
          <w:szCs w:val="20"/>
          <w:color w:val="auto"/>
        </w:rPr>
      </w:pPr>
      <w:r>
        <w:rPr>
          <w:rFonts w:ascii="Arial" w:cs="Arial" w:eastAsia="Arial" w:hAnsi="Arial"/>
          <w:sz w:val="13"/>
          <w:szCs w:val="13"/>
          <w:color w:val="auto"/>
        </w:rPr>
        <w:t>Pan Pacific Corporation, Techgains Global Corporation and Techgains Pacific Century Fund LP. Mr. Kang is not a shareholder, director or officer of the majority shareholder of Tekkang Management Company Inc., and has no voting or investment control over the shares held of record by such majority shareholder. Tekkang Management Company Inc. disclaims any and all pecuniary interests and beneficial ownership interests in our securities held by Techgains Pan Pacific Corporation, Techgains Global Corporation and Techgains Pacific Century Fund LP.</w:t>
      </w:r>
    </w:p>
    <w:p>
      <w:pPr>
        <w:spacing w:after="0" w:line="178" w:lineRule="exact"/>
        <w:rPr>
          <w:sz w:val="20"/>
          <w:szCs w:val="20"/>
          <w:color w:val="auto"/>
        </w:rPr>
      </w:pPr>
    </w:p>
    <w:p>
      <w:pPr>
        <w:ind w:left="2120" w:right="60" w:hanging="517"/>
        <w:spacing w:after="0" w:line="239" w:lineRule="auto"/>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(a) 421,073 shares held of record by Robinhood II, LP, (b) 244,441 shares held of record by Robinhood III, LP and (c) 4,877 shares held of record by Nancy T. Chang. Ms. Chang resigned as a member of our board of directors on March 22, 2013. Ms. Chang has the power to direct investments and/or has the sole power to vote the securities owned by Robinhood II, LP and Robinhood III, LP, as the sole beneficiary and president of the general partner of such entities. The principal address of the entities associated with Robinhood II, LP is 101 Wescott St. #603, Houston, Texas 77007.</w:t>
      </w:r>
    </w:p>
    <w:p>
      <w:pPr>
        <w:spacing w:after="0" w:line="112" w:lineRule="exact"/>
        <w:rPr>
          <w:rFonts w:ascii="Arial" w:cs="Arial" w:eastAsia="Arial" w:hAnsi="Arial"/>
          <w:sz w:val="13"/>
          <w:szCs w:val="13"/>
          <w:color w:val="auto"/>
        </w:rPr>
      </w:pPr>
    </w:p>
    <w:p>
      <w:pPr>
        <w:ind w:left="2120" w:hanging="517"/>
        <w:spacing w:after="0" w:line="262" w:lineRule="auto"/>
        <w:tabs>
          <w:tab w:leader="none" w:pos="21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Includes stock options to purchase 66,397 shares of common stock that are exercisable within 60 days of July 31, 2013. Does not include a planned stock option grant to Mr. Lin as of the closing of this offering, which option would vest over a four-year period beginning on the first anniversary of the closing of this offering and would be exercisable for a number of shares of our common stock such that Mr. Lin will hold stock and stock options for an aggregate of 6% of our outstanding securities on an as-converted and on an as-exercised basis. Any grant of these stock options will be subject to the satisfaction of certain conditions determined by our board of directors. See "Certain Relationships and Related Party Transactions—Stock Option Awards" for more detail on these conditions and the stock options mentioned above.</w:t>
      </w:r>
    </w:p>
    <w:p>
      <w:pPr>
        <w:spacing w:after="0" w:line="98" w:lineRule="exact"/>
        <w:rPr>
          <w:rFonts w:ascii="Arial" w:cs="Arial" w:eastAsia="Arial" w:hAnsi="Arial"/>
          <w:sz w:val="12"/>
          <w:szCs w:val="12"/>
          <w:color w:val="auto"/>
        </w:rPr>
      </w:pPr>
    </w:p>
    <w:p>
      <w:pPr>
        <w:ind w:left="2120" w:right="240" w:hanging="517"/>
        <w:spacing w:after="0" w:line="239" w:lineRule="auto"/>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(i) stock options to purchase 5,439 shares of common stock, and (ii) warrants held by Lina Yeh to purchase 785 shares of common stock, on an as-converted basis, which warrants, if not exercised prior to the completion of this offering, will expire based on the midpoint of the price range provided on the cover of this prospectus, which options and warrants are each exercisable within 60 days of July 31, 2013. Also includes 17,664 shares of common stock held of record by Ms. Yeh. Ms. Yeh is Mr. Yeh's spouse.</w:t>
      </w:r>
    </w:p>
    <w:p>
      <w:pPr>
        <w:spacing w:after="0" w:line="112" w:lineRule="exact"/>
        <w:rPr>
          <w:rFonts w:ascii="Arial" w:cs="Arial" w:eastAsia="Arial" w:hAnsi="Arial"/>
          <w:sz w:val="13"/>
          <w:szCs w:val="13"/>
          <w:color w:val="auto"/>
        </w:rPr>
      </w:pPr>
    </w:p>
    <w:p>
      <w:pPr>
        <w:ind w:left="2120" w:right="280" w:hanging="517"/>
        <w:spacing w:after="0" w:line="256" w:lineRule="auto"/>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stock options to purchase 1,250 shares of common stock that are exercisable within 60 days of July 31, 2013. Also includes 8,162 shares of common stock held of record by Heather Black. Ms. Black is Mr. Black's spouse.</w:t>
      </w:r>
    </w:p>
    <w:p>
      <w:pPr>
        <w:spacing w:after="0" w:line="100" w:lineRule="exact"/>
        <w:rPr>
          <w:rFonts w:ascii="Arial" w:cs="Arial" w:eastAsia="Arial" w:hAnsi="Arial"/>
          <w:sz w:val="13"/>
          <w:szCs w:val="13"/>
          <w:color w:val="auto"/>
        </w:rPr>
      </w:pPr>
    </w:p>
    <w:p>
      <w:pPr>
        <w:ind w:left="2120" w:hanging="517"/>
        <w:spacing w:after="0"/>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stock options to purchase 17,684 shares of common stock that are exercisable within 60 days of July 31, 2013.</w:t>
      </w:r>
    </w:p>
    <w:p>
      <w:pPr>
        <w:spacing w:after="0" w:line="125" w:lineRule="exact"/>
        <w:rPr>
          <w:rFonts w:ascii="Arial" w:cs="Arial" w:eastAsia="Arial" w:hAnsi="Arial"/>
          <w:sz w:val="13"/>
          <w:szCs w:val="13"/>
          <w:color w:val="auto"/>
        </w:rPr>
      </w:pPr>
    </w:p>
    <w:p>
      <w:pPr>
        <w:ind w:left="2120" w:hanging="517"/>
        <w:spacing w:after="0"/>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stock options to purchase 23,435 shares of common stock that are exercisable within 60 days of July 31, 2013.</w:t>
      </w:r>
    </w:p>
    <w:p>
      <w:pPr>
        <w:spacing w:after="0" w:line="125" w:lineRule="exact"/>
        <w:rPr>
          <w:rFonts w:ascii="Arial" w:cs="Arial" w:eastAsia="Arial" w:hAnsi="Arial"/>
          <w:sz w:val="13"/>
          <w:szCs w:val="13"/>
          <w:color w:val="auto"/>
        </w:rPr>
      </w:pPr>
    </w:p>
    <w:p>
      <w:pPr>
        <w:ind w:left="2120" w:hanging="517"/>
        <w:spacing w:after="0"/>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stock options to purchase 13,469 shares of common stock that are exercisable within 60 days of July 31, 2013.</w:t>
      </w:r>
    </w:p>
    <w:p>
      <w:pPr>
        <w:spacing w:after="0" w:line="125" w:lineRule="exact"/>
        <w:rPr>
          <w:rFonts w:ascii="Arial" w:cs="Arial" w:eastAsia="Arial" w:hAnsi="Arial"/>
          <w:sz w:val="13"/>
          <w:szCs w:val="13"/>
          <w:color w:val="auto"/>
        </w:rPr>
      </w:pPr>
    </w:p>
    <w:p>
      <w:pPr>
        <w:ind w:left="2120" w:right="60" w:hanging="517"/>
        <w:spacing w:after="0" w:line="262" w:lineRule="auto"/>
        <w:tabs>
          <w:tab w:leader="none" w:pos="21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Includes (i) stock options to purchase 157,009 shares of common stock that are exercisable within 60 days of July 31, 2013, (ii) warrants to purchase 5,760 shares of common stock, on an as-converted basis, that are exercisable within 60 days of July 31, 2013, which warrants, if not exercised prior to the completion of this offering, will automatically convert into an aggregate of 3,188 shares of common stock upon the completion of this offering, based on the midpoint of the price range provided on the cover of this prospectus and (iii) warrants to purchase 2,563 shares of common stock, on an as-converted basis, that are exercisable within 60 days of July 31, 2013, which warrants, if not exercised prior to the completion of this offering, are expected to expire based on the midpoint of the range provided on the cover of this prospectus.</w:t>
      </w:r>
    </w:p>
    <w:p>
      <w:pPr>
        <w:spacing w:after="0" w:line="98" w:lineRule="exact"/>
        <w:rPr>
          <w:rFonts w:ascii="Arial" w:cs="Arial" w:eastAsia="Arial" w:hAnsi="Arial"/>
          <w:sz w:val="12"/>
          <w:szCs w:val="12"/>
          <w:color w:val="auto"/>
        </w:rPr>
      </w:pPr>
    </w:p>
    <w:p>
      <w:pPr>
        <w:ind w:left="2120" w:hanging="517"/>
        <w:spacing w:after="0"/>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None of the selling stockholders are registered broker dealers or affiliates of registered broker dealers.</w:t>
      </w:r>
    </w:p>
    <w:p>
      <w:pPr>
        <w:spacing w:after="0" w:line="125" w:lineRule="exact"/>
        <w:rPr>
          <w:rFonts w:ascii="Arial" w:cs="Arial" w:eastAsia="Arial" w:hAnsi="Arial"/>
          <w:sz w:val="13"/>
          <w:szCs w:val="13"/>
          <w:color w:val="auto"/>
        </w:rPr>
      </w:pPr>
    </w:p>
    <w:p>
      <w:pPr>
        <w:jc w:val="both"/>
        <w:ind w:left="2120" w:right="140" w:hanging="517"/>
        <w:spacing w:after="0" w:line="243" w:lineRule="auto"/>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selling stockholders who as of June 30, 2013 beneficially owned in excess of 1.0% of our common stock purchased an aggregate of 196,380 shares of Series G preferred stock in our Series G preferred stock financing, which was conducted in 2011 and 2012, at a price of $10.50 per share. Each share of our Series G preferred stock will convert into one share of our common stock immediately prior to the closing of this offering.</w:t>
      </w:r>
    </w:p>
    <w:p>
      <w:pPr>
        <w:spacing w:after="0" w:line="109" w:lineRule="exact"/>
        <w:rPr>
          <w:rFonts w:ascii="Arial" w:cs="Arial" w:eastAsia="Arial" w:hAnsi="Arial"/>
          <w:sz w:val="13"/>
          <w:szCs w:val="13"/>
          <w:color w:val="auto"/>
        </w:rPr>
      </w:pPr>
    </w:p>
    <w:p>
      <w:pPr>
        <w:ind w:left="2120" w:right="180" w:hanging="517"/>
        <w:spacing w:after="0" w:line="256" w:lineRule="auto"/>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Benjamin C. M. Jen and Yuan-Chi Chao are members of the board of directors of GRC II Corp. and share voting and investment power over the shares held by GRC II Corp. Mr. Jen is a former member of our board of directors and resigned as a member on February 27, 2013.</w:t>
      </w:r>
    </w:p>
    <w:p>
      <w:pPr>
        <w:spacing w:after="0" w:line="100" w:lineRule="exact"/>
        <w:rPr>
          <w:rFonts w:ascii="Arial" w:cs="Arial" w:eastAsia="Arial" w:hAnsi="Arial"/>
          <w:sz w:val="13"/>
          <w:szCs w:val="13"/>
          <w:color w:val="auto"/>
        </w:rPr>
      </w:pPr>
    </w:p>
    <w:p>
      <w:pPr>
        <w:ind w:left="2120" w:right="200" w:hanging="517"/>
        <w:spacing w:after="0" w:line="256" w:lineRule="auto"/>
        <w:tabs>
          <w:tab w:leader="none" w:pos="21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Benjamin C. M. Jen, Yuan-Chi Chao, Chia-Chueh Lu, Cheryl Lin and Siamak Zangeneh Salimpour are members of the board of directors of Grand River Capital Investment Company Limited and share voting and investment power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2120" w:right="280"/>
        <w:spacing w:after="0" w:line="256" w:lineRule="auto"/>
        <w:rPr>
          <w:sz w:val="20"/>
          <w:szCs w:val="20"/>
          <w:color w:val="auto"/>
        </w:rPr>
      </w:pPr>
      <w:r>
        <w:rPr>
          <w:rFonts w:ascii="Arial" w:cs="Arial" w:eastAsia="Arial" w:hAnsi="Arial"/>
          <w:sz w:val="13"/>
          <w:szCs w:val="13"/>
          <w:color w:val="auto"/>
        </w:rPr>
        <w:t>over the shares held by Grand River Capital Investment Company Limited. Mr. Jen is a former member of our board of directors and resigned as a member on February 27, 2013.</w:t>
      </w:r>
    </w:p>
    <w:p>
      <w:pPr>
        <w:spacing w:after="0" w:line="166" w:lineRule="exact"/>
        <w:rPr>
          <w:sz w:val="20"/>
          <w:szCs w:val="20"/>
          <w:color w:val="auto"/>
        </w:rPr>
      </w:pPr>
    </w:p>
    <w:p>
      <w:pPr>
        <w:ind w:left="2120" w:right="240" w:hanging="517"/>
        <w:spacing w:after="0" w:line="283" w:lineRule="auto"/>
        <w:tabs>
          <w:tab w:leader="none" w:pos="2120"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Includes (i) 135,441 shares held by Sycamore Venture Capital, L.P. and (ii) 80,140 shares held by AsiaStar IT Fund, L.P. Kilin To (Chairman), John R. Whitman (President), Peter G. Gerry (Secretary) and David S. Lichtenstein (Vice President) are executive officers of Sycamore Management Corporation, which is the general partner of</w:t>
      </w:r>
    </w:p>
    <w:p>
      <w:pPr>
        <w:jc w:val="both"/>
        <w:ind w:left="2120" w:right="100"/>
        <w:spacing w:after="0" w:line="237" w:lineRule="auto"/>
        <w:rPr>
          <w:rFonts w:ascii="Arial" w:cs="Arial" w:eastAsia="Arial" w:hAnsi="Arial"/>
          <w:sz w:val="11"/>
          <w:szCs w:val="11"/>
          <w:color w:val="auto"/>
        </w:rPr>
      </w:pPr>
      <w:r>
        <w:rPr>
          <w:rFonts w:ascii="Arial" w:cs="Arial" w:eastAsia="Arial" w:hAnsi="Arial"/>
          <w:sz w:val="13"/>
          <w:szCs w:val="13"/>
          <w:color w:val="auto"/>
        </w:rPr>
        <w:t>(a) Sycamore Business Partners, L.P., which is the general partner of Sycamore Venture Capital L.P., and (b) AsiaStar Partners, L.P., which is the general partner of AsiaStar IT Fund, L.P. Mr. Kilin, Mr. Whitman, Mr. Gerry and Mr. Lichtenstein share voting and investment power over the shares held by Sycamore Venture Capital, L.P. and AsiaStar IT Fund, L.P.</w:t>
      </w:r>
    </w:p>
    <w:p>
      <w:pPr>
        <w:spacing w:after="0" w:line="110" w:lineRule="exact"/>
        <w:rPr>
          <w:rFonts w:ascii="Arial" w:cs="Arial" w:eastAsia="Arial" w:hAnsi="Arial"/>
          <w:sz w:val="11"/>
          <w:szCs w:val="11"/>
          <w:color w:val="auto"/>
        </w:rPr>
      </w:pPr>
    </w:p>
    <w:p>
      <w:pPr>
        <w:ind w:left="2120" w:hanging="517"/>
        <w:spacing w:after="0"/>
        <w:tabs>
          <w:tab w:leader="none" w:pos="21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Shih-Chien Yang is the Chairman of Global Strategic Investment Inc. and has the voting and investment power over the shares held by Global Strategic Investment Inc.</w:t>
      </w:r>
    </w:p>
    <w:p>
      <w:pPr>
        <w:spacing w:after="0" w:line="137" w:lineRule="exact"/>
        <w:rPr>
          <w:rFonts w:ascii="Arial" w:cs="Arial" w:eastAsia="Arial" w:hAnsi="Arial"/>
          <w:sz w:val="12"/>
          <w:szCs w:val="12"/>
          <w:color w:val="auto"/>
        </w:rPr>
      </w:pPr>
    </w:p>
    <w:p>
      <w:pPr>
        <w:jc w:val="both"/>
        <w:ind w:left="2120" w:right="200" w:hanging="517"/>
        <w:spacing w:after="0" w:line="243"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Teh-Chien Chou and Chih-Kai (C.K.) Cheng are members of the board of directors of Budworth Investments Limited and share voting and investment power over the shares held by Budworth Investments Limited. Mr. Cheng is a former member of our board of directors and resigned as a member on February 20, 2013. See "Certain Relationships and Related Party Transactions—Loans from Stockholders" for more detail on Mr. Cheng's relationship with our company.</w:t>
      </w:r>
    </w:p>
    <w:p>
      <w:pPr>
        <w:spacing w:after="0" w:line="109" w:lineRule="exact"/>
        <w:rPr>
          <w:rFonts w:ascii="Arial" w:cs="Arial" w:eastAsia="Arial" w:hAnsi="Arial"/>
          <w:sz w:val="13"/>
          <w:szCs w:val="13"/>
          <w:color w:val="auto"/>
        </w:rPr>
      </w:pPr>
    </w:p>
    <w:p>
      <w:pPr>
        <w:ind w:left="2120" w:right="120" w:hanging="517"/>
        <w:spacing w:after="0" w:line="256"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Raymond Tang, Lars Sorenson, and Louise Garbarino are members of the board of directors of Kummell Investments Limited and share voting and investment power over the shares held by Kummell Investments Limited.</w:t>
      </w:r>
    </w:p>
    <w:p>
      <w:pPr>
        <w:spacing w:after="0" w:line="100" w:lineRule="exact"/>
        <w:rPr>
          <w:rFonts w:ascii="Arial" w:cs="Arial" w:eastAsia="Arial" w:hAnsi="Arial"/>
          <w:sz w:val="13"/>
          <w:szCs w:val="13"/>
          <w:color w:val="auto"/>
        </w:rPr>
      </w:pPr>
    </w:p>
    <w:p>
      <w:pPr>
        <w:ind w:left="2120" w:right="100" w:hanging="517"/>
        <w:spacing w:after="0" w:line="256"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Shu Mei Lin Lan and Chin-I Lin are members of the board of directors of Asia Sino Far East Limited and share voting and investment power over the shares held by Asia Sino Far East Limited.</w:t>
      </w:r>
    </w:p>
    <w:p>
      <w:pPr>
        <w:spacing w:after="0" w:line="100" w:lineRule="exact"/>
        <w:rPr>
          <w:rFonts w:ascii="Arial" w:cs="Arial" w:eastAsia="Arial" w:hAnsi="Arial"/>
          <w:sz w:val="13"/>
          <w:szCs w:val="13"/>
          <w:color w:val="auto"/>
        </w:rPr>
      </w:pPr>
    </w:p>
    <w:p>
      <w:pPr>
        <w:ind w:left="2120" w:hanging="517"/>
        <w:spacing w:after="0"/>
        <w:tabs>
          <w:tab w:leader="none" w:pos="21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Teh-Chien Chou is the President of Harbinger III Venture Capital Corp. and has voting and investment power over the shares held by Harbinger III Venture Capital Corp.</w:t>
      </w:r>
    </w:p>
    <w:p>
      <w:pPr>
        <w:spacing w:after="0" w:line="137" w:lineRule="exact"/>
        <w:rPr>
          <w:rFonts w:ascii="Arial" w:cs="Arial" w:eastAsia="Arial" w:hAnsi="Arial"/>
          <w:sz w:val="12"/>
          <w:szCs w:val="12"/>
          <w:color w:val="auto"/>
        </w:rPr>
      </w:pPr>
    </w:p>
    <w:p>
      <w:pPr>
        <w:ind w:left="2120" w:right="380" w:hanging="517"/>
        <w:spacing w:after="0" w:line="243"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Teh-Chuan Wu, Hun-Cher Lin, Jiun Jih Miau, Shyh-Yu Shaw, Mi-Ching Tsai, Der-Chaing Li, Sunsino Development Associate Inc., Taiwan Fu Hsing Industrial Co., Ltd., Asterlink Securities Corporation, Standard Chem. &amp; Pharm. Co., Ltd. and Shin-Sheng Investment Co., Ltd. are members of the board of directors of NCKU Venture Capital Co. Ltd. and share voting and investment power over the shares held by NCKU Venture Capital Co. Ltd.</w:t>
      </w:r>
    </w:p>
    <w:p>
      <w:pPr>
        <w:spacing w:after="0" w:line="109" w:lineRule="exact"/>
        <w:rPr>
          <w:rFonts w:ascii="Arial" w:cs="Arial" w:eastAsia="Arial" w:hAnsi="Arial"/>
          <w:sz w:val="13"/>
          <w:szCs w:val="13"/>
          <w:color w:val="auto"/>
        </w:rPr>
      </w:pPr>
    </w:p>
    <w:p>
      <w:pPr>
        <w:ind w:left="2120" w:right="20" w:hanging="517"/>
        <w:spacing w:after="0" w:line="256"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Includes (i) 22,005 shares held by Dyna Investment Co., Ltd. and (ii) 20,309 shares held by Lite-On Inc. Yung-Tang Pan is the Chairman of Dyna Investment Co., Ltd. and Lite-On Inc., and has the voting and investment power over the shares held by Dyna Investment Co., Ltd. and Lite-On Inc.</w:t>
      </w:r>
    </w:p>
    <w:p>
      <w:pPr>
        <w:spacing w:after="0" w:line="100" w:lineRule="exact"/>
        <w:rPr>
          <w:rFonts w:ascii="Arial" w:cs="Arial" w:eastAsia="Arial" w:hAnsi="Arial"/>
          <w:sz w:val="13"/>
          <w:szCs w:val="13"/>
          <w:color w:val="auto"/>
        </w:rPr>
      </w:pPr>
    </w:p>
    <w:p>
      <w:pPr>
        <w:jc w:val="both"/>
        <w:ind w:left="2120" w:right="20" w:hanging="517"/>
        <w:spacing w:after="0" w:line="243"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selling stockholders who as of June 30, 2013 beneficially owned less than 1.0% of our common stock purchased an aggregate of 158,272 shares of Series G preferred stock in our Series G preferred stock financing, which was conducted in 2011 and 2012, at a price of $10.50 per share. Each share of our Series G preferred stock will convert into one share of our common stock immediately prior to the closing of this offering.</w:t>
      </w:r>
    </w:p>
    <w:p>
      <w:pPr>
        <w:spacing w:after="0" w:line="109" w:lineRule="exact"/>
        <w:rPr>
          <w:rFonts w:ascii="Arial" w:cs="Arial" w:eastAsia="Arial" w:hAnsi="Arial"/>
          <w:sz w:val="13"/>
          <w:szCs w:val="13"/>
          <w:color w:val="auto"/>
        </w:rPr>
      </w:pPr>
    </w:p>
    <w:p>
      <w:pPr>
        <w:ind w:left="2120" w:right="220" w:hanging="517"/>
        <w:spacing w:after="0" w:line="256"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Wen-Chin Hung and Jui-Hsien Yu are members of the board of directors of Sky Harvest Investments Limited and share voting and investment power over the shares held by Sky Harvest Investments Limited.</w:t>
      </w:r>
    </w:p>
    <w:p>
      <w:pPr>
        <w:spacing w:after="0" w:line="100" w:lineRule="exact"/>
        <w:rPr>
          <w:rFonts w:ascii="Arial" w:cs="Arial" w:eastAsia="Arial" w:hAnsi="Arial"/>
          <w:sz w:val="13"/>
          <w:szCs w:val="13"/>
          <w:color w:val="auto"/>
        </w:rPr>
      </w:pPr>
    </w:p>
    <w:p>
      <w:pPr>
        <w:ind w:left="2120" w:right="620" w:hanging="517"/>
        <w:spacing w:after="0" w:line="256"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Chun Chieh Huang is a member of the board of directors of Dynacom Development Co., Ltd. and has voting and investment power over the shares held by Dynacom Development Co., Ltd.</w:t>
      </w:r>
    </w:p>
    <w:p>
      <w:pPr>
        <w:spacing w:after="0" w:line="100" w:lineRule="exact"/>
        <w:rPr>
          <w:rFonts w:ascii="Arial" w:cs="Arial" w:eastAsia="Arial" w:hAnsi="Arial"/>
          <w:sz w:val="13"/>
          <w:szCs w:val="13"/>
          <w:color w:val="auto"/>
        </w:rPr>
      </w:pPr>
    </w:p>
    <w:p>
      <w:pPr>
        <w:ind w:left="2120" w:right="800" w:hanging="517"/>
        <w:spacing w:after="0" w:line="256"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Perry Chuang is a member of the board of directors of Great Root International Co., Ltd. and has voting and investment power over the shares held by Great Root International Co., Ltd.</w:t>
      </w:r>
    </w:p>
    <w:p>
      <w:pPr>
        <w:spacing w:after="0" w:line="100" w:lineRule="exact"/>
        <w:rPr>
          <w:rFonts w:ascii="Arial" w:cs="Arial" w:eastAsia="Arial" w:hAnsi="Arial"/>
          <w:sz w:val="13"/>
          <w:szCs w:val="13"/>
          <w:color w:val="auto"/>
        </w:rPr>
      </w:pPr>
    </w:p>
    <w:p>
      <w:pPr>
        <w:ind w:left="2120" w:right="80" w:hanging="517"/>
        <w:spacing w:after="0" w:line="274" w:lineRule="auto"/>
        <w:tabs>
          <w:tab w:leader="none" w:pos="21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Kuo-Hsiang Wu, Young Chen Hsu, Chung-Ming Chang, Chi-Tai Liang, Hung Liang Hsieh, Bor-Po Chen (on behalf of All Well Industry Co., Ltd.), SIWARD Crystal Technology Co., Ltd., Sunsino Development Associate Inc., Cel Cel Electronic Co., Ltd., I Ho Investment Co., Ltd. and Xon Industrial Corp., Ltd. are members of the board of directors of Hwa Chung Venture Capital Co., Ltd. and share voting and investment power over the shares held by Hwa Chung Venture Capital Co., Ltd.</w:t>
      </w:r>
    </w:p>
    <w:p>
      <w:pPr>
        <w:spacing w:after="0" w:line="91" w:lineRule="exact"/>
        <w:rPr>
          <w:rFonts w:ascii="Arial" w:cs="Arial" w:eastAsia="Arial" w:hAnsi="Arial"/>
          <w:sz w:val="12"/>
          <w:szCs w:val="12"/>
          <w:color w:val="auto"/>
        </w:rPr>
      </w:pPr>
    </w:p>
    <w:p>
      <w:pPr>
        <w:ind w:left="2120" w:hanging="517"/>
        <w:spacing w:after="0" w:line="266" w:lineRule="auto"/>
        <w:tabs>
          <w:tab w:leader="none" w:pos="21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the combined beneficial ownership of 18 stockholders whose collective holdings are less than 1% of our outstanding shares of common stock as of July 31, 2013 and includes (i) 551 shares issuable upon exercise of options exercisable within 60 days of July 31, 2013, and (ii) 4,800 shares of common stock, on an as-converted basis, subject to warrants, that are exercisable within 60 days of July 31, 2013, which warrants, if not exercised prior to the completion of this offering, will automatically convert into an aggregate of 2,657 shares of common stock upon the completion of this offering, based on the midpoint of the price range provided on the cover of this prospectus.</w:t>
      </w:r>
    </w:p>
    <w:p>
      <w:pPr>
        <w:spacing w:after="0" w:line="96" w:lineRule="exact"/>
        <w:rPr>
          <w:rFonts w:ascii="Arial" w:cs="Arial" w:eastAsia="Arial" w:hAnsi="Arial"/>
          <w:sz w:val="12"/>
          <w:szCs w:val="12"/>
          <w:color w:val="auto"/>
        </w:rPr>
      </w:pPr>
    </w:p>
    <w:p>
      <w:pPr>
        <w:jc w:val="both"/>
        <w:ind w:left="2120" w:right="180" w:hanging="517"/>
        <w:spacing w:after="0" w:line="243" w:lineRule="auto"/>
        <w:tabs>
          <w:tab w:leader="none" w:pos="21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 the event that the underwriters' overallotment option is not exercised in full, but is instead exercised for only a portion of the shares subject to the overallotment option, the number of shares to be sold by each selling stockholder will be determined on a proportionate basis based on the total number of shares to be sold by each selling stockholder and the total number of shares for which the overallotment option is exercised.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right="40" w:firstLine="338"/>
        <w:spacing w:after="0" w:line="270" w:lineRule="auto"/>
        <w:rPr>
          <w:sz w:val="20"/>
          <w:szCs w:val="20"/>
          <w:color w:val="auto"/>
        </w:rPr>
      </w:pPr>
      <w:r>
        <w:rPr>
          <w:rFonts w:ascii="Arial" w:cs="Arial" w:eastAsia="Arial" w:hAnsi="Arial"/>
          <w:sz w:val="17"/>
          <w:szCs w:val="17"/>
          <w:color w:val="auto"/>
        </w:rPr>
        <w:t>The following description of our capital stock is intended as a summary only and is qualified in its entirety by reference to our amended and restated certificate of incorporation and amended and restated bylaws to be in effect immediately prior to the closing of this offering, which are filed as exhibits to the registration statement, of which this prospectus forms a part.</w:t>
      </w:r>
    </w:p>
    <w:p>
      <w:pPr>
        <w:spacing w:after="0" w:line="179" w:lineRule="exact"/>
        <w:rPr>
          <w:sz w:val="20"/>
          <w:szCs w:val="20"/>
          <w:color w:val="auto"/>
        </w:rPr>
      </w:pPr>
    </w:p>
    <w:p>
      <w:pPr>
        <w:ind w:right="1120" w:firstLine="341"/>
        <w:spacing w:after="0" w:line="282" w:lineRule="auto"/>
        <w:rPr>
          <w:sz w:val="20"/>
          <w:szCs w:val="20"/>
          <w:color w:val="auto"/>
        </w:rPr>
      </w:pPr>
      <w:r>
        <w:rPr>
          <w:rFonts w:ascii="Arial" w:cs="Arial" w:eastAsia="Arial" w:hAnsi="Arial"/>
          <w:sz w:val="17"/>
          <w:szCs w:val="17"/>
          <w:color w:val="auto"/>
        </w:rPr>
        <w:t>Upon completion of this offering, our authorized capital stock will consist of 45,000,000 shares of common stock, par value $0.001 per share, and 5,000,000 shares of undesignated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As of June 30, 2013, there were 8,993,174 shares of our common stock outstanding and held of record by 351 stockholders, on an as-converted basis assuming the conversion of all outstanding shares of preferred stock and excluding shares that may be issued upon the automatic conversion of certain warrants upon the completion of this offering. Holders of our common stock are entitled to one vote for each share of common stock held of record for the election of directors and on all matters submitted to a vote of stockholders. Holders of our common stock are also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 Except with respect to the election of directors (which shall be determined by our stockholders by a plurality of the votes cast by the stockholders entitled to vote on the election) and as described below in "Provisions of our Certificate of Incorporation and Bylaws and Delaware Anti-Takeover Law," a majority vote of common stockholders is generally required to take action under our amended and restated certificate of incorporation and amended and restated bylaws.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Upon the completion of this offering, our board of directors will be authorized, without action by the stockholders, to designate and issue up to an aggregate of 5,000,000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deferring or preventing a change in control of our company and might harm the market price of our common stock.</w:t>
      </w:r>
    </w:p>
    <w:p>
      <w:pPr>
        <w:spacing w:after="0" w:line="176" w:lineRule="exact"/>
        <w:rPr>
          <w:sz w:val="20"/>
          <w:szCs w:val="20"/>
          <w:color w:val="auto"/>
        </w:rPr>
      </w:pPr>
    </w:p>
    <w:p>
      <w:pPr>
        <w:ind w:right="400" w:firstLine="341"/>
        <w:spacing w:after="0" w:line="282" w:lineRule="auto"/>
        <w:rPr>
          <w:sz w:val="20"/>
          <w:szCs w:val="20"/>
          <w:color w:val="auto"/>
        </w:rPr>
      </w:pPr>
      <w:r>
        <w:rPr>
          <w:rFonts w:ascii="Arial" w:cs="Arial" w:eastAsia="Arial" w:hAnsi="Arial"/>
          <w:sz w:val="17"/>
          <w:szCs w:val="17"/>
          <w:color w:val="auto"/>
        </w:rPr>
        <w:t>Our board of directors will make any determination to issue such shares based on its judgment as to our company's best interests and the best interests of our stockholders. We have no current plans to issue any shares of preferred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2013, we had outstanding warrants to purchase:</w:t>
      </w:r>
    </w:p>
    <w:p>
      <w:pPr>
        <w:spacing w:after="0" w:line="237" w:lineRule="exact"/>
        <w:rPr>
          <w:sz w:val="20"/>
          <w:szCs w:val="20"/>
          <w:color w:val="auto"/>
        </w:rPr>
      </w:pPr>
    </w:p>
    <w:p>
      <w:pPr>
        <w:ind w:left="1060" w:hanging="531"/>
        <w:spacing w:after="0" w:line="303"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24,800 shares of our Series F preferred stock with an exercise price of $7.50 per share. These warrants will automatically convert upon the closing of this offering, unless earlier exercised by the holder, into a number of common shares determined by dividing (i) the aggregate fair market value of the underlying shares less the aggregate cost of those shares (using the exercise price of $7.50) by (ii) the then fair market value of one share. The fair market value of the shares are determined by either the closing price of the shares if traded on an exchange or our board of directors, if not traded on an exchange. These warrants, if not exercised prior to the completion of this offering, will automatically convert into an aggregate of 16,474 shares of common stock upon the completion of this offering, based on the midpoint of the price range provided on the cover of this prospectus.</w:t>
      </w:r>
    </w:p>
    <w:p>
      <w:pPr>
        <w:spacing w:after="0" w:line="187" w:lineRule="exact"/>
        <w:rPr>
          <w:rFonts w:ascii="Arial" w:cs="Arial" w:eastAsia="Arial" w:hAnsi="Arial"/>
          <w:sz w:val="15"/>
          <w:szCs w:val="15"/>
          <w:color w:val="auto"/>
        </w:rPr>
      </w:pPr>
    </w:p>
    <w:p>
      <w:pPr>
        <w:ind w:left="1060" w:right="40" w:hanging="531"/>
        <w:spacing w:after="0" w:line="265"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21,666 shares of our Series F preferred stock with a weighted average exercise price of $11.5384 per share of which 8,333 shares are exercisable under a warrant issued to our U.S. lender with an exercise price of $18.00 per share. If these warrants have not been exercised prior to the closing of the offering, then, pursuant to their terms, the warrants shall automatically adjust to be exercisable for an aggregate of 26,000 shares of common stock at a weighted average exercise price of $9.6152 per share.</w:t>
      </w:r>
    </w:p>
    <w:p>
      <w:pPr>
        <w:spacing w:after="0" w:line="198" w:lineRule="exact"/>
        <w:rPr>
          <w:rFonts w:ascii="Arial" w:cs="Arial" w:eastAsia="Arial" w:hAnsi="Arial"/>
          <w:sz w:val="17"/>
          <w:szCs w:val="17"/>
          <w:color w:val="auto"/>
        </w:rPr>
      </w:pPr>
    </w:p>
    <w:p>
      <w:pPr>
        <w:ind w:left="1060" w:hanging="531"/>
        <w:spacing w:after="0" w:line="281"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3,304 shares of our Series G preferred stock with an exercise price of $18.00 per share. These warrants will automatically convert upon the closing of this offering, unless earlier exercised by the holder, into a number of common shares determined by dividing (i) the aggregate fair market value of the underlying shares less the aggregate cost of those shares (using the exercise price of $18.00) by (ii) the then fair market value of one share. The fair market value of the shares are determined by either the closing price of the shares if traded on an exchange or our board of directors, if not traded on an exchange. These warrants, if not exercised prior to the completion of this offering, will expire upon the completion of this offering, based on the midpoint of the price range provided on the cover of this prospectus.</w:t>
      </w:r>
    </w:p>
    <w:p>
      <w:pPr>
        <w:spacing w:after="0" w:line="188" w:lineRule="exact"/>
        <w:rPr>
          <w:rFonts w:ascii="Arial" w:cs="Arial" w:eastAsia="Arial" w:hAnsi="Arial"/>
          <w:sz w:val="16"/>
          <w:szCs w:val="16"/>
          <w:color w:val="auto"/>
        </w:rPr>
      </w:pPr>
    </w:p>
    <w:p>
      <w:pPr>
        <w:ind w:left="1060" w:right="280" w:hanging="531"/>
        <w:spacing w:after="0" w:line="352"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6,667 shares of our Series G preferred stock with an exercise price of $10.50 per share. If this warrant has not been exercised prior to closing of the offering, then pursuant to its terms, the warrant shall automatically adjust to be exercisable for 6,667 shares of common stock at $10.50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Our board of directors approved giving certain registration rights to holders of our common stock and our redeemable Series A preferred stock in connection with this offering which rights are subject to conditions and limitations at the sole discretion of our board of directors, which rights are subject to conditions and limitations at the sole discretion of our board of directors. We have also entered into agreements with holders of our Series C, D, E, F and G preferred stock that give certain registration rights to such holders. Following the completion of this offering, there will be approximately 3.6 million shares of our common stock, issued upon conversion of our preferred stock, entitled to such registration rights, excluding the shares issuable upon the exercise of warrants for our preferred stock and assuming that the underwriters' overallotment option is not exercised. The registration rights granted under these registration rights agreements are subject to conditions and limitations, including our right to limit the number of shares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included in such a registration upon advisement of the managing underwriter and our right not to effect a requested registration if the aggregate price to the public is less than $2,000,000.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Demand registration rights</w:t>
      </w:r>
    </w:p>
    <w:p>
      <w:pPr>
        <w:spacing w:after="0" w:line="224" w:lineRule="exact"/>
        <w:rPr>
          <w:sz w:val="20"/>
          <w:szCs w:val="20"/>
          <w:color w:val="auto"/>
        </w:rPr>
      </w:pPr>
    </w:p>
    <w:p>
      <w:pPr>
        <w:ind w:right="280" w:firstLine="332"/>
        <w:spacing w:after="0" w:line="270" w:lineRule="auto"/>
        <w:rPr>
          <w:sz w:val="20"/>
          <w:szCs w:val="20"/>
          <w:color w:val="auto"/>
        </w:rPr>
      </w:pPr>
      <w:r>
        <w:rPr>
          <w:rFonts w:ascii="Arial" w:cs="Arial" w:eastAsia="Arial" w:hAnsi="Arial"/>
          <w:sz w:val="17"/>
          <w:szCs w:val="17"/>
          <w:color w:val="auto"/>
        </w:rPr>
        <w:t>At any time more than 180 days after the effective date of this offering, the holders of a majority of the shares of common stock issued upon conversion of our Series C, D, E, F and G preferred stock, subject to exceptions, are entitled to demand registration of all or any of such shares and require us to file a registration statement under the Securities Act at our expense.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S-3 demand registration rights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Following the closing of this offering, the holders of the shares of common stock issued upon conversion of our Series C, D, E, F and G preferred stock, subject to exceptions, are entitled to demand registration rights pursuant to which they may require us to file, as soon as practicable, one registration statement under the Securities Act on Form S-3 in any 12-month period with respect to these shares. We have the ability to delay the filing of a registration statement under specified conditions, such as if we are in possession of material non-public information that would not be in our best interests to disclose.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Piggyback registration rights</w:t>
      </w:r>
    </w:p>
    <w:p>
      <w:pPr>
        <w:spacing w:after="0" w:line="224"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If we propose to register any of our securities under the Securities Act for our own account or the account of any other holder, the holders of the shares of common stock issued upon conversion of our Series C, D, E, F and G preferred stock are entitled to notice of such registration and are entitled to include these shares in the registration, subject to exceptions, including our right to limit the number of shares included in the registration.</w:t>
      </w:r>
    </w:p>
    <w:p>
      <w:pPr>
        <w:spacing w:after="0" w:line="179" w:lineRule="exact"/>
        <w:rPr>
          <w:sz w:val="20"/>
          <w:szCs w:val="20"/>
          <w:color w:val="auto"/>
        </w:rPr>
      </w:pPr>
    </w:p>
    <w:p>
      <w:pPr>
        <w:ind w:right="160" w:firstLine="338"/>
        <w:spacing w:after="0" w:line="262" w:lineRule="auto"/>
        <w:rPr>
          <w:sz w:val="20"/>
          <w:szCs w:val="20"/>
          <w:color w:val="auto"/>
        </w:rPr>
      </w:pPr>
      <w:r>
        <w:rPr>
          <w:rFonts w:ascii="Arial" w:cs="Arial" w:eastAsia="Arial" w:hAnsi="Arial"/>
          <w:sz w:val="17"/>
          <w:szCs w:val="17"/>
          <w:color w:val="auto"/>
        </w:rPr>
        <w:t>We will pay all registration expenses, other than underwriting discounts and commissions and certain other expenses (including all fees and expenses of the consultants, advisors, attorneys, special experts and other third parties engaged by the holders of the shares of common stock issued upon conversion of our common stock and Series A, C, D, E, F and G preferred stock, and all relevant taxes, including transfer taxes), related to the foregoing demand, S-3 or piggyback registration rights. 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attributable to them.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of Our Certificate of Incorporation and Bylaws and Delaware Anti-Takeover Law</w:t>
      </w:r>
    </w:p>
    <w:p>
      <w:pPr>
        <w:spacing w:after="0" w:line="228"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Our amended and restated certificate of incorporation and amended and restated bylaws will, immediately prior to the closing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composition and filling vacancies</w:t>
      </w:r>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In accordance with our amended and restated certificate of incorporation, our board of directors is divided into three classes serving staggered three year terms, with one class being elected each year. Our amended and restated certificate of incorporation also provides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directors may be removed only for cause and then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written consent of stockholders</w:t>
      </w:r>
    </w:p>
    <w:p>
      <w:pPr>
        <w:spacing w:after="0" w:line="224"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Meetings of stockholders</w:t>
      </w:r>
    </w:p>
    <w:p>
      <w:pPr>
        <w:spacing w:after="0" w:line="22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Our amended and restated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Advance notice requirements</w:t>
      </w:r>
    </w:p>
    <w:p>
      <w:pPr>
        <w:spacing w:after="0" w:line="224"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the amended and restated bylaws.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to bylaws and certificate of incorporation</w:t>
      </w:r>
    </w:p>
    <w:p>
      <w:pPr>
        <w:spacing w:after="0" w:line="224" w:lineRule="exact"/>
        <w:rPr>
          <w:sz w:val="20"/>
          <w:szCs w:val="20"/>
          <w:color w:val="auto"/>
        </w:rPr>
      </w:pPr>
    </w:p>
    <w:p>
      <w:pPr>
        <w:ind w:right="60" w:firstLine="332"/>
        <w:spacing w:after="0" w:line="293" w:lineRule="auto"/>
        <w:rPr>
          <w:sz w:val="20"/>
          <w:szCs w:val="20"/>
          <w:color w:val="auto"/>
        </w:rPr>
      </w:pPr>
      <w:r>
        <w:rPr>
          <w:rFonts w:ascii="Arial" w:cs="Arial" w:eastAsia="Arial" w:hAnsi="Arial"/>
          <w:sz w:val="15"/>
          <w:szCs w:val="15"/>
          <w:color w:val="auto"/>
        </w:rPr>
        <w:t>As required by the Delaware General Corporation Law,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bylaws and amended and</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restated certificate of incorporation must be approved by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entitled to vote on the amendment, and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of each class entitled to vote thereon as a class. Our bylaws may be amended by the affirmative vote of a majority vote of the directors then in</w:t>
      </w:r>
    </w:p>
    <w:p>
      <w:pPr>
        <w:spacing w:after="0" w:line="1" w:lineRule="exact"/>
        <w:rPr>
          <w:sz w:val="20"/>
          <w:szCs w:val="20"/>
          <w:color w:val="auto"/>
        </w:rPr>
      </w:pPr>
    </w:p>
    <w:p>
      <w:pPr>
        <w:jc w:val="both"/>
        <w:ind w:right="120"/>
        <w:spacing w:after="0" w:line="225" w:lineRule="auto"/>
        <w:rPr>
          <w:sz w:val="20"/>
          <w:szCs w:val="20"/>
          <w:color w:val="auto"/>
        </w:rPr>
      </w:pPr>
      <w:r>
        <w:rPr>
          <w:rFonts w:ascii="Arial" w:cs="Arial" w:eastAsia="Arial" w:hAnsi="Arial"/>
          <w:sz w:val="17"/>
          <w:szCs w:val="17"/>
          <w:color w:val="auto"/>
        </w:rPr>
        <w:t>office, subject to any limitations set forth in the bylaws; and may also be amended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Blank check preferred stock</w:t>
      </w:r>
    </w:p>
    <w:p>
      <w:pPr>
        <w:spacing w:after="0" w:line="224"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Upon the completion of this offering, our amended and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Choice of Forum</w:t>
      </w:r>
    </w:p>
    <w:p>
      <w:pPr>
        <w:spacing w:after="0" w:line="224"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fiduciary duty; (c) any action asserting a claim against us arising pursuant to the DGCL, our amended and restated certificate of incorporation or our amended or restated bylaws; or (d) any action asserting a claim against us that is governed by the internal affairs doctrine. However, several lawsuits involving other companies are currently pending challenging the validity of choice of forum provisions in certificates of incorporation, and it is possible that a court could rule that such provision is inapplicable or unenforceable.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the Delaware general corporation law</w:t>
      </w:r>
    </w:p>
    <w:p>
      <w:pPr>
        <w:spacing w:after="0" w:line="228"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203" w:lineRule="exact"/>
        <w:rPr>
          <w:sz w:val="20"/>
          <w:szCs w:val="20"/>
          <w:color w:val="auto"/>
        </w:rPr>
      </w:pPr>
    </w:p>
    <w:p>
      <w:pPr>
        <w:ind w:left="1060" w:right="440" w:hanging="531"/>
        <w:spacing w:after="0" w:line="28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00"/>
        <w:spacing w:after="0" w:line="282" w:lineRule="auto"/>
        <w:rPr>
          <w:sz w:val="20"/>
          <w:szCs w:val="20"/>
          <w:color w:val="auto"/>
        </w:rPr>
      </w:pPr>
      <w:r>
        <w:rPr>
          <w:rFonts w:ascii="Arial" w:cs="Arial" w:eastAsia="Arial" w:hAnsi="Arial"/>
          <w:sz w:val="17"/>
          <w:szCs w:val="17"/>
          <w:color w:val="auto"/>
        </w:rPr>
        <w:t>purposes of determining the voting stock outstanding, shares owned by persons who are directors and also officers, and employee stock plans, in some instances; or</w:t>
      </w:r>
    </w:p>
    <w:p>
      <w:pPr>
        <w:spacing w:after="0" w:line="183" w:lineRule="exact"/>
        <w:rPr>
          <w:sz w:val="20"/>
          <w:szCs w:val="20"/>
          <w:color w:val="auto"/>
        </w:rPr>
      </w:pPr>
    </w:p>
    <w:p>
      <w:pPr>
        <w:ind w:left="1060" w:right="80" w:hanging="531"/>
        <w:spacing w:after="0" w:line="270"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to be listed on the NASDAQ Global Market under the trading symbol "AAOI."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Continental Stock Transfer &amp; Trust will act as the transfer agent and registrar for our common stock. The transfer agent and registrar's address is 17 Battery Place,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10004.</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Before this offering, there was no public market for our common stock. Future sales of substantial amounts of common stock in the public market, or the perception that such sales may occur, could adversely affect the market price of our common stock. Although our common stock has been approved for quotation on the NASDAQ Global Market, we cannot assure you that there will be an active public market for our common stock.</w:t>
      </w:r>
    </w:p>
    <w:p>
      <w:pPr>
        <w:spacing w:after="0" w:line="179"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Upon completion of this offering, we will have outstanding an aggregate of 12,609,648 shares of common stock, assuming the issuance of the 3,600,000 shares of common stock offered in this offering and no other exercise of outstanding options or warrants, other than the automatic conversion of warrants that otherwise would expire upon the completion of this offering. Of these shares, all shares sold in this offering will be freely tradable without restriction or further registration under the Securities Act, except for any shares purchased by our "affiliates," as that term is defined in Rule 144(a) under the Securities Act, whose sales would be subject to certain limitations and restrictions described below.</w:t>
      </w:r>
    </w:p>
    <w:p>
      <w:pPr>
        <w:spacing w:after="0" w:line="187"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remaining 9,009,648 shares of common stock held by existing stockholders were issued and sold by us in reliance on exemptions from the registration requirements of the Securities Act. Of these shares, approximately 8.8 million shares will be subject to "lock-up" agreements with the underwriters or us described below on the effective date of this offering. On the effective date of this offering, there will be approximately 0.1 million shares that are not subject to lock-up agreements and are eligible for sale pursuant to Rule 144. Approximately 0.1 million additional shares may become eligible for resale pursuant to Rule 144 within the 180-day period following the completion of this offering. Upon expiration of the lock-up agreements 180 days after the effective date of this offering, approximately 8.8 million shares will become eligible for sale, subject to the limitations of Rule 144. In addition, holders of stock options could exercise such options and sell certain of the shares issued upon exercise as described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7"/>
              </w:rPr>
              <w:t>Shares eligible</w:t>
            </w:r>
          </w:p>
        </w:tc>
        <w:tc>
          <w:tcPr>
            <w:tcW w:w="22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15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Days or date after date of this prospectus</w:t>
            </w:r>
          </w:p>
        </w:tc>
        <w:tc>
          <w:tcPr>
            <w:tcW w:w="100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for sale</w:t>
            </w:r>
          </w:p>
        </w:tc>
        <w:tc>
          <w:tcPr>
            <w:tcW w:w="220" w:type="dxa"/>
            <w:vAlign w:val="bottom"/>
          </w:tcPr>
          <w:p>
            <w:pPr>
              <w:spacing w:after="0"/>
              <w:rPr>
                <w:sz w:val="13"/>
                <w:szCs w:val="13"/>
                <w:color w:val="auto"/>
              </w:rPr>
            </w:pPr>
          </w:p>
        </w:tc>
        <w:tc>
          <w:tcPr>
            <w:tcW w:w="3540" w:type="dxa"/>
            <w:vAlign w:val="bottom"/>
            <w:tcBorders>
              <w:bottom w:val="single" w:sz="8" w:color="auto"/>
            </w:tcBorders>
          </w:tcPr>
          <w:p>
            <w:pPr>
              <w:ind w:left="1500"/>
              <w:spacing w:after="0"/>
              <w:rPr>
                <w:sz w:val="20"/>
                <w:szCs w:val="20"/>
                <w:color w:val="auto"/>
              </w:rPr>
            </w:pPr>
            <w:r>
              <w:rPr>
                <w:rFonts w:ascii="Arial" w:cs="Arial" w:eastAsia="Arial" w:hAnsi="Arial"/>
                <w:sz w:val="13"/>
                <w:szCs w:val="13"/>
                <w:b w:val="1"/>
                <w:bCs w:val="1"/>
                <w:color w:val="auto"/>
              </w:rPr>
              <w:t>Comment</w:t>
            </w:r>
          </w:p>
        </w:tc>
      </w:tr>
      <w:tr>
        <w:trPr>
          <w:trHeight w:val="203"/>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Upon effectiveness</w:t>
            </w:r>
          </w:p>
        </w:tc>
        <w:tc>
          <w:tcPr>
            <w:tcW w:w="2600" w:type="dxa"/>
            <w:vAlign w:val="bottom"/>
            <w:gridSpan w:val="2"/>
            <w:shd w:val="clear" w:color="auto" w:fill="CCEEFF"/>
          </w:tcPr>
          <w:p>
            <w:pPr>
              <w:jc w:val="center"/>
              <w:ind w:left="915"/>
              <w:spacing w:after="0"/>
              <w:rPr>
                <w:sz w:val="20"/>
                <w:szCs w:val="20"/>
                <w:color w:val="auto"/>
              </w:rPr>
            </w:pPr>
            <w:r>
              <w:rPr>
                <w:rFonts w:ascii="Arial" w:cs="Arial" w:eastAsia="Arial" w:hAnsi="Arial"/>
                <w:sz w:val="17"/>
                <w:szCs w:val="17"/>
                <w:color w:val="auto"/>
                <w:w w:val="89"/>
              </w:rPr>
              <w:t>3,600,000</w:t>
            </w:r>
          </w:p>
        </w:tc>
        <w:tc>
          <w:tcPr>
            <w:tcW w:w="2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Shares sold in the offering</w:t>
            </w:r>
          </w:p>
        </w:tc>
      </w:tr>
      <w:tr>
        <w:trPr>
          <w:trHeight w:val="201"/>
        </w:trPr>
        <w:tc>
          <w:tcPr>
            <w:tcW w:w="2760" w:type="dxa"/>
            <w:vAlign w:val="bottom"/>
          </w:tcPr>
          <w:p>
            <w:pPr>
              <w:ind w:left="20"/>
              <w:spacing w:after="0"/>
              <w:rPr>
                <w:sz w:val="20"/>
                <w:szCs w:val="20"/>
                <w:color w:val="auto"/>
              </w:rPr>
            </w:pPr>
            <w:r>
              <w:rPr>
                <w:rFonts w:ascii="Arial" w:cs="Arial" w:eastAsia="Arial" w:hAnsi="Arial"/>
                <w:sz w:val="17"/>
                <w:szCs w:val="17"/>
                <w:color w:val="auto"/>
              </w:rPr>
              <w:t>Upon effectiveness</w:t>
            </w:r>
          </w:p>
        </w:tc>
        <w:tc>
          <w:tcPr>
            <w:tcW w:w="10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6"/>
              </w:rPr>
              <w:t>Approximately</w:t>
            </w:r>
          </w:p>
        </w:tc>
        <w:tc>
          <w:tcPr>
            <w:tcW w:w="2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Freely tradable shares that may be sold under</w:t>
            </w:r>
          </w:p>
        </w:tc>
      </w:tr>
      <w:tr>
        <w:trPr>
          <w:trHeight w:val="217"/>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9"/>
              </w:rPr>
              <w:t>0.1 million</w:t>
            </w:r>
          </w:p>
        </w:tc>
        <w:tc>
          <w:tcPr>
            <w:tcW w:w="2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Rule 144 and are not subject to the lock-up</w:t>
            </w:r>
          </w:p>
        </w:tc>
      </w:tr>
      <w:tr>
        <w:trPr>
          <w:trHeight w:val="202"/>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Between effectiveness and 180 days</w:t>
            </w:r>
          </w:p>
        </w:tc>
        <w:tc>
          <w:tcPr>
            <w:tcW w:w="10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Approximately</w:t>
            </w:r>
          </w:p>
        </w:tc>
        <w:tc>
          <w:tcPr>
            <w:tcW w:w="2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w w:val="94"/>
              </w:rPr>
              <w:t>Shares that may become eligible to be sold under</w:t>
            </w:r>
          </w:p>
        </w:tc>
      </w:tr>
      <w:tr>
        <w:trPr>
          <w:trHeight w:val="218"/>
        </w:trPr>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0.1 million</w:t>
            </w:r>
          </w:p>
        </w:tc>
        <w:tc>
          <w:tcPr>
            <w:tcW w:w="2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Rule 144 and are not subject to the lock-up</w:t>
            </w:r>
          </w:p>
        </w:tc>
      </w:tr>
      <w:tr>
        <w:trPr>
          <w:trHeight w:val="201"/>
        </w:trPr>
        <w:tc>
          <w:tcPr>
            <w:tcW w:w="2760" w:type="dxa"/>
            <w:vAlign w:val="bottom"/>
          </w:tcPr>
          <w:p>
            <w:pPr>
              <w:ind w:left="20"/>
              <w:spacing w:after="0"/>
              <w:rPr>
                <w:sz w:val="20"/>
                <w:szCs w:val="20"/>
                <w:color w:val="auto"/>
              </w:rPr>
            </w:pPr>
            <w:r>
              <w:rPr>
                <w:rFonts w:ascii="Arial" w:cs="Arial" w:eastAsia="Arial" w:hAnsi="Arial"/>
                <w:sz w:val="17"/>
                <w:szCs w:val="17"/>
                <w:color w:val="auto"/>
              </w:rPr>
              <w:t>180 days</w:t>
            </w:r>
          </w:p>
        </w:tc>
        <w:tc>
          <w:tcPr>
            <w:tcW w:w="10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6"/>
              </w:rPr>
              <w:t>Approximately</w:t>
            </w:r>
          </w:p>
        </w:tc>
        <w:tc>
          <w:tcPr>
            <w:tcW w:w="2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w w:val="89"/>
              </w:rPr>
              <w:t>Lock-ups released, subject to extension; shares that</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9"/>
              </w:rPr>
              <w:t>8.8 million</w:t>
            </w:r>
          </w:p>
        </w:tc>
        <w:tc>
          <w:tcPr>
            <w:tcW w:w="2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may be sold under Rule 144</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We, and all directors and officers, and holders of substantially all of our outstanding stock and stock options (including the selling stockholders) have agreed that, subject to certain exceptions, without the prior written consent of Raymond James and Piper Jaffray, as representatives on behalf of the underwriters, we and they will not, during the period ending 180 days after the date of the final prospectus relating to this offering, dispose any shares of our stock or options, warrants or other securities with respect to our stock, enter into any swap or other arrangement that transfers to another, in whole or in part, any of the economic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consequences of ownership of our common stock, or file or cause to be filed any registration statement with the Securities and Exchange Commission relating to the offering of any shares of common stock or any securities convertible into or exercisable or exchangeable for common stock (other than any registration statement on Form S-8). There are no agreements between Raymond James and Piper Jaffray, as representatives on behalf of the underwriters, our company and any of our securityholders or affiliates releasing them from these lock-up agreements prior to the expiration of the 180-day period.</w:t>
      </w:r>
    </w:p>
    <w:p>
      <w:pPr>
        <w:spacing w:after="0" w:line="169"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agreements do not contain any pre-established conditions to the waiver by Raymond James and Piper Jaffray on behalf of the underwriters of any terms of the lock-up agreements. Any determination to release shares subject to the lock-up agreements would be based on a number of factors at the time of the determination, including but not necessarily limited to the market price of the common stock, the liquidity of the trading market for the common stock, general market conditions, the number of shares proposed to be sold and the timing, purpose and terms of the proposed sale.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In general, under Rule 144 as currently in effect, beginning 90 days after the effective date of the registration statement of which this prospectus is a part, a person who is not our affiliate and has not been our affiliate at any time during the preceding 90 days and who is not a party to a lock-up agreement as described above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These sales of our common stock by any such person would be subject to the availability of current public information about us if the shares to be sold were beneficially owned by such person for less than one year.</w:t>
      </w:r>
    </w:p>
    <w:p>
      <w:pPr>
        <w:spacing w:after="0" w:line="159" w:lineRule="exact"/>
        <w:rPr>
          <w:sz w:val="20"/>
          <w:szCs w:val="20"/>
          <w:color w:val="auto"/>
        </w:rPr>
      </w:pPr>
    </w:p>
    <w:p>
      <w:pPr>
        <w:ind w:right="380" w:firstLine="341"/>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90 days; and</w:t>
      </w:r>
    </w:p>
    <w:p>
      <w:pPr>
        <w:spacing w:after="0" w:line="250" w:lineRule="exact"/>
        <w:rPr>
          <w:rFonts w:ascii="Arial" w:cs="Arial" w:eastAsia="Arial" w:hAnsi="Arial"/>
          <w:sz w:val="17"/>
          <w:szCs w:val="17"/>
          <w:color w:val="auto"/>
        </w:rPr>
      </w:pPr>
    </w:p>
    <w:p>
      <w:pPr>
        <w:ind w:left="1060" w:right="44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both"/>
        <w:ind w:right="180" w:firstLine="341"/>
        <w:spacing w:after="0" w:line="270" w:lineRule="auto"/>
        <w:rPr>
          <w:sz w:val="20"/>
          <w:szCs w:val="20"/>
          <w:color w:val="auto"/>
        </w:rPr>
      </w:pPr>
      <w:r>
        <w:rPr>
          <w:rFonts w:ascii="Arial" w:cs="Arial" w:eastAsia="Arial" w:hAnsi="Arial"/>
          <w:sz w:val="17"/>
          <w:szCs w:val="17"/>
          <w:color w:val="auto"/>
        </w:rPr>
        <w:t>Beginning 90 days after the date of this prospectus, subject to the lock-up agreements described above, our affiliates who have beneficially owned shares of our common stock for at least six months, including the holding period of any prior owner other than one of our affiliates, will be entitled to sell within any three-month period a number of shares that does not exceed the greater of:</w:t>
      </w:r>
    </w:p>
    <w:p>
      <w:pPr>
        <w:spacing w:after="0" w:line="192"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 outstanding, which will equal approximately 126,096 shares immediately after this offering; and</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Sales under Rule 144 by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Rule 701 of the Securities Act, as in effect on the date of this prospectus, permits resales of shares in reliance upon Rule 144 but without compliance with certain restrictions of Rule 144, including the holding period requirement. Most of our employees, executive officers, directors or consultants who purchased shares under a written compensatory plan or contract may be entitled to rely on the resale provisions of Rule 701, but all holders of Rule 701 shares are required to wait until 90 days after the date of this prospectus before selling their shares in reliance on Rule 701. All of the Rule 701 shares have either been held for more than twelve months and may immediately be subject to resale pursuant to Rule 144 or are subject to lock-up agreements as described under the heading "Underwriting" and will become eligible for sale at the expiration of those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28" w:lineRule="exact"/>
        <w:rPr>
          <w:sz w:val="20"/>
          <w:szCs w:val="20"/>
          <w:color w:val="auto"/>
        </w:rPr>
      </w:pPr>
    </w:p>
    <w:p>
      <w:pPr>
        <w:ind w:right="120" w:firstLine="338"/>
        <w:spacing w:after="0" w:line="26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applicable volume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Upon the closing of this offering, the holders of approximately 3.6 million shares of our common stock will be eligible to exercise certain rights with respect to the registration of such shares under the Securities Act, assuming that the underwriters' overallotment option is not exercised. See "Description of Capital Stock— Registration Rights." Upon the effectiveness of a registration statement covering these shares, such shares would become freely tradable.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TAX CONSIDERATIONS FOR NON-U.S. HOLDERS</w:t>
      </w:r>
    </w:p>
    <w:p>
      <w:pPr>
        <w:spacing w:after="0" w:line="228" w:lineRule="exact"/>
        <w:rPr>
          <w:sz w:val="20"/>
          <w:szCs w:val="20"/>
          <w:color w:val="auto"/>
        </w:rPr>
      </w:pPr>
    </w:p>
    <w:p>
      <w:pPr>
        <w:jc w:val="both"/>
        <w:ind w:right="420" w:firstLine="338"/>
        <w:spacing w:after="0" w:line="270" w:lineRule="auto"/>
        <w:rPr>
          <w:sz w:val="20"/>
          <w:szCs w:val="20"/>
          <w:color w:val="auto"/>
        </w:rPr>
      </w:pPr>
      <w:r>
        <w:rPr>
          <w:rFonts w:ascii="Arial" w:cs="Arial" w:eastAsia="Arial" w:hAnsi="Arial"/>
          <w:sz w:val="17"/>
          <w:szCs w:val="17"/>
          <w:color w:val="auto"/>
        </w:rPr>
        <w:t>This section summarizes the material U.S. federal income and estate tax consequences of the ownership and disposition of our common stock by a non-U.S. holder. For purposes of this summary, a "non-U.S. holder" is any beneficial owner that for U.S. federal income tax purposes is not a U.S. person. The term "U.S. person" means:</w:t>
      </w:r>
    </w:p>
    <w:p>
      <w:pPr>
        <w:spacing w:after="0" w:line="192"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250" w:lineRule="exact"/>
        <w:rPr>
          <w:rFonts w:ascii="Arial" w:cs="Arial" w:eastAsia="Arial" w:hAnsi="Arial"/>
          <w:sz w:val="17"/>
          <w:szCs w:val="17"/>
          <w:color w:val="auto"/>
        </w:rPr>
      </w:pPr>
    </w:p>
    <w:p>
      <w:pPr>
        <w:ind w:left="1060" w:right="480" w:hanging="531"/>
        <w:spacing w:after="0" w:line="28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corporation or entity treated as a corporation for U.S. federal income tax purposes, created or organized under the laws of the U.S. or any state, including the District of Columbia, or otherwise treated as such for U.S. federal income tax purposes;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source; or</w:t>
      </w:r>
    </w:p>
    <w:p>
      <w:pPr>
        <w:spacing w:after="0" w:line="237" w:lineRule="exact"/>
        <w:rPr>
          <w:rFonts w:ascii="Arial" w:cs="Arial" w:eastAsia="Arial" w:hAnsi="Arial"/>
          <w:sz w:val="17"/>
          <w:szCs w:val="17"/>
          <w:color w:val="auto"/>
        </w:rPr>
      </w:pPr>
    </w:p>
    <w:p>
      <w:pPr>
        <w:ind w:left="1060" w:right="360" w:hanging="531"/>
        <w:spacing w:after="0" w:line="27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court within the U.S. and which has one or more U.S. persons who have authority to control all substantive decisions of the trust or (ii) which has a valid election in effect under applicable U.S. Treasury regulations to be treated as a U.S. person.</w:t>
      </w:r>
    </w:p>
    <w:p>
      <w:pPr>
        <w:spacing w:after="0" w:line="179" w:lineRule="exact"/>
        <w:rPr>
          <w:sz w:val="20"/>
          <w:szCs w:val="20"/>
          <w:color w:val="auto"/>
        </w:rPr>
      </w:pPr>
    </w:p>
    <w:p>
      <w:pPr>
        <w:jc w:val="both"/>
        <w:ind w:right="20" w:firstLine="341"/>
        <w:spacing w:after="0" w:line="263" w:lineRule="auto"/>
        <w:rPr>
          <w:sz w:val="20"/>
          <w:szCs w:val="20"/>
          <w:color w:val="auto"/>
        </w:rPr>
      </w:pPr>
      <w:r>
        <w:rPr>
          <w:rFonts w:ascii="Arial" w:cs="Arial" w:eastAsia="Arial" w:hAnsi="Arial"/>
          <w:sz w:val="17"/>
          <w:szCs w:val="17"/>
          <w:color w:val="auto"/>
        </w:rPr>
        <w:t>Generally, an individual may be treated as a resident of the U.S. in any calendar year for U.S. federal income tax purposes by, among other ways, being present in the U.S. for at least 31 days in that calendar year and for an aggregate of at least 183 days during a three-year period ending in the current calendar year. For purposes of this calculation, such individual would count all of the days in which the individual was present in the current year, one-third of the days present in the immediately preceding year, and one-sixth of the days present in the second preceding year. Residents are taxed for U.S. federal income tax purposes as if they were citizens of the U.S.</w:t>
      </w:r>
    </w:p>
    <w:p>
      <w:pPr>
        <w:spacing w:after="0" w:line="187" w:lineRule="exact"/>
        <w:rPr>
          <w:sz w:val="20"/>
          <w:szCs w:val="20"/>
          <w:color w:val="auto"/>
        </w:rPr>
      </w:pPr>
    </w:p>
    <w:p>
      <w:pPr>
        <w:ind w:firstLine="338"/>
        <w:spacing w:after="0" w:line="283" w:lineRule="auto"/>
        <w:rPr>
          <w:sz w:val="20"/>
          <w:szCs w:val="20"/>
          <w:color w:val="auto"/>
        </w:rPr>
      </w:pPr>
      <w:r>
        <w:rPr>
          <w:rFonts w:ascii="Arial" w:cs="Arial" w:eastAsia="Arial" w:hAnsi="Arial"/>
          <w:sz w:val="16"/>
          <w:szCs w:val="16"/>
          <w:color w:val="auto"/>
        </w:rPr>
        <w:t>This summary does not consider the tax consequences for partnerships, entities classified as a partnership for U.S. federal income tax purposes, or persons who hold their interests through a partnership or other entity classified as a partnership for U.S. federal income tax purposes. If a partnership, including any entity treated as a partnership for U.S. federal income tax purposes, is a beneficial owner of common stock, the tax treatment of a partner in the partnership will depend upon the status of the partner and the activities of the partnership. Partnerships that are beneficial owners of our common stock, and partners in such partnerships, should consult their tax advisors regarding the tax consequences to them of the ownership and disposition of our common stock.</w:t>
      </w:r>
    </w:p>
    <w:p>
      <w:pPr>
        <w:spacing w:after="0" w:line="174"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color w:val="auto"/>
        </w:rPr>
        <w:t>This summary applies only to non-U.S. holders who acquire our common stock pursuant to this offering and who hold our common stock as a capital asset (generally property held for investment). This summary generally does not address tax considerations that may be relevant to particular investors because of their specific circumstances, or because they are subject to special rules. Certain former U.S. citizens or long-term residents, controlled foreign corporations, passive foreign investment companies, corporations that accumulate earnings to avoid U.S. federal income tax, life insurance companies, tax-exempt organizations, dealers in securities or currencies, brokers, banks or other financial institutions, certain trusts, hybrid entities, pension funds and investors that hold our common stock as part of a hedge, straddle or conversion transaction are among those categories of potential investors that are subject to special rules not covered in this discussion. This summary does not address any U.S. federal gift tax consequences, or state or local or non-U.S. tax consequences. This summary does not provide a complete analysis of all potential tax considerations. The information provided below is based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on existing authorities. These authorities may change, or the Internal Revenue Service, or IRS, might interpret the existing authorities differently. In either case, the tax considerations of owning or disposing of common stock could differ from those described below.</w:t>
      </w:r>
    </w:p>
    <w:p>
      <w:pPr>
        <w:spacing w:after="0" w:line="170" w:lineRule="exact"/>
        <w:rPr>
          <w:sz w:val="20"/>
          <w:szCs w:val="20"/>
          <w:color w:val="auto"/>
        </w:rPr>
      </w:pPr>
    </w:p>
    <w:p>
      <w:pPr>
        <w:ind w:right="500" w:firstLine="341"/>
        <w:spacing w:after="0" w:line="270" w:lineRule="auto"/>
        <w:rPr>
          <w:sz w:val="20"/>
          <w:szCs w:val="20"/>
          <w:color w:val="auto"/>
        </w:rPr>
      </w:pPr>
      <w:r>
        <w:rPr>
          <w:rFonts w:ascii="Arial" w:cs="Arial" w:eastAsia="Arial" w:hAnsi="Arial"/>
          <w:sz w:val="17"/>
          <w:szCs w:val="17"/>
          <w:color w:val="auto"/>
        </w:rPr>
        <w:t>INVESTORS CONSIDERING THE PURCHASE OF COMMON STOCK SHOULD CONSULT THEIR OWN TAX ADVISORS REGARDING THE APPLICATION OF THE U.S. FEDERAL INCOME AND ESTATE TAX LAWS TO THEIR PARTICULAR SITUATIONS AND THE CONSEQUENCES OF OTHER U.S. FEDERAL, STATE, OR LOCAL OR NON-U.S. LAWS AND ANY APPLICABLE TAX TREATIES.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8"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Payments of cash and other property that we make to our shareholders with respect to our common stock will constitute dividends to the extent paid from our current or accumulated earnings and profits, as determined under U.S. federal income tax principles. To the extent those dividends exceed our current and accumulated earnings and profits, the dividends will constitute a return of capital and will first reduce a holder's basis, but not below zero, and then will be treated as gain from the sale of stock.</w:t>
      </w:r>
    </w:p>
    <w:p>
      <w:pPr>
        <w:spacing w:after="0" w:line="185"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gross amount of any dividend (out of earnings and profits) paid to a non-U.S. holder of common stock generally will be subject to U.S. withholding tax at a rate of 30% unless the holder is entitled to an exemption from or reduced rate of withholding under an applicable income tax treaty. In order to receive an exemption or a reduced treaty rate, prior to the payment of a dividend, a non-U.S. holder must provide us with an IRS Form W-8BEN (or successor form) certifying qualification for the exemption or reduced rate.</w:t>
      </w:r>
    </w:p>
    <w:p>
      <w:pPr>
        <w:spacing w:after="0" w:line="185"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Dividends received by a non-U.S. holder that are effectively connected with a U.S. trade or business conducted by the non-U.S. holder (and dividends attributable to a non-U.S. holder's permanent establishment in the U.S. if an income tax treaty applies) are exempt from this withholding tax. To obtain this exemption, prior to the payment of a dividend, a non-U.S. holder must provide us with an IRS Form W-8ECI (or successor form) properly certifying this exemption. Effectively connected dividends (or dividends attributable to a permanent establishment in the U.S. if an income tax treaty applies), although not subject to withholding tax, are taxed at the same graduated rates applicable to U.S. persons, net of certain deductions and credits. In addition, dividends received by a corporate non-U.S. holder that are effectively connected with a U.S. trade or business of the corporate non-U.S. holder (or dividends attributable to a corporate non-U.S. holder's permanent establishment in the U.S. if an income tax treaty applies) may also be subject to a branch profits tax at a rate of 30% (or such lower rate as may be specified by an applicable income tax treaty).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non-U.S. holder who provides us with an IRS Form W-8BEN or an IRS Form W-8ECI will be required to periodically update such form.</w:t>
      </w:r>
    </w:p>
    <w:p>
      <w:pPr>
        <w:spacing w:after="0" w:line="224" w:lineRule="exact"/>
        <w:rPr>
          <w:sz w:val="20"/>
          <w:szCs w:val="20"/>
          <w:color w:val="auto"/>
        </w:rPr>
      </w:pPr>
    </w:p>
    <w:p>
      <w:pPr>
        <w:ind w:right="460" w:firstLine="332"/>
        <w:spacing w:after="0" w:line="282" w:lineRule="auto"/>
        <w:rPr>
          <w:sz w:val="20"/>
          <w:szCs w:val="20"/>
          <w:color w:val="auto"/>
        </w:rPr>
      </w:pPr>
      <w:r>
        <w:rPr>
          <w:rFonts w:ascii="Arial" w:cs="Arial" w:eastAsia="Arial" w:hAnsi="Arial"/>
          <w:sz w:val="17"/>
          <w:szCs w:val="17"/>
          <w:color w:val="auto"/>
        </w:rPr>
        <w:t>A non-U.S. holder of common stock that is eligible for a reduced rate of withholding tax pursuant to an income tax treaty may obtain a refund of any excess amounts currently withheld if an appropriate claim for refund is timely filed with the IRS.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right="380" w:firstLine="332"/>
        <w:spacing w:after="0" w:line="282" w:lineRule="auto"/>
        <w:rPr>
          <w:sz w:val="20"/>
          <w:szCs w:val="20"/>
          <w:color w:val="auto"/>
        </w:rPr>
      </w:pPr>
      <w:r>
        <w:rPr>
          <w:rFonts w:ascii="Arial" w:cs="Arial" w:eastAsia="Arial" w:hAnsi="Arial"/>
          <w:sz w:val="17"/>
          <w:szCs w:val="17"/>
          <w:color w:val="auto"/>
        </w:rPr>
        <w:t>A non-U.S. holder will generally not be subject to U.S. federal income tax on any gains realized on the sale, exchange or other disposition of common stock unless:</w:t>
      </w:r>
    </w:p>
    <w:p>
      <w:pPr>
        <w:spacing w:after="0" w:line="183" w:lineRule="exact"/>
        <w:rPr>
          <w:sz w:val="20"/>
          <w:szCs w:val="20"/>
          <w:color w:val="auto"/>
        </w:rPr>
      </w:pPr>
    </w:p>
    <w:p>
      <w:pPr>
        <w:ind w:left="1060" w:right="120" w:hanging="531"/>
        <w:spacing w:after="0" w:line="265"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gain is effectively connected with a U.S. trade or business of the non-U.S. holder (or attributable to a permanent establishment in the U.S. if an income tax treaty applies), in which case the non-U.S. holder generally will be required to pay tax on the net gain derived from the sale under regular graduated U.S. federal income tax rates and, if the non-U.S. holder is a corporation, the branch profits tax may apply, at a 30% rate or such lower rate as may be specified by an applicable income tax treaty;</w:t>
      </w:r>
    </w:p>
    <w:p>
      <w:pPr>
        <w:spacing w:after="0" w:line="211" w:lineRule="exact"/>
        <w:rPr>
          <w:rFonts w:ascii="Arial" w:cs="Arial" w:eastAsia="Arial" w:hAnsi="Arial"/>
          <w:sz w:val="17"/>
          <w:szCs w:val="17"/>
          <w:color w:val="auto"/>
        </w:rPr>
      </w:pPr>
    </w:p>
    <w:p>
      <w:pPr>
        <w:ind w:left="1060" w:right="100" w:hanging="531"/>
        <w:spacing w:after="0" w:line="263"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a period or periods aggregating 183 days or more during the calendar year in which the sale or disposition occurs and certain other conditions are met, in which case the non-U.S. holder will be required to pay a flat 30% tax (or such lower rate as may be specified by an applicable income tax treaty between the U.S. and such non-U.S. holder's country of residence) on the net gain derived from the disposition, which tax may be offset by U.S. source capital losses, if any, provided that the non-U.S. holder has timely filed U.S. federal income tax returns with respect to such losses; or</w:t>
      </w:r>
    </w:p>
    <w:p>
      <w:pPr>
        <w:spacing w:after="0" w:line="200" w:lineRule="exact"/>
        <w:rPr>
          <w:rFonts w:ascii="Arial" w:cs="Arial" w:eastAsia="Arial" w:hAnsi="Arial"/>
          <w:sz w:val="17"/>
          <w:szCs w:val="17"/>
          <w:color w:val="auto"/>
        </w:rPr>
      </w:pPr>
    </w:p>
    <w:p>
      <w:pPr>
        <w:ind w:left="1060" w:hanging="531"/>
        <w:spacing w:after="0" w:line="322" w:lineRule="auto"/>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by reason of our status as a "U.S. real property holding corporation" for U.S. federal income tax purposes at any time within the shorter of the five-year period preceding the disposition or the holder's holding period for our common stock. We believe that we are not currently, and we are not likely to become, a "U.S. real property holding corporation" for U.S. federal income tax purposes.</w:t>
      </w:r>
    </w:p>
    <w:p>
      <w:pPr>
        <w:spacing w:after="0" w:line="145"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If we become a U.S. real property holding corporation after this offering, so long as our common stock is regularly traded on an established securities market and continues to be so traded, a non-U.S. holder will not be subject to U.S. federal income tax on gain recognized from the sale, exchange or other disposition of shares of our common stock as a result of such status unless (i) such holder actually or constructively owned more than 5% of our common stock at any time during the shorter of (A) the five-year period preceding the disposition, or (B) the holder's holding period for our common stock, and (ii) we were a U.S. real property holding corporation at any time during such period when the more than 5% ownership test was met. If any gain on your disposition is taxable because we are a U.S. real property holding corporation and your ownership of our common stock exceeds 5%, you will be taxed on such disposition generally in the manner applicable to U.S. persons. Any such non-U.S. holder that owns or has owned, actually or constructively, more than 5% of our common stock is urged to consult that holder's own tax advisor with respect to the particular tax consequences to such holder for the gain from the sale, exchange or other disposition of shares of our common stock if we were to be or to become a U.S. real property holding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right="280" w:firstLine="341"/>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the name and address of the recipient, and the amount, if any, of tax withheld. A similar report is sent to the recipient. Pursuant to tax treaties or other agreements, the IRS may make its reports available to tax authorities in the non-U.S. holder's country of residence.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additional information reporting and backup withholding. Backup withholding will not apply if the non-U.S. holder establishes an exemption, for example, by properly certifying its non-U.S. person status on an IRS Form W-8BEN (or successor form). Notwithstanding the foregoing, backup withholding may apply if either we or our paying agent has actual knowledge, or reason to know, that the holder is a U.S. person.</w:t>
      </w:r>
    </w:p>
    <w:p>
      <w:pPr>
        <w:spacing w:after="0" w:line="185"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credit or refund may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Legislation Relating to Foreign Accounts</w:t>
      </w:r>
    </w:p>
    <w:p>
      <w:pPr>
        <w:spacing w:after="0" w:line="228"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Under legislation enacted in 2010, a 30% U.S. federal withholding tax will be imposed on dividends on stock of U.S. corporations, and on the gross proceeds from the disposition of such stock, paid to a "foreign financial institution" (as specially defined for this purpose), unless such institution enters into an agreement with the U.S. Treasury to collect and provide to the U.S. Treasury substantial information regarding its U.S. account holders and certain account holders that are foreign entities with U.S. owners. A 30% U.S. federal withholding tax will also apply to dividends paid on stock of U.S. corporations and on the gross proceeds from the disposition of such stock paid to a non-financial foreign entity unless such entity provides the withholding agent with a certification that it does not have any substantial U.S. owners or a certification identifying the direct and indirect substantial U.S. owners of the entity. The withholding taxes described above generally will apply to dividend payments made after December 31, 2013 and payments of gross proceeds made after December 31, 2016. Under certain circumstances, a non-U.S. holder may be eligible for refunds or credits of such withholding taxes. Investors are urged to consult with their own tax advisors regarding the possible application of these rules to their investment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estates of nonresident alien individuals are generally subject to U.S. federal estate tax on property with a U.S. situs. Because we are a U.S. corporation, our common stock will be U.S. situs property and therefore will be included in the taxable estate of a nonresident alien decedent. The U.S. federal estate tax liability of the estate of a nonresident alien may be affected by a tax treaty between the U.S. and the decedent's country of residence.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jc w:val="both"/>
        <w:ind w:right="180" w:firstLine="341"/>
        <w:spacing w:after="0" w:line="322" w:lineRule="auto"/>
        <w:rPr>
          <w:sz w:val="20"/>
          <w:szCs w:val="20"/>
          <w:color w:val="auto"/>
        </w:rPr>
      </w:pPr>
      <w:r>
        <w:rPr>
          <w:rFonts w:ascii="Arial" w:cs="Arial" w:eastAsia="Arial" w:hAnsi="Arial"/>
          <w:sz w:val="15"/>
          <w:szCs w:val="15"/>
          <w:color w:val="auto"/>
        </w:rPr>
        <w:t>Raymond James &amp; Associates, Inc. and Piper Jaffray &amp; Co. are acting as representatives of each of the underwriters named below. Subject to the conditions set forth in an underwriting agreement among us, the selling stockholders and the underwriters, we have agreed to sell to the underwriters, and each of the underwriters has agreed, severally and not jointly, to purchase from us the number of shares of our common stock set forth opposite its name below:</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57"/>
        </w:trPr>
        <w:tc>
          <w:tcPr>
            <w:tcW w:w="696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Raymond James &amp; Associates, Inc.</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Piper Jaffray &amp; Co.</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Cowen and Company, LLC</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7"/>
                <w:szCs w:val="17"/>
                <w:color w:val="auto"/>
              </w:rPr>
              <w:t>Roth Capital Partners, LLC</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38"/>
        <w:spacing w:after="0" w:line="262"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88"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 and part to certain dealers at that price less a concession not in excess of $ per share. After the initial offering of the shares of common stock, the offering price and other selling terms may be changed by the underwriters. Sales of shares made outside of the U.S. may be made by affiliates of the underwriters.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 of Common Stock</w:t>
      </w:r>
    </w:p>
    <w:p>
      <w:pPr>
        <w:spacing w:after="0" w:line="228" w:lineRule="exact"/>
        <w:rPr>
          <w:sz w:val="20"/>
          <w:szCs w:val="20"/>
          <w:color w:val="auto"/>
        </w:rPr>
      </w:pPr>
    </w:p>
    <w:p>
      <w:pPr>
        <w:ind w:right="40" w:firstLine="338"/>
        <w:spacing w:after="0" w:line="281" w:lineRule="auto"/>
        <w:rPr>
          <w:sz w:val="20"/>
          <w:szCs w:val="20"/>
          <w:color w:val="auto"/>
        </w:rPr>
      </w:pPr>
      <w:r>
        <w:rPr>
          <w:rFonts w:ascii="Arial" w:cs="Arial" w:eastAsia="Arial" w:hAnsi="Arial"/>
          <w:sz w:val="16"/>
          <w:szCs w:val="16"/>
          <w:color w:val="auto"/>
        </w:rPr>
        <w:t>The selling stockholders have granted the underwriters an option, exercisable for 30 days from the date of this prospectus, to purchase up to 540,000 additional shares of common stock at the public offering price listed on the cover page of this prospectus, less underwriting discounts and commissions.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 The underwriters may exercise this option solely for the purpose of covering over-allotments, if any, made in connection with the offering of the shares of common stock offered by this prospectus.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and Expenses</w:t>
      </w:r>
    </w:p>
    <w:p>
      <w:pPr>
        <w:spacing w:after="0" w:line="228" w:lineRule="exact"/>
        <w:rPr>
          <w:sz w:val="20"/>
          <w:szCs w:val="20"/>
          <w:color w:val="auto"/>
        </w:rPr>
      </w:pPr>
    </w:p>
    <w:p>
      <w:pPr>
        <w:ind w:right="340" w:firstLine="338"/>
        <w:spacing w:after="0" w:line="270"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shares of common stock.</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57"/>
        </w:trPr>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No Exercise</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Full Exercise</w:t>
            </w:r>
          </w:p>
        </w:tc>
      </w:tr>
      <w:tr>
        <w:trPr>
          <w:trHeight w:val="203"/>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420" w:type="dxa"/>
            <w:vAlign w:val="bottom"/>
            <w:gridSpan w:val="2"/>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r>
      <w:tr>
        <w:trPr>
          <w:trHeight w:val="210"/>
        </w:trPr>
        <w:tc>
          <w:tcPr>
            <w:tcW w:w="4580" w:type="dxa"/>
            <w:vAlign w:val="bottom"/>
          </w:tcPr>
          <w:p>
            <w:pPr>
              <w:spacing w:after="0"/>
              <w:rPr>
                <w:sz w:val="20"/>
                <w:szCs w:val="20"/>
                <w:color w:val="auto"/>
              </w:rPr>
            </w:pPr>
            <w:r>
              <w:rPr>
                <w:rFonts w:ascii="Arial" w:cs="Arial" w:eastAsia="Arial" w:hAnsi="Arial"/>
                <w:sz w:val="17"/>
                <w:szCs w:val="17"/>
                <w:color w:val="auto"/>
              </w:rPr>
              <w:t>Underwriting discounts and commissions to be paid by:</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7"/>
                <w:szCs w:val="17"/>
                <w:color w:val="auto"/>
              </w:rPr>
              <w:t>The selling stockholders</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7"/>
                <w:szCs w:val="17"/>
                <w:color w:val="auto"/>
              </w:rPr>
              <w:t>Proceeds, before expenses, to selling stockholders</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95" w:lineRule="exact"/>
        <w:rPr>
          <w:sz w:val="20"/>
          <w:szCs w:val="20"/>
          <w:color w:val="auto"/>
        </w:rPr>
      </w:pPr>
    </w:p>
    <w:p>
      <w:pPr>
        <w:ind w:right="320" w:firstLine="338"/>
        <w:spacing w:after="0" w:line="352" w:lineRule="auto"/>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$2.7 million. We have agreed to reimburse the underwriters for certain fees and expenses of the underwriters' legal counsel, up to $25,000, which includes FINRA-related fees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Subject to specified exceptions, we and all directors and officers, and holders of substantially all of our outstanding stock and stock options (including the selling stockholders) have agreed that, subject to certain exceptions, without the prior written consent of Raymond James and Piper Jaffray as representatives on behalf of the underwriters, we and they will not, during the period ending 180 days after the date of the final prospectus relating to this offering:</w:t>
      </w:r>
    </w:p>
    <w:p>
      <w:pPr>
        <w:spacing w:after="0" w:line="176" w:lineRule="exact"/>
        <w:rPr>
          <w:sz w:val="20"/>
          <w:szCs w:val="20"/>
          <w:color w:val="auto"/>
        </w:rPr>
      </w:pPr>
    </w:p>
    <w:p>
      <w:pPr>
        <w:ind w:left="1060" w:right="140" w:hanging="531"/>
        <w:spacing w:after="0" w:line="270"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contract to purchase or purchase any option or contract to sell, grant any option, right or warrant, lend, make any short sale or otherwise transfer or dispose of, directly or indirectly, any shares of our stock or options, warrants or other securities with respect to our stock;</w:t>
      </w:r>
    </w:p>
    <w:p>
      <w:pPr>
        <w:spacing w:after="0" w:line="205"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our common stock; or</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file or cause to be filed any registration statement with the Securities and Exchange Commission relating to the offering of any shares of common stock or any securities convertible into or exercisable or exchangeable for common stock (other than any registration statement on Form S-8).</w:t>
      </w:r>
    </w:p>
    <w:p>
      <w:pPr>
        <w:spacing w:after="0" w:line="146"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preceding restrictions apply without regard to whether any such transaction described above is to be settled by delivery of common stock or other securities, in cash or otherwise.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addition, we and each such person agree that, without the prior written consent of the representatives, we and each such person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237"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sale of shares to the underwriters pursuant to the underwriting agreement;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grant or exercise of options pursuant to our existing stock option plans;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common stock as a bona fide gift;</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common stock by will or intestate succession or to any trust for the direct or indirect benefit of the stockholder or immediate family of the stockholder; or</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establishment of a trading plan designed to comply with Rule 10b5-1(c) under the Exchange Act for the transfer of shares of common stock;</w:t>
      </w:r>
    </w:p>
    <w:p>
      <w:pPr>
        <w:spacing w:after="0" w:line="236"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provided that in the case of any transfer or distribution as described in the second, third or fourth bullet points above, (i) each recipient or transferee agrees to be subject to the restrictions described in the immediately preceding paragraph, and (ii) no public announcement or filing under the Exchange Act with respect to such transfer shall be required or voluntarily made during the restricted period under Section 16(a) of the Exchange Act reporting a reduction in beneficial ownership of shares of common stock (other than a filing on a Form 5, Schedule 13D or Schedule 13G (or 13D/A or 13G/A) made after the expiration of the restricted period referred to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180 day restricted period described in the preceding paragraph will be extended if, during any period that we are not an emerging growth company:</w:t>
      </w:r>
    </w:p>
    <w:p>
      <w:pPr>
        <w:spacing w:after="0" w:line="249"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during the last 17 days of the 180 day restricted period we issue an earnings release or material news event relating to us occurs, or</w:t>
      </w:r>
    </w:p>
    <w:p>
      <w:pPr>
        <w:spacing w:after="0" w:line="237" w:lineRule="exact"/>
        <w:rPr>
          <w:rFonts w:ascii="Arial" w:cs="Arial" w:eastAsia="Arial" w:hAnsi="Arial"/>
          <w:sz w:val="17"/>
          <w:szCs w:val="17"/>
          <w:color w:val="auto"/>
        </w:rPr>
      </w:pPr>
    </w:p>
    <w:p>
      <w:pPr>
        <w:ind w:left="1060" w:right="40" w:hanging="531"/>
        <w:spacing w:after="0" w:line="294"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prior to the expiration of the 180 day restricted period, we announce that we will release earnings results during the 16-day period beginning on the last day of the 180 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28"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Until this offering is completed, rules of the SEC may limit the ability of the underwriters and various selling group members to bid for and purchase the shares of our common stock. As an exception to these rules and in accordance with Regulation M under the Exchange Act, the underwriters may engage in activities that stabilize, maintain or otherwise affect the price of our common stock in order to facilitate the offering of the common stock, including: short sales; syndicate covering transactions; imposition of penalty bids; and purchases to cover positions created by short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Stabilizing transactions may include making short sales of shares of our common stock, which involve the sale by the underwriters of a greater number of shares than it is required to purchase in this offering and purchasing shares of common stock from us by exercising the over-allotment option or in the open market to cover positions created by short sales. Short sales may be "covered" shorts, which are short positions in an amount not greater than the underwriters' over-allotment option referred to above, or may be "naked" shorts, which are short positions in excess of that amount.</w:t>
      </w:r>
    </w:p>
    <w:p>
      <w:pPr>
        <w:spacing w:after="0" w:line="169"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Each underwriter may close out any covered short position either by exercising its over-allotment option, in whole or in part, or by purchasing shares of common stock in the open market after the distribution has been completed. In making this determination, each underwriter will consider, among other things, the price of shares of our common stock available for purchase in the open market compared to the price at which the underwriter may purchase shares of our common stock pursuant to the over-allotment option.</w:t>
      </w:r>
    </w:p>
    <w:p>
      <w:pPr>
        <w:spacing w:after="0" w:line="185" w:lineRule="exact"/>
        <w:rPr>
          <w:sz w:val="20"/>
          <w:szCs w:val="20"/>
          <w:color w:val="auto"/>
        </w:rPr>
      </w:pPr>
    </w:p>
    <w:p>
      <w:pPr>
        <w:ind w:right="80" w:firstLine="332"/>
        <w:spacing w:after="0" w:line="294" w:lineRule="auto"/>
        <w:rPr>
          <w:sz w:val="20"/>
          <w:szCs w:val="20"/>
          <w:color w:val="auto"/>
        </w:rPr>
      </w:pPr>
      <w:r>
        <w:rPr>
          <w:rFonts w:ascii="Arial" w:cs="Arial" w:eastAsia="Arial" w:hAnsi="Arial"/>
          <w:sz w:val="16"/>
          <w:szCs w:val="16"/>
          <w:color w:val="auto"/>
        </w:rPr>
        <w:t>A naked short position is more likely to be created if the underwriters are concerned that there may be downward pressure on the price of shares of our common stock in the open market after pricing that could adversely affect investors who purchased in this offering. To the extent that the underwriters create a naked short position, they will purchase shares of our common stock in the open market to cover the position after the pricing of this offering.</w:t>
      </w:r>
    </w:p>
    <w:p>
      <w:pPr>
        <w:spacing w:after="0" w:line="163"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underwriters also may impose a penalty bid on selling group members. This means that if the underwriters purchase shares of our common stock in the open market in stabilizing transactions or to cover short sales, the underwriters can require the selling group members that sold those shares as part of this offering to repay the selling concession received by them.</w:t>
      </w:r>
    </w:p>
    <w:p>
      <w:pPr>
        <w:spacing w:after="0" w:line="179"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As a result of these activities, the price of shares of our common stock may be higher than the price that otherwise might exist in the open market. If the underwriters commence these activities, they may discontinue them without notice at any time. The underwriters may carry out these transactions on the NASDAQ Global Market or otherwise.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are not required to engage in these activities and may end any of these activities at any time.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Relationships</w:t>
      </w:r>
    </w:p>
    <w:p>
      <w:pPr>
        <w:spacing w:after="0" w:line="228"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Certain of the underwriters and their affiliates may provide from time to time in the future certain commercial banking, financial advisory, investment banking and other services for us and such affiliates, and for the selling stockholders and their affiliates, in the ordinary course of their business, for which they will receive customary fees and commissions, as applicable, and reimbursement for out-of-pocket expenses.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Discretionary Accounts</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underwriters may confirm sales of the common stock offered by this prospectus to accounts over which they exercise discretionary authority but do not expect those sales to exceed 5% of the total number of shares of common stock offered by this prospectus.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Shares Program</w:t>
      </w:r>
    </w:p>
    <w:p>
      <w:pPr>
        <w:spacing w:after="0" w:line="228" w:lineRule="exact"/>
        <w:rPr>
          <w:sz w:val="20"/>
          <w:szCs w:val="20"/>
          <w:color w:val="auto"/>
        </w:rPr>
      </w:pPr>
    </w:p>
    <w:p>
      <w:pPr>
        <w:ind w:right="80" w:firstLine="332"/>
        <w:spacing w:after="0" w:line="278" w:lineRule="auto"/>
        <w:rPr>
          <w:sz w:val="20"/>
          <w:szCs w:val="20"/>
          <w:color w:val="auto"/>
        </w:rPr>
      </w:pPr>
      <w:r>
        <w:rPr>
          <w:rFonts w:ascii="Arial" w:cs="Arial" w:eastAsia="Arial" w:hAnsi="Arial"/>
          <w:sz w:val="16"/>
          <w:szCs w:val="16"/>
          <w:color w:val="auto"/>
        </w:rPr>
        <w:t>At our request, the underwriters have reserved up to 10% of the shares of common stock being offered by this prospectus (excluding the shares of common stock that may be sold upon the underwriters' exercise of their over-allotment option to purchase additional shares of common stock) for sale at the initial public offering price to our directors, officers, employees, business associates and other related persons. The sales will be made by Raymond James &amp; Associates, Inc. through a directed shares program. It is not certain if these persons will choose to purchase all or any portion of these reserved shares, but any purchases they make will reduce the number of shares of common stock available for sale to the general public. Any reserved shares of common stock not so purchased will be offered by the underwriters to the general public on the same basis as the other shares of common stock offered by this prospectus. The individuals eligible to participate in the directed shares program must commit to purchase no later than before the opening of business on the day following the date of this prospectus. We and the selling stockholders have agreed to indemnify Raymond James &amp; Associates, Inc. and the underwriters against certain liabilities and expenses in connection with the directed shares program, including liabilities under the Securities Act in connection with the sale of the reserved shares and for the failure of any participant to pay for its shares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to be listed on the NASDAQ Global Market under the symbol "AAOI."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Initial Offering Price</w:t>
      </w:r>
    </w:p>
    <w:p>
      <w:pPr>
        <w:spacing w:after="0" w:line="228"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Consequently, the initial public offering price will be determined by negotiations between us and the representatives. Among the factors considered in determining the initial public offering price will be our future prospects and those of our industry in general, our sales, earnings and certain other financial and operating information in recent periods,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Prospectus</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 prospectus in electronic format may be available on the Internet sites or through other online services maintained by one or more of the underwriters and selling group members participating in this offering, or by their affiliates. In those cases, prospective investors may view offering terms online and, depending upon the underwriter or the selling group member, prospective investors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w:t>
      </w:r>
    </w:p>
    <w:p>
      <w:pPr>
        <w:spacing w:after="0" w:line="187" w:lineRule="exact"/>
        <w:rPr>
          <w:sz w:val="20"/>
          <w:szCs w:val="20"/>
          <w:color w:val="auto"/>
        </w:rPr>
      </w:pPr>
    </w:p>
    <w:p>
      <w:pPr>
        <w:jc w:val="both"/>
        <w:ind w:right="100" w:firstLine="341"/>
        <w:spacing w:after="0" w:line="265" w:lineRule="auto"/>
        <w:rPr>
          <w:sz w:val="20"/>
          <w:szCs w:val="20"/>
          <w:color w:val="auto"/>
        </w:rPr>
      </w:pPr>
      <w:r>
        <w:rPr>
          <w:rFonts w:ascii="Arial" w:cs="Arial" w:eastAsia="Arial" w:hAnsi="Arial"/>
          <w:sz w:val="17"/>
          <w:szCs w:val="17"/>
          <w:color w:val="auto"/>
        </w:rPr>
        <w:t>Other than the prospectus in electronic format, the information on any underwriter's or any selling group member's website and any information contained in any other website maintained by the underwriters or any selling group member is not part of this prospectus or the registration statement of which this prospectus forms a part, has not been approved or endorsed by us or any underwriters or any selling group member in its capacity as underwriter or selling group member and should not be relied upon by investors.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right="100" w:firstLine="341"/>
        <w:spacing w:after="0" w:line="280" w:lineRule="auto"/>
        <w:rPr>
          <w:sz w:val="20"/>
          <w:szCs w:val="20"/>
          <w:color w:val="auto"/>
        </w:rPr>
      </w:pPr>
      <w:r>
        <w:rPr>
          <w:rFonts w:ascii="Arial" w:cs="Arial" w:eastAsia="Arial" w:hAnsi="Arial"/>
          <w:sz w:val="16"/>
          <w:szCs w:val="16"/>
          <w:color w:val="auto"/>
        </w:rPr>
        <w:t>Other than in the U.S. and as described below,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common stock offered by this prospectus in any jurisdiction in which such an offer or a solicitation is unlawful.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European Economic Area</w:t>
      </w:r>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Member State, each underwriter has represented and agreed that with effect from and including the date on which the Prospectus Directive is implemented in that Member State it has not made and will not make an offer of securities to the public in that Member State, except that it may, with effect from and including such date, make an offer of securities to the public in that Member State:</w:t>
      </w:r>
    </w:p>
    <w:p>
      <w:pPr>
        <w:spacing w:after="0" w:line="199" w:lineRule="exact"/>
        <w:rPr>
          <w:sz w:val="20"/>
          <w:szCs w:val="20"/>
          <w:color w:val="auto"/>
        </w:rPr>
      </w:pPr>
    </w:p>
    <w:p>
      <w:pPr>
        <w:ind w:left="1060" w:right="18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at any time to legal entities which are authorized or regulated to operate in the financial markets or, if not so authorized or regulated, whose corporate purpose is solely to invest in securities;</w:t>
      </w:r>
    </w:p>
    <w:p>
      <w:pPr>
        <w:spacing w:after="0" w:line="196" w:lineRule="exact"/>
        <w:rPr>
          <w:rFonts w:ascii="Arial" w:cs="Arial" w:eastAsia="Arial" w:hAnsi="Arial"/>
          <w:sz w:val="17"/>
          <w:szCs w:val="17"/>
          <w:color w:val="auto"/>
        </w:rPr>
      </w:pPr>
    </w:p>
    <w:p>
      <w:pPr>
        <w:ind w:left="1060" w:right="60" w:hanging="531"/>
        <w:spacing w:after="0" w:line="315"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fewer than 100 natural or legal persons (other than qualified investors as defined in the Prospectus Directive) subject to obtaining the prior consent of the book-running managers for any such offer; or</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any time in any other circumstances which do not require the publication by us of a prospectus pursuant to Article 3 of the Prospectus Directive.</w:t>
      </w:r>
    </w:p>
    <w:p>
      <w:pPr>
        <w:spacing w:after="0" w:line="236"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For the purposes of the above, the expression "offer of securities to the public" in relation to any securities in any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w:t>
      </w:r>
    </w:p>
    <w:p>
      <w:pPr>
        <w:spacing w:after="0" w:line="224"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In the State of Israel, the shares offered hereby may not be offered to any person or entity other than the following, all of whom must acquire the securities for their own account and not for purposes of distribution and/or sale to others:</w:t>
      </w:r>
    </w:p>
    <w:p>
      <w:pPr>
        <w:spacing w:after="0" w:line="183" w:lineRule="exact"/>
        <w:rPr>
          <w:sz w:val="20"/>
          <w:szCs w:val="20"/>
          <w:color w:val="auto"/>
        </w:rPr>
      </w:pPr>
    </w:p>
    <w:p>
      <w:pPr>
        <w:ind w:left="1060" w:right="12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fund for joint investments in trust (i.e., mutual fund), as such term is defined in the Law for Joint Investments in Trust, 5754-1994, or a management company of such a fund;</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provident fund as defined in the Control of Financial Services law (Provident Funds), 5765-2005;</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insurer, as defined under the Insurance Business (Control) Law 5741-1981;</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96" w:lineRule="exact"/>
        <w:rPr>
          <w:rFonts w:ascii="Arial" w:cs="Arial" w:eastAsia="Arial" w:hAnsi="Arial"/>
          <w:sz w:val="17"/>
          <w:szCs w:val="17"/>
          <w:color w:val="auto"/>
        </w:rPr>
      </w:pPr>
    </w:p>
    <w:p>
      <w:pPr>
        <w:ind w:left="1060" w:right="100" w:hanging="531"/>
        <w:spacing w:after="0" w:line="315" w:lineRule="auto"/>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59" w:lineRule="exact"/>
        <w:rPr>
          <w:rFonts w:ascii="Arial" w:cs="Arial" w:eastAsia="Arial" w:hAnsi="Arial"/>
          <w:sz w:val="16"/>
          <w:szCs w:val="16"/>
          <w:color w:val="auto"/>
        </w:rPr>
      </w:pPr>
    </w:p>
    <w:p>
      <w:pPr>
        <w:ind w:left="1060" w:right="34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investment advisor, as such term is defined in Section 7(c) of the Law for the Regulation of Investment Advisors and Portfolio Managers, 5755-1995, acting on its own account;</w:t>
      </w:r>
    </w:p>
    <w:p>
      <w:pPr>
        <w:spacing w:after="0" w:line="182" w:lineRule="exact"/>
        <w:rPr>
          <w:rFonts w:ascii="Arial" w:cs="Arial" w:eastAsia="Arial" w:hAnsi="Arial"/>
          <w:sz w:val="17"/>
          <w:szCs w:val="17"/>
          <w:color w:val="auto"/>
        </w:rPr>
      </w:pPr>
    </w:p>
    <w:p>
      <w:pPr>
        <w:ind w:left="1060" w:right="68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member of the Tel Aviv Stock Exchange, acting on its own account or for the account of investors of the type listed in Section 15A(b) of the Securities Law 1968;</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underwriter fulfilling the conditions of Section 56(c) of the Securities Law 1968, purchasing for itself;</w:t>
      </w:r>
    </w:p>
    <w:p>
      <w:pPr>
        <w:spacing w:after="0" w:line="237" w:lineRule="exact"/>
        <w:rPr>
          <w:rFonts w:ascii="Arial" w:cs="Arial" w:eastAsia="Arial" w:hAnsi="Arial"/>
          <w:sz w:val="17"/>
          <w:szCs w:val="17"/>
          <w:color w:val="auto"/>
        </w:rPr>
      </w:pPr>
    </w:p>
    <w:p>
      <w:pPr>
        <w:ind w:left="1060" w:right="140" w:hanging="531"/>
        <w:spacing w:after="0" w:line="270"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venture capital fund (defined as an entity primarily involved in investments in companies which, at the time of investment, (i) are primarily engaged in research and development or manufacture of new technological products or processes and (ii) where the risk of investment is higher than what is customary for other investments); or</w:t>
      </w:r>
    </w:p>
    <w:p>
      <w:pPr>
        <w:spacing w:after="0" w:line="192"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corporation primarily engaged in capital markets activities and which is wholly owned by investors listed in Section 15A(b) of the Securities Laws 1968.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Switzerland</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41"/>
        <w:spacing w:after="0" w:line="311"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United Kingdom</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This prospectus and any other material in relation to the shares described herein is only being distributed to, and is only directed at, (i) persons who are outside the United Kingdom, (ii) investment professionals falling within Article 19(5) of the Financial Services and Markets Act 2000 (Financial Promotion) Order 2005, as amended, or the Order, or (iii) high net worth entities, and other persons to whom it may be lawfully communicated, falling within Article 49(2)(a) to (d) of the Order (all such persons together being referred to as relevant persons). The shares are only available to, and any invitation, offer or agreement to purchase or otherwise acquire such shares will be engaged in only with, relevant persons. This prospectus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or any of its contents.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validity of the common stock offered by this prospectus will be passed upon for us by DLA Piper LLP (US), Houston, Texas. Certain legal matters will be passed upon for the underwriters by Wilson Sonsini Goodrich &amp; Rosati, Professional Corporation, Austin, Texas.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120" w:firstLine="338"/>
        <w:spacing w:after="0" w:line="322" w:lineRule="auto"/>
        <w:rPr>
          <w:sz w:val="20"/>
          <w:szCs w:val="20"/>
          <w:color w:val="auto"/>
        </w:rPr>
      </w:pPr>
      <w:r>
        <w:rPr>
          <w:rFonts w:ascii="Arial" w:cs="Arial" w:eastAsia="Arial" w:hAnsi="Arial"/>
          <w:sz w:val="15"/>
          <w:szCs w:val="15"/>
          <w:color w:val="auto"/>
        </w:rPr>
        <w:t>The consolidated financial statements of Applied Optoelectronics, Inc. and its subsidiaries as of December 31, 2012 and 2011, and for each of the years in the three-year period ended December 31, 2012, included in this prospectus and elsewhere in the registration statement have been so included in reliance upon the report of Grant Thornton LLP, independent registered public accountants, upon the authority of said firm as experts in accounting and auditing in giving said report.</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Adams Capital, Inc., an independent valuation services firm, has given its opinion, set forth in its valuation reports described in this prospectus as to the fair value of our common stock as of the dates set forth in the valuation reports. Additionally, Adams Capital, Inc. has consented to the references in this registration statement and to its valuation reports.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jc w:val="both"/>
        <w:ind w:right="260" w:firstLine="338"/>
        <w:spacing w:after="0" w:line="26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87" w:lineRule="exact"/>
        <w:rPr>
          <w:sz w:val="20"/>
          <w:szCs w:val="20"/>
          <w:color w:val="auto"/>
        </w:rPr>
      </w:pPr>
    </w:p>
    <w:p>
      <w:pPr>
        <w:jc w:val="both"/>
        <w:ind w:right="320" w:firstLine="341"/>
        <w:spacing w:after="0" w:line="265" w:lineRule="auto"/>
        <w:rPr>
          <w:sz w:val="20"/>
          <w:szCs w:val="20"/>
          <w:color w:val="auto"/>
        </w:rPr>
      </w:pPr>
      <w:r>
        <w:rPr>
          <w:rFonts w:ascii="Arial" w:cs="Arial" w:eastAsia="Arial" w:hAnsi="Arial"/>
          <w:sz w:val="17"/>
          <w:szCs w:val="17"/>
          <w:color w:val="auto"/>
        </w:rPr>
        <w:t>Upon the closing of the offering, we will be subject to the informational requirements of the Exchange Act and will file annual, quarterly and current reports, proxy statements and other information with the SEC. You can read our SEC filings, including the registration statement, over the Internet at the SEC's website at www.sec.gov. You may also read and copy any document we file with the SEC, including the registration statement of which this prospectus is a part, at its public reference facility at 100 F Street, N.E., Room 1580, Washington, D.C. 20549.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You may also obtain copies of the documents at prescribed rates by writing to the Public Reference Section of the SEC at 100 F Street, N.E., Washington, D.C.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20549. Please call the SEC at 1-800-SEC-0330 for further information on the operation of the public reference facilities.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INDEX TO CONSOLIDATED FINANCIAL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8"/>
            <w:vMerge w:val="restart"/>
          </w:tcPr>
          <w:p>
            <w:pPr>
              <w:spacing w:after="0"/>
              <w:rPr>
                <w:rFonts w:ascii="Arial" w:cs="Arial" w:eastAsia="Arial" w:hAnsi="Arial"/>
                <w:sz w:val="17"/>
                <w:szCs w:val="17"/>
                <w:color w:val="0000EE"/>
                <w:w w:val="96"/>
              </w:rPr>
            </w:pPr>
            <w:hyperlink w:anchor="page159">
              <w:r>
                <w:rPr>
                  <w:rFonts w:ascii="Arial" w:cs="Arial" w:eastAsia="Arial" w:hAnsi="Arial"/>
                  <w:sz w:val="17"/>
                  <w:szCs w:val="17"/>
                  <w:color w:val="0000EE"/>
                  <w:w w:val="96"/>
                </w:rPr>
                <w:t>Report of Independent Registered Public Accounting Firm</w:t>
              </w:r>
            </w:hyperlink>
          </w:p>
        </w:tc>
        <w:tc>
          <w:tcPr>
            <w:tcW w:w="4240" w:type="dxa"/>
            <w:vAlign w:val="bottom"/>
          </w:tcPr>
          <w:p>
            <w:pPr>
              <w:spacing w:after="0"/>
              <w:rPr>
                <w:sz w:val="13"/>
                <w:szCs w:val="13"/>
                <w:color w:val="auto"/>
              </w:rPr>
            </w:pPr>
          </w:p>
        </w:tc>
        <w:tc>
          <w:tcPr>
            <w:tcW w:w="1800" w:type="dxa"/>
            <w:vAlign w:val="bottom"/>
            <w:gridSpan w:val="4"/>
          </w:tcPr>
          <w:p>
            <w:pPr>
              <w:ind w:left="100"/>
              <w:spacing w:after="0"/>
              <w:rPr>
                <w:sz w:val="20"/>
                <w:szCs w:val="20"/>
                <w:color w:val="auto"/>
              </w:rPr>
            </w:pPr>
            <w:r>
              <w:rPr>
                <w:rFonts w:ascii="Arial" w:cs="Arial" w:eastAsia="Arial" w:hAnsi="Arial"/>
                <w:sz w:val="13"/>
                <w:szCs w:val="13"/>
                <w:b w:val="1"/>
                <w:bCs w:val="1"/>
                <w:color w:val="auto"/>
              </w:rPr>
              <w:t>Pages</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8"/>
            <w:vMerge w:val="continue"/>
          </w:tcPr>
          <w:p>
            <w:pPr>
              <w:spacing w:after="0"/>
              <w:rPr>
                <w:sz w:val="14"/>
                <w:szCs w:val="14"/>
                <w:color w:val="auto"/>
              </w:rPr>
            </w:pPr>
          </w:p>
        </w:tc>
        <w:tc>
          <w:tcPr>
            <w:tcW w:w="4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line="163" w:lineRule="exact"/>
              <w:rPr>
                <w:rFonts w:ascii="Arial" w:cs="Arial" w:eastAsia="Arial" w:hAnsi="Arial"/>
                <w:sz w:val="17"/>
                <w:szCs w:val="17"/>
                <w:color w:val="0000EE"/>
                <w:w w:val="86"/>
              </w:rPr>
            </w:pPr>
            <w:hyperlink w:anchor="page159">
              <w:r>
                <w:rPr>
                  <w:rFonts w:ascii="Arial" w:cs="Arial" w:eastAsia="Arial" w:hAnsi="Arial"/>
                  <w:sz w:val="17"/>
                  <w:szCs w:val="17"/>
                  <w:color w:val="0000EE"/>
                  <w:w w:val="86"/>
                </w:rPr>
                <w:t>F-2</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98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w:anchor="page160">
              <w:r>
                <w:rPr>
                  <w:rFonts w:ascii="Arial" w:cs="Arial" w:eastAsia="Arial" w:hAnsi="Arial"/>
                  <w:sz w:val="17"/>
                  <w:szCs w:val="17"/>
                  <w:color w:val="0000EE"/>
                  <w:w w:val="87"/>
                </w:rPr>
                <w:t>Consolidated Balance Sheets</w:t>
              </w:r>
            </w:hyperlink>
          </w:p>
        </w:tc>
        <w:tc>
          <w:tcPr>
            <w:tcW w:w="2000" w:type="dxa"/>
            <w:vAlign w:val="bottom"/>
            <w:tcBorders>
              <w:top w:val="single" w:sz="8" w:color="0000EE"/>
            </w:tcBorders>
            <w:gridSpan w:val="6"/>
          </w:tcPr>
          <w:p>
            <w:pPr>
              <w:spacing w:after="0"/>
              <w:rPr>
                <w:sz w:val="16"/>
                <w:szCs w:val="16"/>
                <w:color w:val="auto"/>
              </w:rPr>
            </w:pPr>
          </w:p>
        </w:tc>
        <w:tc>
          <w:tcPr>
            <w:tcW w:w="2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3"/>
              </w:rPr>
            </w:pPr>
            <w:hyperlink w:anchor="page160">
              <w:r>
                <w:rPr>
                  <w:rFonts w:ascii="Arial" w:cs="Arial" w:eastAsia="Arial" w:hAnsi="Arial"/>
                  <w:sz w:val="17"/>
                  <w:szCs w:val="17"/>
                  <w:color w:val="0000EE"/>
                  <w:w w:val="93"/>
                </w:rPr>
                <w:t>F-3</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6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w:anchor="page161">
              <w:r>
                <w:rPr>
                  <w:rFonts w:ascii="Arial" w:cs="Arial" w:eastAsia="Arial" w:hAnsi="Arial"/>
                  <w:sz w:val="17"/>
                  <w:szCs w:val="17"/>
                  <w:color w:val="0000EE"/>
                  <w:w w:val="88"/>
                </w:rPr>
                <w:t>Consolidated Statements of Operations</w:t>
              </w:r>
            </w:hyperlink>
          </w:p>
        </w:tc>
        <w:tc>
          <w:tcPr>
            <w:tcW w:w="1560" w:type="dxa"/>
            <w:vAlign w:val="bottom"/>
            <w:gridSpan w:val="6"/>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161">
              <w:r>
                <w:rPr>
                  <w:rFonts w:ascii="Arial" w:cs="Arial" w:eastAsia="Arial" w:hAnsi="Arial"/>
                  <w:sz w:val="17"/>
                  <w:szCs w:val="17"/>
                  <w:color w:val="0000EE"/>
                  <w:w w:val="93"/>
                </w:rPr>
                <w:t>F-4</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8"/>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Consolidated Statements of Comprehensive Loss</w:t>
              </w:r>
            </w:hyperlink>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spacing w:after="0" w:line="189" w:lineRule="exact"/>
              <w:rPr>
                <w:rFonts w:ascii="Arial" w:cs="Arial" w:eastAsia="Arial" w:hAnsi="Arial"/>
                <w:sz w:val="17"/>
                <w:szCs w:val="17"/>
                <w:color w:val="0000EE"/>
              </w:rPr>
            </w:pPr>
            <w:hyperlink w:anchor="page162">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w:anchor="page163">
              <w:r>
                <w:rPr>
                  <w:rFonts w:ascii="Arial" w:cs="Arial" w:eastAsia="Arial" w:hAnsi="Arial"/>
                  <w:sz w:val="17"/>
                  <w:szCs w:val="17"/>
                  <w:color w:val="0000EE"/>
                  <w:w w:val="91"/>
                </w:rPr>
                <w:t>Consolidated Statements of Stockholders' Equity (Deficit)</w:t>
              </w:r>
            </w:hyperlink>
          </w:p>
        </w:tc>
        <w:tc>
          <w:tcPr>
            <w:tcW w:w="260" w:type="dxa"/>
            <w:vAlign w:val="bottom"/>
            <w:gridSpan w:val="2"/>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163">
              <w:r>
                <w:rPr>
                  <w:rFonts w:ascii="Arial" w:cs="Arial" w:eastAsia="Arial" w:hAnsi="Arial"/>
                  <w:sz w:val="17"/>
                  <w:szCs w:val="17"/>
                  <w:color w:val="0000EE"/>
                  <w:w w:val="93"/>
                </w:rPr>
                <w:t>F-6</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220" w:type="dxa"/>
            <w:vAlign w:val="bottom"/>
            <w:gridSpan w:val="8"/>
          </w:tcPr>
          <w:p>
            <w:pPr>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Consolidated Statements of Cash Flows</w:t>
              </w:r>
            </w:hyperlink>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spacing w:after="0" w:line="189" w:lineRule="exact"/>
              <w:rPr>
                <w:rFonts w:ascii="Arial" w:cs="Arial" w:eastAsia="Arial" w:hAnsi="Arial"/>
                <w:sz w:val="17"/>
                <w:szCs w:val="17"/>
                <w:color w:val="0000EE"/>
              </w:rPr>
            </w:pPr>
            <w:hyperlink w:anchor="page164">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980" w:type="dxa"/>
            <w:vAlign w:val="bottom"/>
            <w:tcBorders>
              <w:bottom w:val="single" w:sz="8" w:color="0000EE"/>
            </w:tcBorders>
            <w:gridSpan w:val="4"/>
          </w:tcPr>
          <w:p>
            <w:pPr>
              <w:spacing w:after="0" w:line="189" w:lineRule="exact"/>
              <w:rPr>
                <w:rFonts w:ascii="Arial" w:cs="Arial" w:eastAsia="Arial" w:hAnsi="Arial"/>
                <w:sz w:val="17"/>
                <w:szCs w:val="17"/>
                <w:color w:val="0000EE"/>
                <w:w w:val="89"/>
              </w:rPr>
            </w:pPr>
            <w:hyperlink w:anchor="page165">
              <w:r>
                <w:rPr>
                  <w:rFonts w:ascii="Arial" w:cs="Arial" w:eastAsia="Arial" w:hAnsi="Arial"/>
                  <w:sz w:val="17"/>
                  <w:szCs w:val="17"/>
                  <w:color w:val="0000EE"/>
                  <w:w w:val="89"/>
                </w:rPr>
                <w:t>Notes to Consolidated Financial Statements</w:t>
              </w:r>
            </w:hyperlink>
          </w:p>
        </w:tc>
        <w:tc>
          <w:tcPr>
            <w:tcW w:w="1240" w:type="dxa"/>
            <w:vAlign w:val="bottom"/>
            <w:gridSpan w:val="4"/>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w:anchor="page165">
              <w:r>
                <w:rPr>
                  <w:rFonts w:ascii="Arial" w:cs="Arial" w:eastAsia="Arial" w:hAnsi="Arial"/>
                  <w:sz w:val="17"/>
                  <w:szCs w:val="17"/>
                  <w:color w:val="0000EE"/>
                  <w:w w:val="93"/>
                </w:rPr>
                <w:t>F-8</w:t>
              </w:r>
            </w:hyperlink>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gridSpan w:val="5"/>
          </w:tcPr>
          <w:p>
            <w:pPr>
              <w:ind w:left="2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Applied Optoelectronics, Inc.:</w:t>
      </w:r>
    </w:p>
    <w:p>
      <w:pPr>
        <w:spacing w:after="0" w:line="21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have audited the accompanying consolidated balance sheets of Applied Optoelectronics, Inc. (the Company) and subsidiaries as of December 31, 2012 and 2011, and the related consolidated statements of operations, comprehensive loss, stockholders' equity and cash flows for each of the years in the three-year period ended December 31, 2012. These consolidated financial statements are the responsibility of the Company's management. Our responsibility is to express an opinion on these consolidated financial statements based on our audits.</w:t>
      </w:r>
    </w:p>
    <w:p>
      <w:pPr>
        <w:spacing w:after="0" w:line="185" w:lineRule="exact"/>
        <w:rPr>
          <w:sz w:val="20"/>
          <w:szCs w:val="20"/>
          <w:color w:val="auto"/>
        </w:rPr>
      </w:pPr>
    </w:p>
    <w:p>
      <w:pPr>
        <w:ind w:right="160" w:firstLine="338"/>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260" w:firstLine="341"/>
        <w:spacing w:after="0" w:line="270"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Applied Optoelectronics, Inc. and subsidiary as of December 31, 2012 and 2011 and the results of their operations and their cash flows for each of the years in the three-year period ended December 31, 2012,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21, 2013 (except for the reverse stock split described in Notes B and T as to which the date is August 27, 2013)</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24"/>
        </w:trPr>
        <w:tc>
          <w:tcPr>
            <w:tcW w:w="55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6"/>
              <w:spacing w:after="0" w:line="124" w:lineRule="exact"/>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400"/>
              <w:spacing w:after="0"/>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9,768</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503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Accounts receivable—trade, net of allowance of $59 and $61, respectively</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13,988</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Arial" w:cs="Arial" w:eastAsia="Arial" w:hAnsi="Arial"/>
                <w:sz w:val="17"/>
                <w:szCs w:val="17"/>
                <w:color w:val="auto"/>
              </w:rPr>
              <w:t>Notes receivable</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1,034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12,493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12,671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16,087</w:t>
            </w:r>
          </w:p>
        </w:tc>
        <w:tc>
          <w:tcPr>
            <w:tcW w:w="0" w:type="dxa"/>
            <w:vAlign w:val="bottom"/>
          </w:tcPr>
          <w:p>
            <w:pPr>
              <w:spacing w:after="0"/>
              <w:rPr>
                <w:sz w:val="1"/>
                <w:szCs w:val="1"/>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968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695</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2,358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2,358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39,246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27,775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43,376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43,376</w:t>
            </w:r>
          </w:p>
        </w:tc>
        <w:tc>
          <w:tcPr>
            <w:tcW w:w="0" w:type="dxa"/>
            <w:vAlign w:val="bottom"/>
          </w:tcPr>
          <w:p>
            <w:pPr>
              <w:spacing w:after="0"/>
              <w:rPr>
                <w:sz w:val="1"/>
                <w:szCs w:val="1"/>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7"/>
                <w:szCs w:val="17"/>
                <w:color w:val="auto"/>
                <w:w w:val="92"/>
              </w:rPr>
              <w:t>Property, plant and equipment, net of accumulated depreciation of $24,967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160"/>
              <w:spacing w:after="0"/>
              <w:rPr>
                <w:sz w:val="20"/>
                <w:szCs w:val="20"/>
                <w:color w:val="auto"/>
              </w:rPr>
            </w:pPr>
            <w:r>
              <w:rPr>
                <w:rFonts w:ascii="Arial" w:cs="Arial" w:eastAsia="Arial" w:hAnsi="Arial"/>
                <w:sz w:val="17"/>
                <w:szCs w:val="17"/>
                <w:color w:val="auto"/>
              </w:rPr>
              <w:t>$22,556, respectively</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24,838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24,532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26,123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26,123</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use rights,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795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651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65,748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w w:val="84"/>
              </w:rPr>
              <w:t>53,723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84"/>
              </w:rPr>
              <w:t>71,996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71,996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60" w:type="dxa"/>
            <w:vAlign w:val="bottom"/>
            <w:shd w:val="clear" w:color="auto" w:fill="CCEEFF"/>
          </w:tcPr>
          <w:p>
            <w:pPr>
              <w:ind w:left="980"/>
              <w:spacing w:after="0" w:line="189"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notes payable and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18,326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13,838</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7"/>
                <w:szCs w:val="17"/>
                <w:color w:val="auto"/>
              </w:rPr>
              <w:t>Short-term loan from shareholders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910</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13,149</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3,243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2,658</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2,385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2,385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25,577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29,686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29,372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29,372</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7"/>
                <w:szCs w:val="17"/>
                <w:color w:val="auto"/>
              </w:rPr>
              <w:t>Notes payable and long-term debt, less current portion</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9,163</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3,361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12,084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12,084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34,740</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33,047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41,456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41,456</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Stockholders' equity (deficit):</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Redeemable Convertible Preferred Stock and Convertible Preferred Stock;</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8"/>
              </w:rPr>
              <w:t>172,200 shares authorized; 5,547 shares and 4,341 shares issued and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6"/>
              </w:rPr>
              <w:t>outstanding at December 31, 2012 and 2011, respectively, no par value;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4"/>
              </w:rPr>
              <w:t>5,576 shares issued and outstanding, actual, at June 30, 2013 $0.001 par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5"/>
              </w:rPr>
              <w:t>value; and no shares issued and outstanding pro forma at June 30, 2013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105,367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94,373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105,614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560" w:type="dxa"/>
            <w:vAlign w:val="bottom"/>
          </w:tcPr>
          <w:p>
            <w:pPr>
              <w:ind w:left="160"/>
              <w:spacing w:after="0"/>
              <w:rPr>
                <w:sz w:val="20"/>
                <w:szCs w:val="20"/>
                <w:color w:val="auto"/>
              </w:rPr>
            </w:pPr>
            <w:r>
              <w:rPr>
                <w:rFonts w:ascii="Arial" w:cs="Arial" w:eastAsia="Arial" w:hAnsi="Arial"/>
                <w:sz w:val="17"/>
                <w:szCs w:val="17"/>
                <w:color w:val="auto"/>
                <w:w w:val="93"/>
              </w:rPr>
              <w:t>Common Stock; 300,000 shares authorized; 266, and 265 shares issued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7"/>
                <w:szCs w:val="17"/>
                <w:color w:val="auto"/>
                <w:w w:val="96"/>
              </w:rPr>
              <w:t>outstanding at December 31, 2012 and 2011, respectively, no par value;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7"/>
                <w:szCs w:val="17"/>
                <w:color w:val="auto"/>
                <w:w w:val="96"/>
              </w:rPr>
              <w:t>284 shares issued and outstanding, actual, at June 30, 2013 $0.001 par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300"/>
              <w:spacing w:after="0"/>
              <w:rPr>
                <w:sz w:val="20"/>
                <w:szCs w:val="20"/>
                <w:color w:val="auto"/>
              </w:rPr>
            </w:pPr>
            <w:r>
              <w:rPr>
                <w:rFonts w:ascii="Arial" w:cs="Arial" w:eastAsia="Arial" w:hAnsi="Arial"/>
                <w:sz w:val="17"/>
                <w:szCs w:val="17"/>
                <w:color w:val="auto"/>
                <w:w w:val="97"/>
              </w:rPr>
              <w:t>value; and 8,994 shares issued and outstanding, pro forma, at June 30,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300"/>
              <w:spacing w:after="0"/>
              <w:rPr>
                <w:sz w:val="20"/>
                <w:szCs w:val="20"/>
                <w:color w:val="auto"/>
              </w:rPr>
            </w:pPr>
            <w:r>
              <w:rPr>
                <w:rFonts w:ascii="Arial" w:cs="Arial" w:eastAsia="Arial" w:hAnsi="Arial"/>
                <w:sz w:val="17"/>
                <w:szCs w:val="17"/>
                <w:color w:val="auto"/>
              </w:rPr>
              <w:t>2013 $0.001 par value</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1,074</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1,069</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1,185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111,469</w:t>
            </w:r>
          </w:p>
        </w:tc>
        <w:tc>
          <w:tcPr>
            <w:tcW w:w="0" w:type="dxa"/>
            <w:vAlign w:val="bottom"/>
          </w:tcPr>
          <w:p>
            <w:pPr>
              <w:spacing w:after="0"/>
              <w:rPr>
                <w:sz w:val="1"/>
                <w:szCs w:val="1"/>
                <w:color w:val="auto"/>
              </w:rPr>
            </w:pPr>
          </w:p>
        </w:tc>
      </w:tr>
      <w:tr>
        <w:trPr>
          <w:trHeight w:val="210"/>
        </w:trPr>
        <w:tc>
          <w:tcPr>
            <w:tcW w:w="5560" w:type="dxa"/>
            <w:vAlign w:val="bottom"/>
          </w:tcPr>
          <w:p>
            <w:pPr>
              <w:ind w:left="160"/>
              <w:spacing w:after="0"/>
              <w:rPr>
                <w:sz w:val="20"/>
                <w:szCs w:val="20"/>
                <w:color w:val="auto"/>
              </w:rPr>
            </w:pPr>
            <w:r>
              <w:rPr>
                <w:rFonts w:ascii="Arial" w:cs="Arial" w:eastAsia="Arial" w:hAnsi="Arial"/>
                <w:sz w:val="17"/>
                <w:szCs w:val="17"/>
                <w:color w:val="auto"/>
              </w:rPr>
              <w:t>Accumulated other comprehensive gain</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1,972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2,255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(81,917)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(80,972)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(83,193)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(83,193)</w:t>
            </w:r>
          </w:p>
        </w:tc>
        <w:tc>
          <w:tcPr>
            <w:tcW w:w="0" w:type="dxa"/>
            <w:vAlign w:val="bottom"/>
          </w:tcPr>
          <w:p>
            <w:pPr>
              <w:spacing w:after="0"/>
              <w:rPr>
                <w:sz w:val="1"/>
                <w:szCs w:val="1"/>
                <w:color w:val="auto"/>
              </w:rPr>
            </w:pPr>
          </w:p>
        </w:tc>
      </w:tr>
      <w:tr>
        <w:trPr>
          <w:trHeight w:val="26"/>
        </w:trPr>
        <w:tc>
          <w:tcPr>
            <w:tcW w:w="5560" w:type="dxa"/>
            <w:vAlign w:val="bottom"/>
            <w:vMerge w:val="restart"/>
          </w:tcPr>
          <w:p>
            <w:pPr>
              <w:ind w:left="2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31,008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w w:val="84"/>
              </w:rPr>
              <w:t>20,676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84"/>
              </w:rPr>
              <w:t>30,540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65,748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53,723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71,996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71,996</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05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1"/>
              </w:rPr>
              <w:t>Six Months ended</w:t>
            </w: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3"/>
                <w:szCs w:val="13"/>
                <w:b w:val="1"/>
                <w:bCs w:val="1"/>
                <w:color w:val="auto"/>
                <w:w w:val="88"/>
              </w:rPr>
              <w:t>June 30,</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left="378"/>
              <w:spacing w:after="0" w:line="138" w:lineRule="exact"/>
              <w:rPr>
                <w:sz w:val="20"/>
                <w:szCs w:val="20"/>
                <w:color w:val="auto"/>
              </w:rPr>
            </w:pPr>
            <w:r>
              <w:rPr>
                <w:rFonts w:ascii="Arial" w:cs="Arial" w:eastAsia="Arial" w:hAnsi="Arial"/>
                <w:sz w:val="13"/>
                <w:szCs w:val="13"/>
                <w:b w:val="1"/>
                <w:bCs w:val="1"/>
                <w:color w:val="auto"/>
                <w:w w:val="93"/>
              </w:rPr>
              <w:t>(unaudited)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63,421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47,840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33,914</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28,144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7"/>
                <w:szCs w:val="17"/>
                <w:color w:val="auto"/>
              </w:rPr>
              <w:t>Cost of goods sold</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44,492</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34,468</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27,539</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23,882</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19,331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18,929</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13,372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12,950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10,032</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8,813</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5,176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3,902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3,284</w:t>
            </w: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3,135</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2,412</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1,993</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1,959</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8,243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8,382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7"/>
                <w:szCs w:val="17"/>
                <w:color w:val="auto"/>
              </w:rPr>
              <w:t>Asset impairment charges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492</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18,750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17,106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16,043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10,683</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8,810</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Arial" w:cs="Arial" w:eastAsia="Arial" w:hAnsi="Arial"/>
                <w:sz w:val="17"/>
                <w:szCs w:val="17"/>
                <w:color w:val="auto"/>
              </w:rPr>
              <w:t>Income (loss) from operations</w:t>
            </w: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(3,093)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(1,381)</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(1,338)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(906)</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(602)</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Arial" w:cs="Arial" w:eastAsia="Arial" w:hAnsi="Arial"/>
                <w:sz w:val="17"/>
                <w:szCs w:val="17"/>
                <w:color w:val="auto"/>
              </w:rPr>
              <w:t>Total other expense</w:t>
            </w: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7"/>
                <w:szCs w:val="17"/>
                <w:color w:val="auto"/>
              </w:rPr>
              <w:t>Income taxes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(1,276)</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6"/>
        </w:trPr>
        <w:tc>
          <w:tcPr>
            <w:tcW w:w="4000" w:type="dxa"/>
            <w:vAlign w:val="bottom"/>
            <w:vMerge w:val="restart"/>
          </w:tcPr>
          <w:p>
            <w:pPr>
              <w:spacing w:after="0"/>
              <w:rPr>
                <w:sz w:val="20"/>
                <w:szCs w:val="20"/>
                <w:color w:val="auto"/>
              </w:rPr>
            </w:pPr>
            <w:r>
              <w:rPr>
                <w:rFonts w:ascii="Arial" w:cs="Arial" w:eastAsia="Arial" w:hAnsi="Arial"/>
                <w:sz w:val="17"/>
                <w:szCs w:val="17"/>
                <w:color w:val="auto"/>
              </w:rPr>
              <w:t>Net loss per share—basic and diluted, as revised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(3.56)</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(20.21)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(13.06)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(4.77)</w:t>
            </w:r>
          </w:p>
        </w:tc>
        <w:tc>
          <w:tcPr>
            <w:tcW w:w="280" w:type="dxa"/>
            <w:vAlign w:val="bottom"/>
          </w:tcPr>
          <w:p>
            <w:pPr>
              <w:jc w:val="right"/>
              <w:ind w:right="9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w w:val="95"/>
              </w:rPr>
              <w:t>Weighted average shares used to compute net loss per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 as revised: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Arial" w:cs="Arial" w:eastAsia="Arial" w:hAnsi="Arial"/>
                <w:sz w:val="17"/>
                <w:szCs w:val="17"/>
                <w:color w:val="auto"/>
              </w:rPr>
              <w:t>Basic and diluted</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265,576</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263,658</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258,901</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267,711</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265,252</w:t>
            </w: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share—basic and diluted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(unaudited)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tcPr>
          <w:p>
            <w:pPr>
              <w:spacing w:after="0"/>
              <w:rPr>
                <w:sz w:val="20"/>
                <w:szCs w:val="20"/>
                <w:color w:val="auto"/>
              </w:rPr>
            </w:pPr>
            <w:r>
              <w:rPr>
                <w:rFonts w:ascii="Arial" w:cs="Arial" w:eastAsia="Arial" w:hAnsi="Arial"/>
                <w:sz w:val="17"/>
                <w:szCs w:val="17"/>
                <w:color w:val="auto"/>
                <w:w w:val="92"/>
              </w:rPr>
              <w:t>Weighted average shares used to compute pro forma net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180"/>
              <w:spacing w:after="0"/>
              <w:rPr>
                <w:sz w:val="20"/>
                <w:szCs w:val="20"/>
                <w:color w:val="auto"/>
              </w:rPr>
            </w:pPr>
            <w:r>
              <w:rPr>
                <w:rFonts w:ascii="Arial" w:cs="Arial" w:eastAsia="Arial" w:hAnsi="Arial"/>
                <w:sz w:val="17"/>
                <w:szCs w:val="17"/>
                <w:color w:val="auto"/>
              </w:rPr>
              <w:t>loss per share (unaudited):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and diluted</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8,380,216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8,949,838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207"/>
              <w:spacing w:after="0" w:line="144" w:lineRule="exact"/>
              <w:rPr>
                <w:sz w:val="20"/>
                <w:szCs w:val="20"/>
                <w:color w:val="auto"/>
              </w:rPr>
            </w:pPr>
            <w:r>
              <w:rPr>
                <w:rFonts w:ascii="Arial" w:cs="Arial" w:eastAsia="Arial" w:hAnsi="Arial"/>
                <w:sz w:val="13"/>
                <w:szCs w:val="13"/>
                <w:b w:val="1"/>
                <w:bCs w:val="1"/>
                <w:color w:val="auto"/>
                <w:w w:val="88"/>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8"/>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820" w:type="dxa"/>
            <w:vAlign w:val="bottom"/>
            <w:gridSpan w:val="3"/>
          </w:tcPr>
          <w:p>
            <w:pPr>
              <w:jc w:val="center"/>
              <w:ind w:left="207"/>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2013</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6"/>
                <w:szCs w:val="16"/>
                <w:color w:val="auto"/>
              </w:rPr>
            </w:pPr>
          </w:p>
        </w:tc>
      </w:tr>
      <w:tr>
        <w:trPr>
          <w:trHeight w:val="137"/>
        </w:trPr>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3"/>
              </w:rPr>
              <w:t>(unaudited)</w:t>
            </w: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(617)</w:t>
            </w:r>
          </w:p>
        </w:tc>
      </w:tr>
      <w:tr>
        <w:trPr>
          <w:trHeight w:val="216"/>
        </w:trPr>
        <w:tc>
          <w:tcPr>
            <w:tcW w:w="5140" w:type="dxa"/>
            <w:vAlign w:val="bottom"/>
          </w:tcPr>
          <w:p>
            <w:pPr>
              <w:ind w:left="20"/>
              <w:spacing w:after="0"/>
              <w:rPr>
                <w:sz w:val="20"/>
                <w:szCs w:val="20"/>
                <w:color w:val="auto"/>
              </w:rPr>
            </w:pPr>
            <w:r>
              <w:rPr>
                <w:rFonts w:ascii="Arial" w:cs="Arial" w:eastAsia="Arial" w:hAnsi="Arial"/>
                <w:sz w:val="17"/>
                <w:szCs w:val="17"/>
                <w:color w:val="auto"/>
              </w:rPr>
              <w:t>Foreign currency translation adjustment, net of tax of $0, $0 and $0</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434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(627)</w:t>
            </w:r>
          </w:p>
        </w:tc>
      </w:tr>
      <w:tr>
        <w:trPr>
          <w:trHeight w:val="26"/>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left="1300" w:right="1620"/>
        <w:spacing w:after="0" w:line="530" w:lineRule="auto"/>
        <w:rPr>
          <w:sz w:val="20"/>
          <w:szCs w:val="20"/>
          <w:color w:val="auto"/>
        </w:rPr>
      </w:pPr>
      <w:r>
        <w:rPr>
          <w:rFonts w:ascii="Arial" w:cs="Arial" w:eastAsia="Arial" w:hAnsi="Arial"/>
          <w:sz w:val="17"/>
          <w:szCs w:val="17"/>
          <w:b w:val="1"/>
          <w:bCs w:val="1"/>
          <w:color w:val="auto"/>
        </w:rPr>
        <w:t>CONSOLIDATED STATEMENTS OF STOCKHOLDERS' EQUITY (DEFICIT) Years ended December 2010, 2011 and 2012 and the six months ended June 30, 2013 (in thousands)</w:t>
      </w:r>
    </w:p>
    <w:p>
      <w:pPr>
        <w:spacing w:after="0" w:line="9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300" w:type="dxa"/>
            <w:vAlign w:val="bottom"/>
          </w:tcPr>
          <w:p>
            <w:pPr>
              <w:spacing w:after="0"/>
              <w:rPr>
                <w:sz w:val="13"/>
                <w:szCs w:val="13"/>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15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82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paid-in</w:t>
            </w:r>
          </w:p>
        </w:tc>
        <w:tc>
          <w:tcPr>
            <w:tcW w:w="96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93"/>
              </w:rPr>
              <w:t>Accumulated</w:t>
            </w:r>
          </w:p>
        </w:tc>
        <w:tc>
          <w:tcPr>
            <w:tcW w:w="104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comprehensive</w:t>
            </w:r>
          </w:p>
        </w:tc>
        <w:tc>
          <w:tcPr>
            <w:tcW w:w="96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gain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December 31, 2009</w:t>
            </w:r>
          </w:p>
        </w:tc>
        <w:tc>
          <w:tcPr>
            <w:tcW w:w="6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4,118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90,424</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259</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1,048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2,891</w:t>
            </w: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(72,264)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1,534</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23,633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Preferred stock issued, net</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Issuance of stock for consultancy</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w:t>
            </w: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Stock options exercised</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based compensation</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780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(3,380)</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(3,380)</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Foreign currency translation adjustment</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Arial" w:cs="Arial" w:eastAsia="Arial" w:hAnsi="Arial"/>
                <w:sz w:val="13"/>
                <w:szCs w:val="13"/>
                <w:color w:val="auto"/>
              </w:rPr>
              <w:t>December 31, 2010</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4,118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90,424</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261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1,052</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3,671</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(75,644)</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1,538</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21,041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Preferred stock issued, net</w:t>
            </w:r>
          </w:p>
        </w:tc>
        <w:tc>
          <w:tcPr>
            <w:tcW w:w="68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223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3,949</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3,949</w:t>
            </w:r>
          </w:p>
        </w:tc>
        <w:tc>
          <w:tcPr>
            <w:tcW w:w="0" w:type="dxa"/>
            <w:vAlign w:val="bottom"/>
          </w:tcPr>
          <w:p>
            <w:pPr>
              <w:spacing w:after="0"/>
              <w:rPr>
                <w:sz w:val="1"/>
                <w:szCs w:val="1"/>
                <w:color w:val="auto"/>
              </w:rPr>
            </w:pPr>
          </w:p>
        </w:tc>
      </w:tr>
      <w:tr>
        <w:trPr>
          <w:trHeight w:val="135"/>
        </w:trPr>
        <w:tc>
          <w:tcPr>
            <w:tcW w:w="2300" w:type="dxa"/>
            <w:vAlign w:val="bottom"/>
          </w:tcPr>
          <w:p>
            <w:pPr>
              <w:spacing w:after="0" w:line="136" w:lineRule="exact"/>
              <w:rPr>
                <w:sz w:val="20"/>
                <w:szCs w:val="20"/>
                <w:color w:val="auto"/>
              </w:rPr>
            </w:pPr>
            <w:r>
              <w:rPr>
                <w:rFonts w:ascii="Arial" w:cs="Arial" w:eastAsia="Arial" w:hAnsi="Arial"/>
                <w:sz w:val="13"/>
                <w:szCs w:val="13"/>
                <w:color w:val="auto"/>
              </w:rPr>
              <w:t>Issuance of stock for consultancy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tcPr>
          <w:p>
            <w:pPr>
              <w:ind w:left="120"/>
              <w:spacing w:after="0"/>
              <w:rPr>
                <w:sz w:val="20"/>
                <w:szCs w:val="20"/>
                <w:color w:val="auto"/>
              </w:rPr>
            </w:pPr>
            <w:r>
              <w:rPr>
                <w:rFonts w:ascii="Arial" w:cs="Arial" w:eastAsia="Arial" w:hAnsi="Arial"/>
                <w:sz w:val="13"/>
                <w:szCs w:val="13"/>
                <w:color w:val="auto"/>
              </w:rPr>
              <w:t>service</w:t>
            </w:r>
          </w:p>
        </w:tc>
        <w:tc>
          <w:tcPr>
            <w:tcW w:w="82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options exercised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Stock based compensation</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563</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loss</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(5,328)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(5,328)</w:t>
            </w:r>
          </w:p>
        </w:tc>
        <w:tc>
          <w:tcPr>
            <w:tcW w:w="0" w:type="dxa"/>
            <w:vAlign w:val="bottom"/>
          </w:tcPr>
          <w:p>
            <w:pPr>
              <w:spacing w:after="0"/>
              <w:rPr>
                <w:sz w:val="1"/>
                <w:szCs w:val="1"/>
                <w:color w:val="auto"/>
              </w:rPr>
            </w:pPr>
          </w:p>
        </w:tc>
      </w:tr>
      <w:tr>
        <w:trPr>
          <w:trHeight w:val="168"/>
        </w:trPr>
        <w:tc>
          <w:tcPr>
            <w:tcW w:w="2300" w:type="dxa"/>
            <w:vAlign w:val="bottom"/>
          </w:tcPr>
          <w:p>
            <w:pPr>
              <w:spacing w:after="0"/>
              <w:rPr>
                <w:sz w:val="20"/>
                <w:szCs w:val="20"/>
                <w:color w:val="auto"/>
              </w:rPr>
            </w:pPr>
            <w:r>
              <w:rPr>
                <w:rFonts w:ascii="Arial" w:cs="Arial" w:eastAsia="Arial" w:hAnsi="Arial"/>
                <w:sz w:val="13"/>
                <w:szCs w:val="13"/>
                <w:color w:val="auto"/>
                <w:w w:val="99"/>
              </w:rPr>
              <w:t>Foreign currency translation adjustment</w:t>
            </w:r>
          </w:p>
        </w:tc>
        <w:tc>
          <w:tcPr>
            <w:tcW w:w="820" w:type="dxa"/>
            <w:vAlign w:val="bottom"/>
            <w:gridSpan w:val="3"/>
          </w:tcPr>
          <w:p>
            <w:pPr>
              <w:ind w:left="5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434</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December 31, 2011</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4,341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94,373</w:t>
            </w:r>
          </w:p>
        </w:tc>
        <w:tc>
          <w:tcPr>
            <w:tcW w:w="8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265</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1,069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4,234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(80,972)</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20,676</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Preferred stock issued, net</w:t>
            </w:r>
          </w:p>
        </w:tc>
        <w:tc>
          <w:tcPr>
            <w:tcW w:w="6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1,206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10,994</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10,994</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options exercised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Stock based compensation</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161</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Issuance of warrants</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(945)</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9"/>
              </w:rPr>
              <w:t>Foreign currency translation adjustment</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Arial" w:cs="Arial" w:eastAsia="Arial" w:hAnsi="Arial"/>
                <w:sz w:val="13"/>
                <w:szCs w:val="13"/>
                <w:color w:val="auto"/>
              </w:rPr>
              <w:t>December 31, 2012</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5,547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105,367</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266</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1,074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4,468</w:t>
            </w:r>
          </w:p>
        </w:tc>
        <w:tc>
          <w:tcPr>
            <w:tcW w:w="16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(81,917)</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2,016</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31,008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options exercised (unaudited)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Warrants exercised (unaudited)</w:t>
            </w:r>
          </w:p>
        </w:tc>
        <w:tc>
          <w:tcPr>
            <w:tcW w:w="680" w:type="dxa"/>
            <w:vAlign w:val="bottom"/>
            <w:gridSpan w:val="2"/>
          </w:tcPr>
          <w:p>
            <w:pPr>
              <w:ind w:left="540"/>
              <w:spacing w:after="0" w:line="144" w:lineRule="exact"/>
              <w:rPr>
                <w:sz w:val="20"/>
                <w:szCs w:val="20"/>
                <w:color w:val="auto"/>
              </w:rPr>
            </w:pPr>
            <w:r>
              <w:rPr>
                <w:rFonts w:ascii="Arial" w:cs="Arial" w:eastAsia="Arial" w:hAnsi="Arial"/>
                <w:sz w:val="13"/>
                <w:szCs w:val="13"/>
                <w:color w:val="auto"/>
                <w:w w:val="82"/>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248</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60</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Stock based compensation (unaudited)</w:t>
            </w:r>
          </w:p>
        </w:tc>
        <w:tc>
          <w:tcPr>
            <w:tcW w:w="820" w:type="dxa"/>
            <w:vAlign w:val="bottom"/>
            <w:gridSpan w:val="3"/>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211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Arial" w:cs="Arial" w:eastAsia="Arial" w:hAnsi="Arial"/>
                <w:sz w:val="13"/>
                <w:szCs w:val="13"/>
                <w:color w:val="auto"/>
              </w:rPr>
              <w:t>Net loss (unaudited)</w:t>
            </w:r>
          </w:p>
        </w:tc>
        <w:tc>
          <w:tcPr>
            <w:tcW w:w="820" w:type="dxa"/>
            <w:vAlign w:val="bottom"/>
            <w:gridSpan w:val="3"/>
          </w:tcPr>
          <w:p>
            <w:pPr>
              <w:ind w:left="54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(1,276)</w:t>
            </w:r>
          </w:p>
        </w:tc>
        <w:tc>
          <w:tcPr>
            <w:tcW w:w="60" w:type="dxa"/>
            <w:vAlign w:val="bottom"/>
          </w:tcPr>
          <w:p>
            <w:pPr>
              <w:spacing w:after="0"/>
              <w:rPr>
                <w:sz w:val="12"/>
                <w:szCs w:val="12"/>
                <w:color w:val="auto"/>
              </w:rPr>
            </w:pPr>
          </w:p>
        </w:tc>
        <w:tc>
          <w:tcPr>
            <w:tcW w:w="9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9"/>
              </w:rPr>
              <w:t>Foreign currency translation adjustment</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(unaudited)</w:t>
            </w: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239</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6"/>
        </w:trPr>
        <w:tc>
          <w:tcPr>
            <w:tcW w:w="2300" w:type="dxa"/>
            <w:vAlign w:val="bottom"/>
            <w:vMerge w:val="restart"/>
          </w:tcPr>
          <w:p>
            <w:pPr>
              <w:spacing w:after="0"/>
              <w:rPr>
                <w:sz w:val="20"/>
                <w:szCs w:val="20"/>
                <w:color w:val="auto"/>
              </w:rPr>
            </w:pPr>
            <w:r>
              <w:rPr>
                <w:rFonts w:ascii="Arial" w:cs="Arial" w:eastAsia="Arial" w:hAnsi="Arial"/>
                <w:sz w:val="13"/>
                <w:szCs w:val="13"/>
                <w:color w:val="auto"/>
              </w:rPr>
              <w:t>June 30, 2013 (unaudited)</w:t>
            </w: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5,576</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105,615</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1,184</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4,679</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(83,193)</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30,540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Six Months ended</w:t>
            </w:r>
          </w:p>
        </w:tc>
        <w:tc>
          <w:tcPr>
            <w:tcW w:w="0" w:type="dxa"/>
            <w:vAlign w:val="bottom"/>
          </w:tcPr>
          <w:p>
            <w:pPr>
              <w:spacing w:after="0"/>
              <w:rPr>
                <w:sz w:val="1"/>
                <w:szCs w:val="1"/>
                <w:color w:val="auto"/>
              </w:rPr>
            </w:pPr>
          </w:p>
        </w:tc>
      </w:tr>
      <w:tr>
        <w:trPr>
          <w:trHeight w:val="157"/>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880" w:type="dxa"/>
            <w:vAlign w:val="bottom"/>
            <w:gridSpan w:val="3"/>
          </w:tcPr>
          <w:p>
            <w:pPr>
              <w:jc w:val="center"/>
              <w:ind w:left="274"/>
              <w:spacing w:after="0"/>
              <w:rPr>
                <w:sz w:val="20"/>
                <w:szCs w:val="20"/>
                <w:color w:val="auto"/>
              </w:rPr>
            </w:pPr>
            <w:r>
              <w:rPr>
                <w:rFonts w:ascii="Arial" w:cs="Arial" w:eastAsia="Arial" w:hAnsi="Arial"/>
                <w:sz w:val="13"/>
                <w:szCs w:val="13"/>
                <w:b w:val="1"/>
                <w:bCs w:val="1"/>
                <w:color w:val="auto"/>
                <w:w w:val="88"/>
              </w:rPr>
              <w:t>June 30,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2013</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5"/>
          </w:tcPr>
          <w:p>
            <w:pPr>
              <w:jc w:val="center"/>
              <w:ind w:right="260"/>
              <w:spacing w:after="0" w:line="138"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Operating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Net loss</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(945)</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(5,328)</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(3,380)</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(1,276)</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Provision for obsolete inventory</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858</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1,579</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648</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422</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Impairment of long-lived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492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2,942</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3,112</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3,340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1,559</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(Gain) loss on disposal of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Stock-based compensation and warrants expense</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161</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563</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780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240</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Changes in operating assets and liabilities: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Accounts receivable</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(1,158)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(4,498)</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(2,103)</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(415)</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1,129</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Notes receivable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(1,034)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946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Inventory</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(538)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(1,578)</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(3,674)</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(4,028)</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Other current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(261)</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473</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(1,490)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Accounts payable</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(961)</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1,534</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(251)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6,299</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1,221</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542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1,101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(750)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cash used in operating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1,499</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Investing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Purchase of property, plant and equipment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(3,178)</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(1,790)</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(3,017)</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(2,966)</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(1,548)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Proceeds from disposal of equipment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387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Deposit and deferred charges</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113</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(549)</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Purchase of intangible assets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(209)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(167)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(3,290)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(1,571)</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(2,914)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(3,573)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Financing activities:</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Proceeds from issuance of notes payable and long-term debt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845</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391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Principal payments of long-term debt and notes payable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(707)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(245)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(434)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Proceeds from line of credit borrowings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19,305</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16,760</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12,385</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17,394</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953</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Repayments from line of credit borrowings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(16,585)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(15,200)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(6,233)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3"/>
                <w:szCs w:val="13"/>
                <w:color w:val="auto"/>
              </w:rPr>
              <w:t>(16,141)</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Proceeds from shareholder loans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3,200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Repayments of shareholder loans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(1,200)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(793)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(Increase) decrease in restricted cash</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(193)</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(155)</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455</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4" w:lineRule="exact"/>
              <w:rPr>
                <w:sz w:val="20"/>
                <w:szCs w:val="20"/>
                <w:color w:val="auto"/>
              </w:rPr>
            </w:pPr>
            <w:r>
              <w:rPr>
                <w:rFonts w:ascii="Arial" w:cs="Arial" w:eastAsia="Arial" w:hAnsi="Arial"/>
                <w:sz w:val="13"/>
                <w:szCs w:val="13"/>
                <w:color w:val="auto"/>
              </w:rPr>
              <w:t>(570)</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Exercise of stock options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110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Exercise of warrants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248</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(Increase) decrease in subscriptions receivable</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Common stock issued for consultant services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Issuance of preferred stock, net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10,234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2,859</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4,200</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12,754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2,836</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8,975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20" w:type="dxa"/>
            <w:vAlign w:val="bottom"/>
            <w:shd w:val="clear" w:color="auto" w:fill="CCEEFF"/>
          </w:tcPr>
          <w:p>
            <w:pPr>
              <w:ind w:left="160"/>
              <w:spacing w:after="0" w:line="140" w:lineRule="exact"/>
              <w:rPr>
                <w:sz w:val="20"/>
                <w:szCs w:val="20"/>
                <w:color w:val="auto"/>
              </w:rPr>
            </w:pPr>
            <w:r>
              <w:rPr>
                <w:rFonts w:ascii="Arial" w:cs="Arial" w:eastAsia="Arial" w:hAnsi="Arial"/>
                <w:sz w:val="13"/>
                <w:szCs w:val="13"/>
                <w:color w:val="auto"/>
              </w:rPr>
              <w:t>Effect of exchange rate changes on cash</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136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(621)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3"/>
                <w:szCs w:val="13"/>
                <w:color w:val="auto"/>
              </w:rPr>
              <w:t>206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Net increase (decrease) in cash</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8,956</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(2,724)</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2,232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(955)</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Cash and cash equivalents at beginning of year</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1,767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4,492</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2,260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10,723</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1,768</w:t>
            </w:r>
          </w:p>
        </w:tc>
        <w:tc>
          <w:tcPr>
            <w:tcW w:w="0" w:type="dxa"/>
            <w:vAlign w:val="bottom"/>
          </w:tcPr>
          <w:p>
            <w:pPr>
              <w:spacing w:after="0"/>
              <w:rPr>
                <w:sz w:val="1"/>
                <w:szCs w:val="1"/>
                <w:color w:val="auto"/>
              </w:rPr>
            </w:pPr>
          </w:p>
        </w:tc>
      </w:tr>
      <w:tr>
        <w:trPr>
          <w:trHeight w:val="26"/>
        </w:trPr>
        <w:tc>
          <w:tcPr>
            <w:tcW w:w="5120" w:type="dxa"/>
            <w:vAlign w:val="bottom"/>
            <w:vMerge w:val="restart"/>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1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10,723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9,768</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1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Supplemental disclosure of cash flow information:</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20" w:type="dxa"/>
            <w:vAlign w:val="bottom"/>
          </w:tcPr>
          <w:p>
            <w:pPr>
              <w:ind w:left="160"/>
              <w:spacing w:after="0" w:line="144" w:lineRule="exact"/>
              <w:rPr>
                <w:sz w:val="20"/>
                <w:szCs w:val="20"/>
                <w:color w:val="auto"/>
              </w:rPr>
            </w:pPr>
            <w:r>
              <w:rPr>
                <w:rFonts w:ascii="Arial" w:cs="Arial" w:eastAsia="Arial" w:hAnsi="Arial"/>
                <w:sz w:val="13"/>
                <w:szCs w:val="13"/>
                <w:color w:val="auto"/>
              </w:rPr>
              <w:t>Cash paid for: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Interest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1,469</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1,392</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737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730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44"/>
        </w:trPr>
        <w:tc>
          <w:tcPr>
            <w:tcW w:w="5120" w:type="dxa"/>
            <w:vAlign w:val="bottom"/>
          </w:tcPr>
          <w:p>
            <w:pPr>
              <w:ind w:left="300"/>
              <w:spacing w:after="0" w:line="144" w:lineRule="exact"/>
              <w:rPr>
                <w:sz w:val="20"/>
                <w:szCs w:val="20"/>
                <w:color w:val="auto"/>
              </w:rPr>
            </w:pPr>
            <w:r>
              <w:rPr>
                <w:rFonts w:ascii="Arial" w:cs="Arial" w:eastAsia="Arial" w:hAnsi="Arial"/>
                <w:sz w:val="13"/>
                <w:szCs w:val="13"/>
                <w:color w:val="auto"/>
              </w:rPr>
              <w:t>Income taxes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Conversion of shareholders' loan to preferred stock</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760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1,100</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A—ORGANIZATION AND OPERATIONS</w:t>
      </w:r>
    </w:p>
    <w:p>
      <w:pPr>
        <w:spacing w:after="0" w:line="228"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Applied Optoelectronics, Inc. ("AOI") (the "Company") was incorporated in the State of Texas on February 28, 1997. The Company is a leading, vertically integrated provider of fiber-optic networking products, primarily for three networking end-markets: cable television, fiber-to-the-home and internet data centers. The Company designs and manufactures a range of optical communications products at varying levels of integration, from components, subassemblies and modules to complete turn-key equipment.</w:t>
      </w:r>
    </w:p>
    <w:p>
      <w:pPr>
        <w:spacing w:after="0" w:line="185"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w:t>
      </w:r>
    </w:p>
    <w:p>
      <w:pPr>
        <w:spacing w:after="0" w:line="228" w:lineRule="exact"/>
        <w:rPr>
          <w:sz w:val="20"/>
          <w:szCs w:val="20"/>
          <w:color w:val="auto"/>
        </w:rPr>
      </w:pPr>
    </w:p>
    <w:p>
      <w:pPr>
        <w:ind w:left="340" w:hanging="335"/>
        <w:spacing w:after="0"/>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Basis of Presentation</w:t>
      </w:r>
    </w:p>
    <w:p>
      <w:pPr>
        <w:spacing w:after="0" w:line="224" w:lineRule="exact"/>
        <w:rPr>
          <w:sz w:val="20"/>
          <w:szCs w:val="20"/>
          <w:color w:val="auto"/>
        </w:rPr>
      </w:pPr>
    </w:p>
    <w:p>
      <w:pPr>
        <w:ind w:right="100" w:firstLine="338"/>
        <w:spacing w:after="0" w:line="352" w:lineRule="auto"/>
        <w:rPr>
          <w:sz w:val="20"/>
          <w:szCs w:val="20"/>
          <w:color w:val="auto"/>
        </w:rPr>
      </w:pPr>
      <w:r>
        <w:rPr>
          <w:rFonts w:ascii="Arial" w:cs="Arial" w:eastAsia="Arial" w:hAnsi="Arial"/>
          <w:sz w:val="15"/>
          <w:szCs w:val="15"/>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Unaudited Interim Consolidated Financial Information</w:t>
      </w:r>
    </w:p>
    <w:p>
      <w:pPr>
        <w:spacing w:after="0" w:line="224" w:lineRule="exact"/>
        <w:rPr>
          <w:sz w:val="20"/>
          <w:szCs w:val="20"/>
          <w:color w:val="auto"/>
        </w:rPr>
      </w:pPr>
    </w:p>
    <w:p>
      <w:pPr>
        <w:ind w:right="60" w:firstLine="338"/>
        <w:spacing w:after="0" w:line="280" w:lineRule="auto"/>
        <w:rPr>
          <w:sz w:val="20"/>
          <w:szCs w:val="20"/>
          <w:color w:val="auto"/>
        </w:rPr>
      </w:pPr>
      <w:r>
        <w:rPr>
          <w:rFonts w:ascii="Arial" w:cs="Arial" w:eastAsia="Arial" w:hAnsi="Arial"/>
          <w:sz w:val="16"/>
          <w:szCs w:val="16"/>
          <w:color w:val="auto"/>
        </w:rPr>
        <w:t>The accompanying interim consolidated balance sheet as of June 30, 2013, and the consolidated statements of operations, comprehensive loss, and cash flows for the six months ended June 30, 2013 and 2012 and the consolidated statement of stockholders' equity for the three months ended June 30, 2013 and the related footnote disclosures are unaudited. These unaudited interim consolidated financial statements have been prepared in accordance with GAAP. In management's opinion, the unaudited interim consolidated financial statements have been prepared on the same basis as the audited financial statements and include all adjustments, which include only normal recurring adjustments, necessary for the fair presentation of the Company's statement of financial position as of June 30, 2013 and the Company's consolidated results of operations and cash flows for the six months ended June 30, 2013 and 2012. The results for the three months ended June 30, 2013 are not necessarily indicative of the results expected for the full fiscal year.</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Unaudited Pro Forma Balance Sheet Information</w:t>
      </w:r>
    </w:p>
    <w:p>
      <w:pPr>
        <w:spacing w:after="0" w:line="22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Upon the completion of the Company's initial public offering (the "Offering"), all outstanding convertible preferred stock will automatically convert into shares of the Company's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common stock. The unaudited pro forma balance sheet information gives effect to the conversion of the convertible preferred stock as if such conversion had occurred as of June 30, 2013.</w:t>
      </w:r>
    </w:p>
    <w:p>
      <w:pPr>
        <w:spacing w:after="0" w:line="170" w:lineRule="exact"/>
        <w:rPr>
          <w:sz w:val="20"/>
          <w:szCs w:val="20"/>
          <w:color w:val="auto"/>
        </w:rPr>
      </w:pPr>
    </w:p>
    <w:p>
      <w:pPr>
        <w:ind w:left="340" w:hanging="335"/>
        <w:spacing w:after="0"/>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Use of Estimates</w:t>
      </w:r>
    </w:p>
    <w:p>
      <w:pPr>
        <w:spacing w:after="0" w:line="224"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stock-based compensation expense, estimated useful lives of property and equipment, and taxes.</w:t>
      </w:r>
    </w:p>
    <w:p>
      <w:pPr>
        <w:spacing w:after="0" w:line="185" w:lineRule="exact"/>
        <w:rPr>
          <w:sz w:val="20"/>
          <w:szCs w:val="20"/>
          <w:color w:val="auto"/>
        </w:rPr>
      </w:pPr>
    </w:p>
    <w:p>
      <w:pPr>
        <w:ind w:left="340" w:hanging="335"/>
        <w:spacing w:after="0"/>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Foreign Currency Translation</w:t>
      </w:r>
    </w:p>
    <w:p>
      <w:pPr>
        <w:spacing w:after="0" w:line="224" w:lineRule="exact"/>
        <w:rPr>
          <w:sz w:val="20"/>
          <w:szCs w:val="20"/>
          <w:color w:val="auto"/>
        </w:rPr>
      </w:pPr>
    </w:p>
    <w:p>
      <w:pPr>
        <w:jc w:val="both"/>
        <w:ind w:firstLine="332"/>
        <w:spacing w:after="0" w:line="294" w:lineRule="auto"/>
        <w:rPr>
          <w:sz w:val="20"/>
          <w:szCs w:val="20"/>
          <w:color w:val="auto"/>
        </w:rPr>
      </w:pPr>
      <w:r>
        <w:rPr>
          <w:rFonts w:ascii="Arial" w:cs="Arial" w:eastAsia="Arial" w:hAnsi="Arial"/>
          <w:sz w:val="16"/>
          <w:szCs w:val="16"/>
          <w:color w:val="auto"/>
        </w:rPr>
        <w:t>All assets and liabilities of foreign subsidiaries are translated into U.S. dollars at the exchange rate as of the balance sheet date. Revenue and expense accounts are translated at weighted-average rates for the reporting period. Translation adjustments do not impact the results of operations and are reported as a separate component of stockholders' equity. Foreign currency transaction gains and losses are included in the consolidated statements of operations.</w:t>
      </w:r>
    </w:p>
    <w:p>
      <w:pPr>
        <w:spacing w:after="0" w:line="163" w:lineRule="exact"/>
        <w:rPr>
          <w:sz w:val="20"/>
          <w:szCs w:val="20"/>
          <w:color w:val="auto"/>
        </w:rPr>
      </w:pPr>
    </w:p>
    <w:p>
      <w:pPr>
        <w:ind w:left="340" w:hanging="335"/>
        <w:spacing w:after="0"/>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Fair Value</w:t>
      </w:r>
    </w:p>
    <w:p>
      <w:pPr>
        <w:spacing w:after="0" w:line="224" w:lineRule="exact"/>
        <w:rPr>
          <w:sz w:val="20"/>
          <w:szCs w:val="20"/>
          <w:color w:val="auto"/>
        </w:rPr>
      </w:pPr>
    </w:p>
    <w:p>
      <w:pPr>
        <w:jc w:val="both"/>
        <w:ind w:right="200" w:firstLine="338"/>
        <w:spacing w:after="0" w:line="294" w:lineRule="auto"/>
        <w:rPr>
          <w:sz w:val="20"/>
          <w:szCs w:val="20"/>
          <w:color w:val="auto"/>
        </w:rPr>
      </w:pPr>
      <w:r>
        <w:rPr>
          <w:rFonts w:ascii="Arial" w:cs="Arial" w:eastAsia="Arial" w:hAnsi="Arial"/>
          <w:sz w:val="16"/>
          <w:szCs w:val="16"/>
          <w:color w:val="auto"/>
        </w:rPr>
        <w:t>The carrying value of cash and cash equivalents,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63" w:lineRule="exact"/>
        <w:rPr>
          <w:sz w:val="20"/>
          <w:szCs w:val="20"/>
          <w:color w:val="auto"/>
        </w:rPr>
      </w:pPr>
    </w:p>
    <w:p>
      <w:pPr>
        <w:ind w:left="340" w:hanging="335"/>
        <w:spacing w:after="0"/>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Cash and Cash Equivalents</w:t>
      </w:r>
    </w:p>
    <w:p>
      <w:pPr>
        <w:spacing w:after="0" w:line="224" w:lineRule="exact"/>
        <w:rPr>
          <w:sz w:val="20"/>
          <w:szCs w:val="20"/>
          <w:color w:val="auto"/>
        </w:rPr>
      </w:pPr>
    </w:p>
    <w:p>
      <w:pPr>
        <w:ind w:right="420" w:firstLine="338"/>
        <w:spacing w:after="0" w:line="282" w:lineRule="auto"/>
        <w:rPr>
          <w:sz w:val="20"/>
          <w:szCs w:val="20"/>
          <w:color w:val="auto"/>
        </w:rPr>
      </w:pPr>
      <w:r>
        <w:rPr>
          <w:rFonts w:ascii="Arial" w:cs="Arial" w:eastAsia="Arial" w:hAnsi="Arial"/>
          <w:sz w:val="17"/>
          <w:szCs w:val="17"/>
          <w:color w:val="auto"/>
        </w:rPr>
        <w:t>The Company considers all highly liquid securities with an original maturity of ninety days or less from the date of purchase to be cash equivalents. Cash in foreign accounts was approximately $1.1 million and $1.4 million at December 31, 2012 and 2011, respectively.</w:t>
      </w:r>
    </w:p>
    <w:p>
      <w:pPr>
        <w:spacing w:after="0" w:line="170"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2012, approximately $9.4 million of U.S. deposits were not covered by FDIC insurance. The Company has not experienced any losses and believes it is not exposed to any significant risk with such accounts.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left="340" w:hanging="335"/>
        <w:spacing w:after="0"/>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Restricted Cash/Compensating Balances</w:t>
      </w:r>
    </w:p>
    <w:p>
      <w:pPr>
        <w:spacing w:after="0" w:line="224" w:lineRule="exact"/>
        <w:rPr>
          <w:sz w:val="20"/>
          <w:szCs w:val="20"/>
          <w:color w:val="auto"/>
        </w:rPr>
      </w:pPr>
    </w:p>
    <w:p>
      <w:pPr>
        <w:ind w:right="280" w:firstLine="338"/>
        <w:spacing w:after="0" w:line="315" w:lineRule="auto"/>
        <w:rPr>
          <w:sz w:val="20"/>
          <w:szCs w:val="20"/>
          <w:color w:val="auto"/>
        </w:rPr>
      </w:pPr>
      <w:r>
        <w:rPr>
          <w:rFonts w:ascii="Arial" w:cs="Arial" w:eastAsia="Arial" w:hAnsi="Arial"/>
          <w:sz w:val="16"/>
          <w:szCs w:val="16"/>
          <w:color w:val="auto"/>
        </w:rPr>
        <w:t>The Company is required to maintain a minimum balance equal to 30% in 2012 and 10% in 2011 and 2010 of one of its lines of credit with a bank, as well as other restricted cash balances. As of December 31, 2012 and 2011, the amount of restricted cash was $0.5 million and $0.3 million, respectively.</w:t>
      </w:r>
    </w:p>
    <w:p>
      <w:pPr>
        <w:spacing w:after="0" w:line="146" w:lineRule="exact"/>
        <w:rPr>
          <w:sz w:val="20"/>
          <w:szCs w:val="20"/>
          <w:color w:val="auto"/>
        </w:rPr>
      </w:pPr>
    </w:p>
    <w:p>
      <w:pPr>
        <w:ind w:left="340" w:hanging="335"/>
        <w:spacing w:after="0"/>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Accounts Receivable/Allowance for Doubtful Accounts</w:t>
      </w:r>
    </w:p>
    <w:p>
      <w:pPr>
        <w:spacing w:after="0" w:line="224" w:lineRule="exact"/>
        <w:rPr>
          <w:sz w:val="20"/>
          <w:szCs w:val="20"/>
          <w:color w:val="auto"/>
        </w:rPr>
      </w:pPr>
    </w:p>
    <w:p>
      <w:pPr>
        <w:ind w:firstLine="338"/>
        <w:spacing w:after="0" w:line="352" w:lineRule="auto"/>
        <w:rPr>
          <w:sz w:val="20"/>
          <w:szCs w:val="20"/>
          <w:color w:val="auto"/>
        </w:rPr>
      </w:pPr>
      <w:r>
        <w:rPr>
          <w:rFonts w:ascii="Arial" w:cs="Arial" w:eastAsia="Arial" w:hAnsi="Arial"/>
          <w:sz w:val="15"/>
          <w:szCs w:val="15"/>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23" w:lineRule="exact"/>
        <w:rPr>
          <w:sz w:val="20"/>
          <w:szCs w:val="20"/>
          <w:color w:val="auto"/>
        </w:rPr>
      </w:pPr>
    </w:p>
    <w:p>
      <w:pPr>
        <w:ind w:left="340" w:hanging="335"/>
        <w:spacing w:after="0"/>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Notes Receivable</w:t>
      </w:r>
    </w:p>
    <w:p>
      <w:pPr>
        <w:spacing w:after="0" w:line="224"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Company carries its notes receivable at face value or discounted value if the note is interest bearing. The maturity date of the notes receivable are all within one year of the original issuance date and are carried at face value.</w:t>
      </w:r>
    </w:p>
    <w:p>
      <w:pPr>
        <w:spacing w:after="0" w:line="170" w:lineRule="exact"/>
        <w:rPr>
          <w:sz w:val="20"/>
          <w:szCs w:val="20"/>
          <w:color w:val="auto"/>
        </w:rPr>
      </w:pPr>
    </w:p>
    <w:p>
      <w:pPr>
        <w:ind w:left="340" w:hanging="335"/>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Concentration of Credit Risk and Significant Customers</w:t>
      </w:r>
    </w:p>
    <w:p>
      <w:pPr>
        <w:spacing w:after="0" w:line="224" w:lineRule="exact"/>
        <w:rPr>
          <w:sz w:val="20"/>
          <w:szCs w:val="20"/>
          <w:color w:val="auto"/>
        </w:rPr>
      </w:pPr>
    </w:p>
    <w:p>
      <w:pPr>
        <w:ind w:right="580" w:firstLine="341"/>
        <w:spacing w:after="0" w:line="282" w:lineRule="auto"/>
        <w:rPr>
          <w:sz w:val="20"/>
          <w:szCs w:val="20"/>
          <w:color w:val="auto"/>
        </w:rPr>
      </w:pPr>
      <w:r>
        <w:rPr>
          <w:rFonts w:ascii="Arial" w:cs="Arial" w:eastAsia="Arial" w:hAnsi="Arial"/>
          <w:sz w:val="17"/>
          <w:szCs w:val="17"/>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70"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Company's five largest customers represented an aggregate of 47%, 56% and 60% of total revenue for the years ended December 31, 2012, 2011 and 2010, respectively. The five largest receivable balances for customers represented an aggregate of 58%, and 71% of total accounts receivable at December 31, 2012 and 2011, respectively. For the years ended December 31, 2012 and 2011, Cisco Systems, Inc. and Biogenomics Corp. were the only customers that accounted for more than 10% of the Company's total revenue. In 2012, we earned revenue of $21.2 million and $7.1 million, from Cisco Systems, Inc. and Biogenomics Corp., respectively. In 2011, the Company earned $12.8 million and $5.6 million from Cisco Systems, Inc. and Biogenomics Corp., respectively.</w:t>
      </w:r>
    </w:p>
    <w:p>
      <w:pPr>
        <w:spacing w:after="0" w:line="175" w:lineRule="exact"/>
        <w:rPr>
          <w:sz w:val="20"/>
          <w:szCs w:val="20"/>
          <w:color w:val="auto"/>
        </w:rPr>
      </w:pPr>
    </w:p>
    <w:p>
      <w:pPr>
        <w:ind w:left="300" w:hanging="295"/>
        <w:spacing w:after="0"/>
        <w:tabs>
          <w:tab w:leader="none" w:pos="30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Fair Value Accounting</w:t>
      </w:r>
    </w:p>
    <w:p>
      <w:pPr>
        <w:spacing w:after="0" w:line="224"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value according to a hierarchy that prioritized inputs based on the degree to which they are observable. The three levels of the fair value hierarchy are as follows:</w:t>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Level 1—Inputs represent quoted prices in active markets for identical assets or liabilities.</w:t>
      </w:r>
    </w:p>
    <w:p>
      <w:pPr>
        <w:spacing w:after="0" w:line="224" w:lineRule="exact"/>
        <w:rPr>
          <w:sz w:val="20"/>
          <w:szCs w:val="20"/>
          <w:color w:val="auto"/>
        </w:rPr>
      </w:pPr>
    </w:p>
    <w:p>
      <w:pPr>
        <w:ind w:left="520" w:right="200" w:firstLine="341"/>
        <w:spacing w:after="0" w:line="352" w:lineRule="auto"/>
        <w:rPr>
          <w:sz w:val="20"/>
          <w:szCs w:val="20"/>
          <w:color w:val="auto"/>
        </w:rPr>
      </w:pPr>
      <w:r>
        <w:rPr>
          <w:rFonts w:ascii="Arial" w:cs="Arial" w:eastAsia="Arial" w:hAnsi="Arial"/>
          <w:sz w:val="15"/>
          <w:szCs w:val="15"/>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23" w:lineRule="exact"/>
        <w:rPr>
          <w:sz w:val="20"/>
          <w:szCs w:val="20"/>
          <w:color w:val="auto"/>
        </w:rPr>
      </w:pPr>
    </w:p>
    <w:p>
      <w:pPr>
        <w:ind w:left="520" w:right="520" w:firstLine="341"/>
        <w:spacing w:after="0" w:line="282" w:lineRule="auto"/>
        <w:rPr>
          <w:sz w:val="20"/>
          <w:szCs w:val="20"/>
          <w:color w:val="auto"/>
        </w:rPr>
      </w:pPr>
      <w:r>
        <w:rPr>
          <w:rFonts w:ascii="Arial" w:cs="Arial" w:eastAsia="Arial" w:hAnsi="Arial"/>
          <w:sz w:val="17"/>
          <w:szCs w:val="17"/>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300" w:hanging="295"/>
        <w:spacing w:after="0"/>
        <w:tabs>
          <w:tab w:leader="none" w:pos="30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Inventories</w:t>
      </w:r>
    </w:p>
    <w:p>
      <w:pPr>
        <w:spacing w:after="0" w:line="224"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79" w:lineRule="exact"/>
        <w:rPr>
          <w:sz w:val="20"/>
          <w:szCs w:val="20"/>
          <w:color w:val="auto"/>
        </w:rPr>
      </w:pPr>
    </w:p>
    <w:p>
      <w:pPr>
        <w:ind w:left="300" w:hanging="295"/>
        <w:spacing w:after="0"/>
        <w:tabs>
          <w:tab w:leader="none" w:pos="30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Property, Plant and Equipment</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Property, plant and equipment are stated at cost, net of accumulated depreciation and amortization. The Company calculates depreciation using the straight-line method over the following estimated useful lives: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ind w:left="2340"/>
              <w:spacing w:after="0"/>
              <w:rPr>
                <w:sz w:val="20"/>
                <w:szCs w:val="20"/>
                <w:color w:val="auto"/>
              </w:rPr>
            </w:pPr>
            <w:r>
              <w:rPr>
                <w:rFonts w:ascii="Arial" w:cs="Arial" w:eastAsia="Arial" w:hAnsi="Arial"/>
                <w:sz w:val="13"/>
                <w:szCs w:val="13"/>
                <w:b w:val="1"/>
                <w:bCs w:val="1"/>
                <w:color w:val="auto"/>
              </w:rPr>
              <w:t>Useful lives</w:t>
            </w: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20 - 40 years</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Land improvements</w:t>
            </w:r>
          </w:p>
        </w:tc>
        <w:tc>
          <w:tcPr>
            <w:tcW w:w="5840" w:type="dxa"/>
            <w:vAlign w:val="bottom"/>
            <w:gridSpan w:val="3"/>
          </w:tcPr>
          <w:p>
            <w:pPr>
              <w:ind w:left="340"/>
              <w:spacing w:after="0"/>
              <w:rPr>
                <w:sz w:val="20"/>
                <w:szCs w:val="20"/>
                <w:color w:val="auto"/>
              </w:rPr>
            </w:pPr>
            <w:r>
              <w:rPr>
                <w:rFonts w:ascii="Arial" w:cs="Arial" w:eastAsia="Arial" w:hAnsi="Arial"/>
                <w:sz w:val="17"/>
                <w:szCs w:val="17"/>
                <w:color w:val="auto"/>
              </w:rPr>
              <w:t>10 years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3</w:t>
            </w: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- 20 years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40" w:type="dxa"/>
            <w:vAlign w:val="bottom"/>
            <w:gridSpan w:val="2"/>
          </w:tcPr>
          <w:p>
            <w:pPr>
              <w:ind w:left="340"/>
              <w:spacing w:after="0"/>
              <w:rPr>
                <w:sz w:val="20"/>
                <w:szCs w:val="20"/>
                <w:color w:val="auto"/>
              </w:rPr>
            </w:pPr>
            <w:r>
              <w:rPr>
                <w:rFonts w:ascii="Arial" w:cs="Arial" w:eastAsia="Arial" w:hAnsi="Arial"/>
                <w:sz w:val="17"/>
                <w:szCs w:val="17"/>
                <w:color w:val="auto"/>
                <w:w w:val="84"/>
              </w:rPr>
              <w:t>1</w:t>
            </w:r>
          </w:p>
        </w:tc>
        <w:tc>
          <w:tcPr>
            <w:tcW w:w="5400" w:type="dxa"/>
            <w:vAlign w:val="bottom"/>
          </w:tcPr>
          <w:p>
            <w:pPr>
              <w:ind w:left="20"/>
              <w:spacing w:after="0"/>
              <w:rPr>
                <w:sz w:val="20"/>
                <w:szCs w:val="20"/>
                <w:color w:val="auto"/>
              </w:rPr>
            </w:pPr>
            <w:r>
              <w:rPr>
                <w:rFonts w:ascii="Arial" w:cs="Arial" w:eastAsia="Arial" w:hAnsi="Arial"/>
                <w:sz w:val="17"/>
                <w:szCs w:val="17"/>
                <w:color w:val="auto"/>
              </w:rPr>
              <w:t>- 8 years</w:t>
            </w:r>
          </w:p>
        </w:tc>
        <w:tc>
          <w:tcPr>
            <w:tcW w:w="1720" w:type="dxa"/>
            <w:vAlign w:val="bottom"/>
          </w:tcPr>
          <w:p>
            <w:pPr>
              <w:spacing w:after="0"/>
              <w:rPr>
                <w:sz w:val="18"/>
                <w:szCs w:val="18"/>
                <w:color w:val="auto"/>
              </w:rPr>
            </w:pPr>
          </w:p>
        </w:tc>
      </w:tr>
      <w:tr>
        <w:trPr>
          <w:trHeight w:val="201"/>
        </w:trPr>
        <w:tc>
          <w:tcPr>
            <w:tcW w:w="17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8"/>
        </w:trPr>
        <w:tc>
          <w:tcPr>
            <w:tcW w:w="1720" w:type="dxa"/>
            <w:vAlign w:val="bottom"/>
          </w:tcPr>
          <w:p>
            <w:pPr>
              <w:spacing w:after="0"/>
              <w:rPr>
                <w:sz w:val="18"/>
                <w:szCs w:val="18"/>
                <w:color w:val="auto"/>
              </w:rPr>
            </w:pPr>
          </w:p>
        </w:tc>
        <w:tc>
          <w:tcPr>
            <w:tcW w:w="2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software</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3</w:t>
            </w:r>
          </w:p>
        </w:tc>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 years</w:t>
            </w:r>
          </w:p>
        </w:tc>
        <w:tc>
          <w:tcPr>
            <w:tcW w:w="1720" w:type="dxa"/>
            <w:vAlign w:val="bottom"/>
          </w:tcPr>
          <w:p>
            <w:pPr>
              <w:spacing w:after="0"/>
              <w:rPr>
                <w:sz w:val="18"/>
                <w:szCs w:val="18"/>
                <w:color w:val="auto"/>
              </w:rPr>
            </w:pPr>
          </w:p>
        </w:tc>
      </w:tr>
      <w:tr>
        <w:trPr>
          <w:trHeight w:val="201"/>
        </w:trPr>
        <w:tc>
          <w:tcPr>
            <w:tcW w:w="17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840" w:type="dxa"/>
            <w:vAlign w:val="bottom"/>
            <w:gridSpan w:val="3"/>
          </w:tcPr>
          <w:p>
            <w:pPr>
              <w:ind w:left="340"/>
              <w:spacing w:after="0"/>
              <w:rPr>
                <w:sz w:val="20"/>
                <w:szCs w:val="20"/>
                <w:color w:val="auto"/>
              </w:rPr>
            </w:pPr>
            <w:r>
              <w:rPr>
                <w:rFonts w:ascii="Arial" w:cs="Arial" w:eastAsia="Arial" w:hAnsi="Arial"/>
                <w:sz w:val="17"/>
                <w:szCs w:val="17"/>
                <w:color w:val="auto"/>
              </w:rPr>
              <w:t>The shorter of the life of the applicable lease or the useful life of the</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gridSpan w:val="4"/>
          </w:tcPr>
          <w:p>
            <w:pPr>
              <w:ind w:left="340"/>
              <w:spacing w:after="0"/>
              <w:rPr>
                <w:sz w:val="20"/>
                <w:szCs w:val="20"/>
                <w:color w:val="auto"/>
              </w:rPr>
            </w:pPr>
            <w:r>
              <w:rPr>
                <w:rFonts w:ascii="Arial" w:cs="Arial" w:eastAsia="Arial" w:hAnsi="Arial"/>
                <w:sz w:val="17"/>
                <w:szCs w:val="17"/>
                <w:color w:val="auto"/>
              </w:rPr>
              <w:t>improvement</w:t>
            </w:r>
          </w:p>
        </w:tc>
      </w:tr>
      <w:tr>
        <w:trPr>
          <w:trHeight w:val="212"/>
        </w:trPr>
        <w:tc>
          <w:tcPr>
            <w:tcW w:w="17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5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5 years</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gridSpan w:val="2"/>
          </w:tcPr>
          <w:p>
            <w:pPr>
              <w:ind w:left="1260"/>
              <w:spacing w:after="0"/>
              <w:rPr>
                <w:sz w:val="20"/>
                <w:szCs w:val="20"/>
                <w:color w:val="auto"/>
              </w:rPr>
            </w:pPr>
            <w:r>
              <w:rPr>
                <w:rFonts w:ascii="Arial" w:cs="Arial" w:eastAsia="Arial" w:hAnsi="Arial"/>
                <w:sz w:val="17"/>
                <w:szCs w:val="17"/>
                <w:color w:val="auto"/>
              </w:rPr>
              <w:t>F-11</w:t>
            </w:r>
          </w:p>
        </w:tc>
      </w:tr>
      <w:tr>
        <w:trPr>
          <w:trHeight w:val="222"/>
        </w:trPr>
        <w:tc>
          <w:tcPr>
            <w:tcW w:w="17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5" w:lineRule="exact"/>
        <w:rPr>
          <w:sz w:val="20"/>
          <w:szCs w:val="20"/>
          <w:color w:val="auto"/>
        </w:rPr>
      </w:pPr>
    </w:p>
    <w:p>
      <w:pPr>
        <w:ind w:right="320" w:firstLine="341"/>
        <w:spacing w:after="0" w:line="270" w:lineRule="auto"/>
        <w:rPr>
          <w:sz w:val="20"/>
          <w:szCs w:val="20"/>
          <w:color w:val="auto"/>
        </w:rPr>
      </w:pPr>
      <w:r>
        <w:rPr>
          <w:rFonts w:ascii="Arial" w:cs="Arial" w:eastAsia="Arial" w:hAnsi="Arial"/>
          <w:sz w:val="17"/>
          <w:szCs w:val="17"/>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March 8, 2054.</w:t>
      </w:r>
    </w:p>
    <w:p>
      <w:pPr>
        <w:spacing w:after="0" w:line="179" w:lineRule="exact"/>
        <w:rPr>
          <w:sz w:val="20"/>
          <w:szCs w:val="20"/>
          <w:color w:val="auto"/>
        </w:rPr>
      </w:pPr>
    </w:p>
    <w:p>
      <w:pPr>
        <w:ind w:left="300" w:hanging="295"/>
        <w:spacing w:after="0"/>
        <w:tabs>
          <w:tab w:leader="none" w:pos="30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Intangible Assets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Intangible assets consist of intellectual property that is stated at cost less accumulated amortization. As of December 31, 2012, the Company had 103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7" w:lineRule="exact"/>
        <w:rPr>
          <w:sz w:val="20"/>
          <w:szCs w:val="20"/>
          <w:color w:val="auto"/>
        </w:rPr>
      </w:pPr>
    </w:p>
    <w:p>
      <w:pPr>
        <w:ind w:left="300" w:hanging="295"/>
        <w:spacing w:after="0"/>
        <w:tabs>
          <w:tab w:leader="none" w:pos="30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Impairment of Long-Lived Assets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 xml:space="preserve">The Company accounts for impairment of long-lived assets in accordance with Accounting Standards Codification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("ASC 360"). Long-lived assets consist primarily of property, plant and equipment. In accordance with ASC 360, the Company periodically evaluates long-lived assets whenever events or changes in circumstances indicate that the carrying amount of an asset may not be recoverable. The Company obtained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190"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measurement for such an impairment loss is then based on the fair value of the asset as determined by the appraisals. During 2010, the Company recorded a $0.5 million noncash asset impairment charge on equipment with carrying values lower than estimated fair values.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left="300" w:hanging="295"/>
        <w:spacing w:after="0"/>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Comprehensive Income</w:t>
      </w:r>
    </w:p>
    <w:p>
      <w:pPr>
        <w:spacing w:after="0" w:line="224"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 xml:space="preserve">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70" w:lineRule="exact"/>
        <w:rPr>
          <w:sz w:val="20"/>
          <w:szCs w:val="20"/>
          <w:color w:val="auto"/>
        </w:rPr>
      </w:pPr>
    </w:p>
    <w:p>
      <w:pPr>
        <w:ind w:left="300" w:hanging="295"/>
        <w:spacing w:after="0"/>
        <w:tabs>
          <w:tab w:leader="none" w:pos="3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Stock-Based Compensation</w:t>
      </w:r>
    </w:p>
    <w:p>
      <w:pPr>
        <w:spacing w:after="0" w:line="224"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estimated grant date fair value, net of an estimated forfeiture rate, in order to recognize compensation cost for those shares expected to vest. Compensation cost is recognized on a straight-line basis over the vesting period of the options.</w:t>
      </w:r>
    </w:p>
    <w:p>
      <w:pPr>
        <w:spacing w:after="0" w:line="163" w:lineRule="exact"/>
        <w:rPr>
          <w:sz w:val="20"/>
          <w:szCs w:val="20"/>
          <w:color w:val="auto"/>
        </w:rPr>
      </w:pPr>
    </w:p>
    <w:p>
      <w:pPr>
        <w:ind w:left="300" w:hanging="295"/>
        <w:spacing w:after="0"/>
        <w:tabs>
          <w:tab w:leader="none" w:pos="30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right="120" w:firstLine="338"/>
        <w:spacing w:after="0" w:line="306" w:lineRule="auto"/>
        <w:rPr>
          <w:sz w:val="20"/>
          <w:szCs w:val="20"/>
          <w:color w:val="auto"/>
        </w:rPr>
      </w:pPr>
      <w:r>
        <w:rPr>
          <w:rFonts w:ascii="Arial" w:cs="Arial" w:eastAsia="Arial" w:hAnsi="Arial"/>
          <w:sz w:val="15"/>
          <w:szCs w:val="15"/>
          <w:color w:val="auto"/>
        </w:rPr>
        <w:t xml:space="preserve">The Company derives revenue from the manufacture and sale of fiber optic networking products. Revenue recognition follows the criteria of ASC 605,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Recognition</w:t>
      </w:r>
      <w:r>
        <w:rPr>
          <w:rFonts w:ascii="Arial" w:cs="Arial" w:eastAsia="Arial" w:hAnsi="Arial"/>
          <w:sz w:val="15"/>
          <w:szCs w:val="15"/>
          <w:color w:val="auto"/>
        </w:rPr>
        <w:t>. Specifically, the Company recognizes revenue when persuasive evidence exists of an arrangement with a customer, usually in the form of a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order; delivery to a third party carrier has occurred; title and risk of loss have transferred to the customer; the price is fixed or determinable; collectability is reasonably assured and there are no uncertainties with respect to customer acceptance. The Company may offer units (samples) to current and potential customers at no charge for evaluation or qualification purposes. Such sample units are expensed as selling or research and development costs when shipped.</w:t>
      </w:r>
    </w:p>
    <w:p>
      <w:pPr>
        <w:spacing w:after="0" w:line="159" w:lineRule="exact"/>
        <w:rPr>
          <w:sz w:val="20"/>
          <w:szCs w:val="20"/>
          <w:color w:val="auto"/>
        </w:rPr>
      </w:pPr>
    </w:p>
    <w:p>
      <w:pPr>
        <w:ind w:left="300" w:hanging="295"/>
        <w:spacing w:after="0"/>
        <w:tabs>
          <w:tab w:leader="none" w:pos="3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Advertising Costs</w:t>
      </w:r>
    </w:p>
    <w:p>
      <w:pPr>
        <w:spacing w:after="0" w:line="224"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Advertising costs are charged to operations as incurred and amounted to approximately $80,000, $104,000 and $78,000 for the years ended December 31, 2012, 2011 and 2010, respectively.</w:t>
      </w:r>
    </w:p>
    <w:p>
      <w:pPr>
        <w:spacing w:after="0" w:line="170" w:lineRule="exact"/>
        <w:rPr>
          <w:sz w:val="20"/>
          <w:szCs w:val="20"/>
          <w:color w:val="auto"/>
        </w:rPr>
      </w:pPr>
    </w:p>
    <w:p>
      <w:pPr>
        <w:ind w:left="300" w:hanging="295"/>
        <w:spacing w:after="0"/>
        <w:tabs>
          <w:tab w:leader="none" w:pos="3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Research and development costs are charged to operations as incurred.</w:t>
      </w:r>
    </w:p>
    <w:p>
      <w:pPr>
        <w:spacing w:after="0" w:line="224" w:lineRule="exact"/>
        <w:rPr>
          <w:sz w:val="20"/>
          <w:szCs w:val="20"/>
          <w:color w:val="auto"/>
        </w:rPr>
      </w:pPr>
    </w:p>
    <w:p>
      <w:pPr>
        <w:ind w:left="300" w:hanging="295"/>
        <w:spacing w:after="0"/>
        <w:tabs>
          <w:tab w:leader="none" w:pos="3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Income Taxes</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realizability of deferred tax assets are evaluated annually and a valuation allowance is provided if it is unlikely that the deferred tax assets will not give rise to future benefits in the Company's tax returns.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Uncertain tax provisions are recorded at their net recognizable amount, based on the amount of tax, interest and penalties that management deems is more likely than not to be sustained upon settlement with the tax authorities in the domestic and international jurisdictions in which the Company operates. The Company records tax-related interest and penalties as a component of income tax expense.</w:t>
      </w:r>
    </w:p>
    <w:p>
      <w:pPr>
        <w:spacing w:after="0" w:line="179" w:lineRule="exact"/>
        <w:rPr>
          <w:sz w:val="20"/>
          <w:szCs w:val="20"/>
          <w:color w:val="auto"/>
        </w:rPr>
      </w:pPr>
    </w:p>
    <w:p>
      <w:pPr>
        <w:ind w:left="300" w:hanging="295"/>
        <w:spacing w:after="0"/>
        <w:tabs>
          <w:tab w:leader="none" w:pos="3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Supplemental Cash Flow Information</w:t>
      </w:r>
    </w:p>
    <w:p>
      <w:pPr>
        <w:spacing w:after="0" w:line="224" w:lineRule="exact"/>
        <w:rPr>
          <w:sz w:val="20"/>
          <w:szCs w:val="20"/>
          <w:color w:val="auto"/>
        </w:rPr>
      </w:pPr>
    </w:p>
    <w:p>
      <w:pPr>
        <w:ind w:right="380" w:firstLine="341"/>
        <w:spacing w:after="0" w:line="352" w:lineRule="auto"/>
        <w:rPr>
          <w:sz w:val="20"/>
          <w:szCs w:val="20"/>
          <w:color w:val="auto"/>
        </w:rPr>
      </w:pPr>
      <w:r>
        <w:rPr>
          <w:rFonts w:ascii="Arial" w:cs="Arial" w:eastAsia="Arial" w:hAnsi="Arial"/>
          <w:sz w:val="15"/>
          <w:szCs w:val="15"/>
          <w:color w:val="auto"/>
        </w:rPr>
        <w:t>During the years ended December 31, 2012 and 2011, $0.8 million and $1.1 million in aggregate principal amount of the convertible shareholder notes was converted by the holders, respectively. Upon conversion, 72,381 shares and 60,556 shares of Series G Preferred Stock were issued to the holders, respectively.</w:t>
      </w:r>
    </w:p>
    <w:p>
      <w:pPr>
        <w:spacing w:after="0" w:line="123" w:lineRule="exact"/>
        <w:rPr>
          <w:sz w:val="20"/>
          <w:szCs w:val="20"/>
          <w:color w:val="auto"/>
        </w:rPr>
      </w:pPr>
    </w:p>
    <w:p>
      <w:pPr>
        <w:ind w:left="300" w:hanging="295"/>
        <w:spacing w:after="0"/>
        <w:tabs>
          <w:tab w:leader="none" w:pos="3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New Accounting Standards Adopted in this Report</w:t>
      </w:r>
    </w:p>
    <w:p>
      <w:pPr>
        <w:spacing w:after="0" w:line="224" w:lineRule="exact"/>
        <w:rPr>
          <w:sz w:val="20"/>
          <w:szCs w:val="20"/>
          <w:color w:val="auto"/>
        </w:rPr>
      </w:pPr>
    </w:p>
    <w:p>
      <w:pPr>
        <w:ind w:right="60" w:firstLine="338"/>
        <w:spacing w:after="0" w:line="261" w:lineRule="auto"/>
        <w:rPr>
          <w:sz w:val="20"/>
          <w:szCs w:val="20"/>
          <w:color w:val="auto"/>
        </w:rPr>
      </w:pPr>
      <w:r>
        <w:rPr>
          <w:rFonts w:ascii="Arial" w:cs="Arial" w:eastAsia="Arial" w:hAnsi="Arial"/>
          <w:sz w:val="17"/>
          <w:szCs w:val="17"/>
          <w:i w:val="1"/>
          <w:iCs w:val="1"/>
          <w:color w:val="auto"/>
        </w:rPr>
        <w:t xml:space="preserve">ASU 2011-04. </w:t>
      </w:r>
      <w:r>
        <w:rPr>
          <w:rFonts w:ascii="Arial" w:cs="Arial" w:eastAsia="Arial" w:hAnsi="Arial"/>
          <w:sz w:val="17"/>
          <w:szCs w:val="17"/>
          <w:color w:val="auto"/>
        </w:rPr>
        <w:t>In May 2011, the FASB issued ASU 2011-04,</w:t>
      </w:r>
      <w:r>
        <w:rPr>
          <w:rFonts w:ascii="Arial" w:cs="Arial" w:eastAsia="Arial" w:hAnsi="Arial"/>
          <w:sz w:val="17"/>
          <w:szCs w:val="17"/>
          <w:i w:val="1"/>
          <w:iCs w:val="1"/>
          <w:color w:val="auto"/>
        </w:rPr>
        <w:t xml:space="preserve"> Fair Value Measurement </w:t>
      </w:r>
      <w:r>
        <w:rPr>
          <w:rFonts w:ascii="Arial" w:cs="Arial" w:eastAsia="Arial" w:hAnsi="Arial"/>
          <w:sz w:val="17"/>
          <w:szCs w:val="17"/>
          <w:color w:val="auto"/>
        </w:rPr>
        <w:t>(Topic 820):</w:t>
      </w:r>
      <w:r>
        <w:rPr>
          <w:rFonts w:ascii="Arial" w:cs="Arial" w:eastAsia="Arial" w:hAnsi="Arial"/>
          <w:sz w:val="17"/>
          <w:szCs w:val="17"/>
          <w:i w:val="1"/>
          <w:iCs w:val="1"/>
          <w:color w:val="auto"/>
        </w:rPr>
        <w:t xml:space="preserve"> Amendments to Achieve Common Fair Value Measurement and Disclosure Requirements in U.S. GAAP and IFRS</w:t>
      </w:r>
      <w:r>
        <w:rPr>
          <w:rFonts w:ascii="Arial" w:cs="Arial" w:eastAsia="Arial" w:hAnsi="Arial"/>
          <w:sz w:val="17"/>
          <w:szCs w:val="17"/>
          <w:color w:val="auto"/>
        </w:rPr>
        <w:t>. This ASU represents the converged guidance of the FASB and the IASB on measuring fair value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disclosing information about fair value measurements. The amendments in this ASU clarify the board of directors' intent about the application of existing fair value measurement and disclosure requirements and changes particular principles or requirements for measuring fair value and for disclosing information about fair value measurements. ASU 2011-04 is effective prospectively for interim and annual reporting periods beginning after December 15, 2011. The Company adopted the provisions of ASU 2011-04 on January 1, 2012, and the adoption of this standard did not have a material impact on the Company's financial position, results of operations or cash flows.</w:t>
      </w:r>
    </w:p>
    <w:p>
      <w:pPr>
        <w:spacing w:after="0" w:line="190" w:lineRule="exact"/>
        <w:rPr>
          <w:sz w:val="20"/>
          <w:szCs w:val="20"/>
          <w:color w:val="auto"/>
        </w:rPr>
      </w:pPr>
    </w:p>
    <w:p>
      <w:pPr>
        <w:ind w:firstLine="338"/>
        <w:spacing w:after="0" w:line="279" w:lineRule="auto"/>
        <w:rPr>
          <w:sz w:val="20"/>
          <w:szCs w:val="20"/>
          <w:color w:val="auto"/>
        </w:rPr>
      </w:pPr>
      <w:r>
        <w:rPr>
          <w:rFonts w:ascii="Arial" w:cs="Arial" w:eastAsia="Arial" w:hAnsi="Arial"/>
          <w:sz w:val="16"/>
          <w:szCs w:val="16"/>
          <w:i w:val="1"/>
          <w:iCs w:val="1"/>
          <w:color w:val="auto"/>
        </w:rPr>
        <w:t xml:space="preserve">ASU 2011-05. </w:t>
      </w:r>
      <w:r>
        <w:rPr>
          <w:rFonts w:ascii="Arial" w:cs="Arial" w:eastAsia="Arial" w:hAnsi="Arial"/>
          <w:sz w:val="16"/>
          <w:szCs w:val="16"/>
          <w:color w:val="auto"/>
        </w:rPr>
        <w:t>In June 2011, the FASB issued ASU 2011-05,</w:t>
      </w:r>
      <w:r>
        <w:rPr>
          <w:rFonts w:ascii="Arial" w:cs="Arial" w:eastAsia="Arial" w:hAnsi="Arial"/>
          <w:sz w:val="16"/>
          <w:szCs w:val="16"/>
          <w:i w:val="1"/>
          <w:iCs w:val="1"/>
          <w:color w:val="auto"/>
        </w:rPr>
        <w:t xml:space="preserve"> Comprehensive Income </w:t>
      </w:r>
      <w:r>
        <w:rPr>
          <w:rFonts w:ascii="Arial" w:cs="Arial" w:eastAsia="Arial" w:hAnsi="Arial"/>
          <w:sz w:val="16"/>
          <w:szCs w:val="16"/>
          <w:color w:val="auto"/>
        </w:rPr>
        <w:t>(Topic 220):</w:t>
      </w:r>
      <w:r>
        <w:rPr>
          <w:rFonts w:ascii="Arial" w:cs="Arial" w:eastAsia="Arial" w:hAnsi="Arial"/>
          <w:sz w:val="16"/>
          <w:szCs w:val="16"/>
          <w:i w:val="1"/>
          <w:iCs w:val="1"/>
          <w:color w:val="auto"/>
        </w:rPr>
        <w:t xml:space="preserve"> Presentation of Comprehensive Income</w:t>
      </w:r>
      <w:r>
        <w:rPr>
          <w:rFonts w:ascii="Arial" w:cs="Arial" w:eastAsia="Arial" w:hAnsi="Arial"/>
          <w:sz w:val="16"/>
          <w:szCs w:val="16"/>
          <w:color w:val="auto"/>
        </w:rPr>
        <w:t>. The amendments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ASU eliminates the option to present the components of other comprehensive income as part of the statement of changes in stockholders' equity. ASU 2011-05 should be applied retrospectively for interim and annual reporting periods beginning after December 15, 2011 with early adoption permitted. The Company early adopted the provisions of ASU 2011-05 during the fourth quarter of 2011, and the adoption of this standard did not have a material impact on the Company's financial position, results of operations, or cash flows.</w:t>
      </w:r>
    </w:p>
    <w:p>
      <w:pPr>
        <w:spacing w:after="0" w:line="177" w:lineRule="exact"/>
        <w:rPr>
          <w:sz w:val="20"/>
          <w:szCs w:val="20"/>
          <w:color w:val="auto"/>
        </w:rPr>
      </w:pPr>
    </w:p>
    <w:p>
      <w:pPr>
        <w:ind w:right="200" w:firstLine="338"/>
        <w:spacing w:after="0" w:line="294" w:lineRule="auto"/>
        <w:rPr>
          <w:sz w:val="20"/>
          <w:szCs w:val="20"/>
          <w:color w:val="auto"/>
        </w:rPr>
      </w:pPr>
      <w:r>
        <w:rPr>
          <w:rFonts w:ascii="Arial" w:cs="Arial" w:eastAsia="Arial" w:hAnsi="Arial"/>
          <w:sz w:val="16"/>
          <w:szCs w:val="16"/>
          <w:i w:val="1"/>
          <w:iCs w:val="1"/>
          <w:color w:val="auto"/>
        </w:rPr>
        <w:t xml:space="preserve">ASU 2011-12. </w:t>
      </w:r>
      <w:r>
        <w:rPr>
          <w:rFonts w:ascii="Arial" w:cs="Arial" w:eastAsia="Arial" w:hAnsi="Arial"/>
          <w:sz w:val="16"/>
          <w:szCs w:val="16"/>
          <w:color w:val="auto"/>
        </w:rPr>
        <w:t>In December 2011, the FASB issued ASU 2011-12,</w:t>
      </w:r>
      <w:r>
        <w:rPr>
          <w:rFonts w:ascii="Arial" w:cs="Arial" w:eastAsia="Arial" w:hAnsi="Arial"/>
          <w:sz w:val="16"/>
          <w:szCs w:val="16"/>
          <w:i w:val="1"/>
          <w:iCs w:val="1"/>
          <w:color w:val="auto"/>
        </w:rPr>
        <w:t xml:space="preserve"> Deferral of the Effective Date for Amendment to the Presentation of Reclassifications of Items Out of Accumulated Other Comprehensive Income </w:t>
      </w:r>
      <w:r>
        <w:rPr>
          <w:rFonts w:ascii="Arial" w:cs="Arial" w:eastAsia="Arial" w:hAnsi="Arial"/>
          <w:sz w:val="16"/>
          <w:szCs w:val="16"/>
          <w:color w:val="auto"/>
        </w:rPr>
        <w:t>(Topic 220):</w:t>
      </w:r>
      <w:r>
        <w:rPr>
          <w:rFonts w:ascii="Arial" w:cs="Arial" w:eastAsia="Arial" w:hAnsi="Arial"/>
          <w:sz w:val="16"/>
          <w:szCs w:val="16"/>
          <w:i w:val="1"/>
          <w:iCs w:val="1"/>
          <w:color w:val="auto"/>
        </w:rPr>
        <w:t xml:space="preserve"> Presentation of Comprehensive Income</w:t>
      </w:r>
      <w:r>
        <w:rPr>
          <w:rFonts w:ascii="Arial" w:cs="Arial" w:eastAsia="Arial" w:hAnsi="Arial"/>
          <w:sz w:val="16"/>
          <w:szCs w:val="16"/>
          <w:color w:val="auto"/>
        </w:rPr>
        <w:t>. This ASU defers the guidance on whether to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to present reclassification adjustments out of accumulated other comprehensive income by component in both the statement where net</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as of June 30, 2013 and 2012 is 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SIGNIFICANT ACCOUNTING POLICIES (Continued)</w:t>
      </w:r>
    </w:p>
    <w:p>
      <w:pPr>
        <w:spacing w:after="0" w:line="228"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income is presented and the statement where other comprehensive income is presented for both interim and annual financial statements. ASU 2011-12 reinstated the requirements for the presentation of reclassifications that were in place prior to the issuance of ASU 2011-05 and did not change the effective date of ASU 2011-05. ASU 2011-12 should be applied consistently with ASU 2011-05; accordingly, this ASU is to be applied retrospectively for interim and annual reporting periods beginning after December 15, 2011, with early adoption permitted. The Company early adopted the provisions of ASU 2011-12 during the fourth quarter of 2011, and the adoption of this standard did not have a material impact on the Company's financial position, results of operations, or cash flows.</w:t>
      </w:r>
    </w:p>
    <w:p>
      <w:pPr>
        <w:spacing w:after="0" w:line="159" w:lineRule="exact"/>
        <w:rPr>
          <w:sz w:val="20"/>
          <w:szCs w:val="20"/>
          <w:color w:val="auto"/>
        </w:rPr>
      </w:pPr>
    </w:p>
    <w:p>
      <w:pPr>
        <w:ind w:left="300" w:hanging="295"/>
        <w:spacing w:after="0"/>
        <w:tabs>
          <w:tab w:leader="none" w:pos="3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Reverse Stock Split</w:t>
      </w:r>
    </w:p>
    <w:p>
      <w:pPr>
        <w:spacing w:after="0" w:line="224"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On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159" w:lineRule="exact"/>
        <w:rPr>
          <w:sz w:val="20"/>
          <w:szCs w:val="20"/>
          <w:color w:val="auto"/>
        </w:rPr>
      </w:pPr>
    </w:p>
    <w:p>
      <w:pPr>
        <w:ind w:left="300" w:hanging="295"/>
        <w:spacing w:after="0"/>
        <w:tabs>
          <w:tab w:leader="none" w:pos="3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Subsequent Events</w:t>
      </w:r>
    </w:p>
    <w:p>
      <w:pPr>
        <w:spacing w:after="0" w:line="224"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For the annual consolidated financial statements as of December 31, 2012 and for each of the three years then ended, the Company evaluated these consolidated financial statements and disclosures for subsequent events through May 21, 2013, the date they were initially available to be issued. For the interim consolidated financial statements as of June 30, 2013 and 2012, and for the six months then ended, subsequent events were evaluated through August 13, 2013, the date the interim annual financial statements were available to be issued. Subsequent events occurring after August 13, 2013 have been evaluated through August 27, 2013. Subsequent events occurring after August 27, 2013 have been evaluated through September 11, 2013. Subsequent events occurring after September 11, 2013 have been evaluated through September 20, 2013.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C—EARNINGS PER SHARE</w:t>
      </w:r>
    </w:p>
    <w:p>
      <w:pPr>
        <w:spacing w:after="0" w:line="228"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Basic net loss per share has been computed using the weighted-average number of shares of common stock outstanding during the period. Pro forma basic and diluted earnings per share includes all common stock and all shares of preferred stock as if converted to common equivalent shares using their conversion rate at the end of each period. Diluted net loss per share has been computed using the weighted-average number of shares of common stock and dilutive potential common shares from options and warrants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C—EARNINGS PER SHARE (Continued)</w:t>
      </w:r>
    </w:p>
    <w:p>
      <w:pPr>
        <w:spacing w:after="0" w:line="228" w:lineRule="exact"/>
        <w:rPr>
          <w:sz w:val="20"/>
          <w:szCs w:val="20"/>
          <w:color w:val="auto"/>
        </w:rPr>
      </w:pPr>
    </w:p>
    <w:p>
      <w:pPr>
        <w:ind w:firstLine="338"/>
        <w:spacing w:after="0" w:line="260" w:lineRule="auto"/>
        <w:rPr>
          <w:sz w:val="20"/>
          <w:szCs w:val="20"/>
          <w:color w:val="auto"/>
        </w:rPr>
      </w:pPr>
      <w:r>
        <w:rPr>
          <w:rFonts w:ascii="Arial" w:cs="Arial" w:eastAsia="Arial" w:hAnsi="Arial"/>
          <w:sz w:val="17"/>
          <w:szCs w:val="17"/>
          <w:color w:val="auto"/>
        </w:rPr>
        <w:t>The financial statements have been revised for the calculation and presentation of basic and diluted loss per share for 2012, 2011 and 2010. The Company's disclosure originally presented basic and diluted loss per share including preferred shares on an "as converted basis" in determining the weighted average shares used for both basic and diluted loss per share. The preferred shares have the right to participate in the Company's earnings and dividends; however, since there is not a contractual obligation for the preferred shareholders to share in the Company's losses, the preferred shares should not be included in loss periods, as their effect is anti-dilutive. The Company has concluded this revised disclosure did not have a material effect on the original financial statements as historical loss per share is not meaningful given the magnitude of outstanding participating preferred shares relative to total equity on an as-if-converted basis. The preferred shares automatically convert to common shares upon consummation of a qualified public offering. For 2012 and the subsequent interim period, the Company has presented both basic and diluted loss per share excluding the preferred shares and also unaudited pro forma loss per share giving effect to the conversion of the preferred shares to common shares.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revised calculation of basic and diluted EPS: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Years 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left="267"/>
              <w:spacing w:after="0" w:line="144" w:lineRule="exact"/>
              <w:rPr>
                <w:sz w:val="20"/>
                <w:szCs w:val="20"/>
                <w:color w:val="auto"/>
              </w:rPr>
            </w:pPr>
            <w:r>
              <w:rPr>
                <w:rFonts w:ascii="Arial" w:cs="Arial" w:eastAsia="Arial" w:hAnsi="Arial"/>
                <w:sz w:val="13"/>
                <w:szCs w:val="13"/>
                <w:b w:val="1"/>
                <w:bCs w:val="1"/>
                <w:color w:val="auto"/>
                <w:w w:val="88"/>
              </w:rPr>
              <w:t>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left="267"/>
              <w:spacing w:after="0"/>
              <w:rPr>
                <w:sz w:val="20"/>
                <w:szCs w:val="20"/>
                <w:color w:val="auto"/>
              </w:rPr>
            </w:pPr>
            <w:r>
              <w:rPr>
                <w:rFonts w:ascii="Arial" w:cs="Arial" w:eastAsia="Arial" w:hAnsi="Arial"/>
                <w:sz w:val="13"/>
                <w:szCs w:val="13"/>
                <w:b w:val="1"/>
                <w:bCs w:val="1"/>
                <w:color w:val="auto"/>
                <w:w w:val="88"/>
              </w:rPr>
              <w:t>June 30,</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6"/>
                <w:szCs w:val="16"/>
                <w:color w:val="auto"/>
              </w:rPr>
            </w:pPr>
          </w:p>
        </w:tc>
      </w:tr>
      <w:tr>
        <w:trPr>
          <w:trHeight w:val="124"/>
        </w:trPr>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83"/>
              <w:spacing w:after="0" w:line="124" w:lineRule="exact"/>
              <w:rPr>
                <w:sz w:val="20"/>
                <w:szCs w:val="20"/>
                <w:color w:val="auto"/>
              </w:rPr>
            </w:pPr>
            <w:r>
              <w:rPr>
                <w:rFonts w:ascii="Arial" w:cs="Arial" w:eastAsia="Arial" w:hAnsi="Arial"/>
                <w:sz w:val="13"/>
                <w:szCs w:val="13"/>
                <w:b w:val="1"/>
                <w:bCs w:val="1"/>
                <w:color w:val="auto"/>
              </w:rPr>
              <w:t>(in</w:t>
            </w:r>
          </w:p>
        </w:tc>
        <w:tc>
          <w:tcPr>
            <w:tcW w:w="86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3"/>
              </w:rPr>
              <w:t>thousands, except</w:t>
            </w:r>
          </w:p>
        </w:tc>
        <w:tc>
          <w:tcPr>
            <w:tcW w:w="840" w:type="dxa"/>
            <w:vAlign w:val="bottom"/>
            <w:gridSpan w:val="3"/>
          </w:tcPr>
          <w:p>
            <w:pPr>
              <w:jc w:val="right"/>
              <w:ind w:right="200"/>
              <w:spacing w:after="0" w:line="124" w:lineRule="exact"/>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54"/>
              <w:spacing w:after="0"/>
              <w:rPr>
                <w:sz w:val="20"/>
                <w:szCs w:val="20"/>
                <w:color w:val="auto"/>
              </w:rPr>
            </w:pPr>
            <w:r>
              <w:rPr>
                <w:rFonts w:ascii="Arial" w:cs="Arial" w:eastAsia="Arial" w:hAnsi="Arial"/>
                <w:sz w:val="13"/>
                <w:szCs w:val="13"/>
                <w:b w:val="1"/>
                <w:bCs w:val="1"/>
                <w:color w:val="auto"/>
              </w:rPr>
              <w:t>data)</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(unaudited)</w:t>
            </w: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(945)</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4"/>
              <w:spacing w:after="0"/>
              <w:rPr>
                <w:sz w:val="20"/>
                <w:szCs w:val="20"/>
                <w:color w:val="auto"/>
              </w:rPr>
            </w:pPr>
            <w:r>
              <w:rPr>
                <w:rFonts w:ascii="Arial" w:cs="Arial" w:eastAsia="Arial" w:hAnsi="Arial"/>
                <w:sz w:val="17"/>
                <w:szCs w:val="17"/>
                <w:color w:val="auto"/>
              </w:rPr>
              <w:t>(5,328)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(1,276)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(617)</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7"/>
                <w:szCs w:val="17"/>
                <w:color w:val="auto"/>
              </w:rPr>
              <w:t>Weighted-average shares used to compute net loss per share: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5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and diluted</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266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264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265</w:t>
            </w:r>
          </w:p>
        </w:tc>
      </w:tr>
      <w:tr>
        <w:trPr>
          <w:trHeight w:val="216"/>
        </w:trPr>
        <w:tc>
          <w:tcPr>
            <w:tcW w:w="5020" w:type="dxa"/>
            <w:vAlign w:val="bottom"/>
          </w:tcPr>
          <w:p>
            <w:pPr>
              <w:ind w:left="20"/>
              <w:spacing w:after="0"/>
              <w:rPr>
                <w:sz w:val="20"/>
                <w:szCs w:val="20"/>
                <w:color w:val="auto"/>
              </w:rPr>
            </w:pPr>
            <w:r>
              <w:rPr>
                <w:rFonts w:ascii="Arial" w:cs="Arial" w:eastAsia="Arial" w:hAnsi="Arial"/>
                <w:sz w:val="17"/>
                <w:szCs w:val="17"/>
                <w:color w:val="auto"/>
              </w:rPr>
              <w:t>Net loss per share—basic and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(3.56)</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4"/>
              <w:spacing w:after="0"/>
              <w:rPr>
                <w:sz w:val="20"/>
                <w:szCs w:val="20"/>
                <w:color w:val="auto"/>
              </w:rPr>
            </w:pPr>
            <w:r>
              <w:rPr>
                <w:rFonts w:ascii="Arial" w:cs="Arial" w:eastAsia="Arial" w:hAnsi="Arial"/>
                <w:sz w:val="17"/>
                <w:szCs w:val="17"/>
                <w:color w:val="auto"/>
              </w:rPr>
              <w:t>(20.21)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(4.77)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(2.33)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earnings per share (unaudited)</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unaudited calculation of the numerator and denominator of basic and diluted EPS gives effect to the automatic conversion of all outstanding shares of the Company's convertible preferred stock (using the as if-converted method) into common stock as though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C—EARNINGS PER SHARE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conversion had occurred as of the beginning of the period or the original date of issuance, if later.</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ended</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Year ended</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780" w:type="dxa"/>
            <w:vAlign w:val="bottom"/>
          </w:tcPr>
          <w:p>
            <w:pPr>
              <w:jc w:val="center"/>
              <w:ind w:right="5"/>
              <w:spacing w:after="0" w:line="144"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9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5"/>
          </w:tcPr>
          <w:p>
            <w:pPr>
              <w:jc w:val="right"/>
              <w:ind w:right="560"/>
              <w:spacing w:after="0" w:line="124" w:lineRule="exact"/>
              <w:rPr>
                <w:sz w:val="20"/>
                <w:szCs w:val="20"/>
                <w:color w:val="auto"/>
              </w:rPr>
            </w:pPr>
            <w:r>
              <w:rPr>
                <w:rFonts w:ascii="Arial" w:cs="Arial" w:eastAsia="Arial" w:hAnsi="Arial"/>
                <w:sz w:val="13"/>
                <w:szCs w:val="13"/>
                <w:b w:val="1"/>
                <w:bCs w:val="1"/>
                <w:color w:val="auto"/>
              </w:rPr>
              <w:t>(in thousands, except</w:t>
            </w:r>
          </w:p>
        </w:tc>
        <w:tc>
          <w:tcPr>
            <w:tcW w:w="0" w:type="dxa"/>
            <w:vAlign w:val="bottom"/>
          </w:tcPr>
          <w:p>
            <w:pPr>
              <w:spacing w:after="0"/>
              <w:rPr>
                <w:sz w:val="1"/>
                <w:szCs w:val="1"/>
                <w:color w:val="auto"/>
              </w:rPr>
            </w:pPr>
          </w:p>
        </w:tc>
      </w:tr>
      <w:tr>
        <w:trPr>
          <w:trHeight w:val="157"/>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for per share data)</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(945)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Number of shares used to compute net loss per share—basic and diluted:</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conversion of preferred stock to common stock</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8,682</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Number of shares used to compute pro forma net loss per share—basic and diluted:</w:t>
            </w: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8,380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Pro forma net loss per share—basic and diluted</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potentially dilutive securities were excluded from the computation of diluted net loss per share as their effect would have been antidilutive: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r>
      <w:tr>
        <w:trPr>
          <w:trHeight w:val="137"/>
        </w:trPr>
        <w:tc>
          <w:tcPr>
            <w:tcW w:w="6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w w:val="87"/>
              </w:rPr>
              <w:t>(in</w:t>
            </w:r>
          </w:p>
        </w:tc>
        <w:tc>
          <w:tcPr>
            <w:tcW w:w="660" w:type="dxa"/>
            <w:vAlign w:val="bottom"/>
            <w:gridSpan w:val="3"/>
          </w:tcPr>
          <w:p>
            <w:pPr>
              <w:jc w:val="center"/>
              <w:ind w:right="40"/>
              <w:spacing w:after="0" w:line="138" w:lineRule="exact"/>
              <w:rPr>
                <w:sz w:val="20"/>
                <w:szCs w:val="20"/>
                <w:color w:val="auto"/>
              </w:rPr>
            </w:pPr>
            <w:r>
              <w:rPr>
                <w:rFonts w:ascii="Arial" w:cs="Arial" w:eastAsia="Arial" w:hAnsi="Arial"/>
                <w:sz w:val="13"/>
                <w:szCs w:val="13"/>
                <w:b w:val="1"/>
                <w:bCs w:val="1"/>
                <w:color w:val="auto"/>
                <w:w w:val="88"/>
              </w:rPr>
              <w:t>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600" w:type="dxa"/>
            <w:vAlign w:val="bottom"/>
            <w:gridSpan w:val="2"/>
            <w:shd w:val="clear" w:color="auto" w:fill="CCEEFF"/>
          </w:tcPr>
          <w:p>
            <w:pPr>
              <w:jc w:val="center"/>
              <w:ind w:left="260"/>
              <w:spacing w:after="0"/>
              <w:rPr>
                <w:sz w:val="20"/>
                <w:szCs w:val="20"/>
                <w:color w:val="auto"/>
              </w:rPr>
            </w:pPr>
            <w:r>
              <w:rPr>
                <w:rFonts w:ascii="Arial" w:cs="Arial" w:eastAsia="Arial" w:hAnsi="Arial"/>
                <w:sz w:val="17"/>
                <w:szCs w:val="17"/>
                <w:color w:val="auto"/>
                <w:w w:val="91"/>
              </w:rPr>
              <w:t>377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Warrants</w:t>
            </w:r>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c>
          <w:tcPr>
            <w:tcW w:w="600" w:type="dxa"/>
            <w:vAlign w:val="bottom"/>
            <w:gridSpan w:val="2"/>
          </w:tcPr>
          <w:p>
            <w:pPr>
              <w:jc w:val="center"/>
              <w:ind w:left="260"/>
              <w:spacing w:after="0"/>
              <w:rPr>
                <w:sz w:val="20"/>
                <w:szCs w:val="20"/>
                <w:color w:val="auto"/>
              </w:rPr>
            </w:pPr>
            <w:r>
              <w:rPr>
                <w:rFonts w:ascii="Arial" w:cs="Arial" w:eastAsia="Arial" w:hAnsi="Arial"/>
                <w:sz w:val="17"/>
                <w:szCs w:val="17"/>
                <w:color w:val="auto"/>
                <w:w w:val="91"/>
              </w:rPr>
              <w:t>122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600" w:type="dxa"/>
            <w:vAlign w:val="bottom"/>
            <w:gridSpan w:val="2"/>
            <w:shd w:val="clear" w:color="auto" w:fill="CCEEFF"/>
          </w:tcPr>
          <w:p>
            <w:pPr>
              <w:jc w:val="center"/>
              <w:ind w:left="260"/>
              <w:spacing w:after="0"/>
              <w:rPr>
                <w:sz w:val="20"/>
                <w:szCs w:val="20"/>
                <w:color w:val="auto"/>
              </w:rPr>
            </w:pPr>
            <w:r>
              <w:rPr>
                <w:rFonts w:ascii="Arial" w:cs="Arial" w:eastAsia="Arial" w:hAnsi="Arial"/>
                <w:sz w:val="17"/>
                <w:szCs w:val="17"/>
                <w:color w:val="auto"/>
                <w:w w:val="91"/>
              </w:rPr>
              <w:t>499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60" w:type="dxa"/>
            <w:vAlign w:val="bottom"/>
            <w:shd w:val="clear" w:color="auto" w:fill="CCEEFF"/>
          </w:tcPr>
          <w:p>
            <w:pPr>
              <w:spacing w:after="0"/>
              <w:rPr>
                <w:sz w:val="17"/>
                <w:szCs w:val="17"/>
                <w:color w:val="auto"/>
              </w:rPr>
            </w:pPr>
          </w:p>
        </w:tc>
      </w:tr>
      <w:tr>
        <w:trPr>
          <w:trHeight w:val="26"/>
        </w:trPr>
        <w:tc>
          <w:tcPr>
            <w:tcW w:w="6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D—INVENTORIES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2012 and 2011, and at June 30, 2013, inventories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vMerge w:val="restart"/>
          </w:tcPr>
          <w:p>
            <w:pPr>
              <w:jc w:val="center"/>
              <w:ind w:right="280"/>
              <w:spacing w:after="0"/>
              <w:rPr>
                <w:sz w:val="20"/>
                <w:szCs w:val="20"/>
                <w:color w:val="auto"/>
              </w:rPr>
            </w:pPr>
            <w:r>
              <w:rPr>
                <w:rFonts w:ascii="Arial" w:cs="Arial" w:eastAsia="Arial" w:hAnsi="Arial"/>
                <w:sz w:val="13"/>
                <w:szCs w:val="13"/>
                <w:b w:val="1"/>
                <w:bCs w:val="1"/>
                <w:color w:val="auto"/>
                <w:w w:val="87"/>
              </w:rPr>
              <w:t>Years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3"/>
          </w:tcPr>
          <w:p>
            <w:pPr>
              <w:jc w:val="center"/>
              <w:ind w:right="1960"/>
              <w:spacing w:after="0" w:line="131"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6"/>
              <w:spacing w:after="0" w:line="124"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3"/>
              </w:rPr>
              <w:t>(unaudited)</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w w:val="89"/>
              </w:rPr>
              <w:t>(in thousands)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86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Work in process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12,493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60" w:type="dxa"/>
            <w:vAlign w:val="bottom"/>
            <w:gridSpan w:val="2"/>
          </w:tcPr>
          <w:p>
            <w:pPr>
              <w:jc w:val="right"/>
              <w:ind w:right="1085"/>
              <w:spacing w:after="0"/>
              <w:rPr>
                <w:sz w:val="20"/>
                <w:szCs w:val="20"/>
                <w:color w:val="auto"/>
              </w:rPr>
            </w:pPr>
            <w:r>
              <w:rPr>
                <w:rFonts w:ascii="Arial" w:cs="Arial" w:eastAsia="Arial" w:hAnsi="Arial"/>
                <w:sz w:val="17"/>
                <w:szCs w:val="17"/>
                <w:color w:val="auto"/>
              </w:rPr>
              <w:t>F-17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D—INVENTORIES (Continued)</w:t>
      </w:r>
    </w:p>
    <w:p>
      <w:pPr>
        <w:spacing w:after="0" w:line="228" w:lineRule="exact"/>
        <w:rPr>
          <w:sz w:val="20"/>
          <w:szCs w:val="20"/>
          <w:color w:val="auto"/>
        </w:rPr>
      </w:pPr>
    </w:p>
    <w:p>
      <w:pPr>
        <w:ind w:right="540" w:firstLine="341"/>
        <w:spacing w:after="0" w:line="352" w:lineRule="auto"/>
        <w:rPr>
          <w:sz w:val="20"/>
          <w:szCs w:val="20"/>
          <w:color w:val="auto"/>
        </w:rPr>
      </w:pPr>
      <w:r>
        <w:rPr>
          <w:rFonts w:ascii="Arial" w:cs="Arial" w:eastAsia="Arial" w:hAnsi="Arial"/>
          <w:sz w:val="15"/>
          <w:szCs w:val="15"/>
          <w:color w:val="auto"/>
        </w:rPr>
        <w:t>For the years ended December 31, 2012, 2011 and 2010, the lower of cost or market adjustment expensed for inventory was $0.9 million, $1.6 million and $0.6 million, respectively. For the six months ended June 30, 2013, the lower of cost or market adjustment expense for inventory was $0.4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E—PROPERTY, PLANT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2012 and 2011, property, plant and equipment consisted of the following:</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98"/>
              <w:spacing w:after="0" w:line="138"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ind w:right="396"/>
              <w:spacing w:after="0"/>
              <w:rPr>
                <w:sz w:val="20"/>
                <w:szCs w:val="20"/>
                <w:color w:val="auto"/>
              </w:rPr>
            </w:pPr>
            <w:r>
              <w:rPr>
                <w:rFonts w:ascii="Arial" w:cs="Arial" w:eastAsia="Arial" w:hAnsi="Arial"/>
                <w:sz w:val="11"/>
                <w:szCs w:val="11"/>
                <w:b w:val="1"/>
                <w:bCs w:val="1"/>
                <w:color w:val="auto"/>
                <w:w w:val="74"/>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Land improvements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Building and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Transportation equipment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49,072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7"/>
                <w:szCs w:val="17"/>
                <w:color w:val="auto"/>
              </w:rPr>
              <w:t>(24,967)</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(22,556)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80" w:type="dxa"/>
            <w:vAlign w:val="bottom"/>
          </w:tcPr>
          <w:p>
            <w:pPr>
              <w:spacing w:after="0"/>
              <w:rPr>
                <w:sz w:val="18"/>
                <w:szCs w:val="18"/>
                <w:color w:val="auto"/>
              </w:rPr>
            </w:pPr>
          </w:p>
        </w:tc>
        <w:tc>
          <w:tcPr>
            <w:tcW w:w="76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80" w:type="dxa"/>
            <w:vAlign w:val="bottom"/>
            <w:vMerge w:val="restart"/>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24,838</w:t>
            </w:r>
          </w:p>
        </w:tc>
        <w:tc>
          <w:tcPr>
            <w:tcW w:w="14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24,532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the years ended December 31, 2012, 2011 and 2010, depreciation expense of property, plant and equipment was $2.9 million $3.1 million and $3.3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F—INTANGIBLE ASSETS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2012 and 2011, intangible assets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24"/>
        </w:trPr>
        <w:tc>
          <w:tcPr>
            <w:tcW w:w="1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83"/>
              <w:spacing w:after="0" w:line="124"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Intangible</w:t>
            </w:r>
          </w:p>
        </w:tc>
        <w:tc>
          <w:tcPr>
            <w:tcW w:w="1880" w:type="dxa"/>
            <w:vAlign w:val="bottom"/>
            <w:gridSpan w:val="2"/>
          </w:tcPr>
          <w:p>
            <w:pPr>
              <w:spacing w:after="0"/>
              <w:rPr>
                <w:sz w:val="10"/>
                <w:szCs w:val="10"/>
                <w:color w:val="auto"/>
              </w:rPr>
            </w:pPr>
          </w:p>
        </w:tc>
      </w:tr>
      <w:tr>
        <w:trPr>
          <w:trHeight w:val="157"/>
        </w:trPr>
        <w:tc>
          <w:tcPr>
            <w:tcW w:w="1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assets, net</w:t>
            </w:r>
          </w:p>
        </w:tc>
      </w:tr>
      <w:tr>
        <w:trPr>
          <w:trHeight w:val="137"/>
        </w:trPr>
        <w:tc>
          <w:tcPr>
            <w:tcW w:w="17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7"/>
                <w:szCs w:val="17"/>
                <w:color w:val="auto"/>
              </w:rPr>
              <w:t>Trademarks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40" w:type="dxa"/>
            <w:vAlign w:val="bottom"/>
            <w:gridSpan w:val="2"/>
          </w:tcPr>
          <w:p>
            <w:pPr>
              <w:jc w:val="right"/>
              <w:ind w:right="1060"/>
              <w:spacing w:after="0"/>
              <w:rPr>
                <w:sz w:val="20"/>
                <w:szCs w:val="20"/>
                <w:color w:val="auto"/>
              </w:rPr>
            </w:pPr>
            <w:r>
              <w:rPr>
                <w:rFonts w:ascii="Arial" w:cs="Arial" w:eastAsia="Arial" w:hAnsi="Arial"/>
                <w:sz w:val="17"/>
                <w:szCs w:val="17"/>
                <w:color w:val="auto"/>
              </w:rPr>
              <w:t>F-18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83"/>
              <w:spacing w:after="0" w:line="124"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Intangible</w:t>
            </w:r>
          </w:p>
        </w:tc>
        <w:tc>
          <w:tcPr>
            <w:tcW w:w="160" w:type="dxa"/>
            <w:vAlign w:val="bottom"/>
          </w:tcPr>
          <w:p>
            <w:pPr>
              <w:spacing w:after="0"/>
              <w:rPr>
                <w:sz w:val="10"/>
                <w:szCs w:val="10"/>
                <w:color w:val="auto"/>
              </w:rPr>
            </w:pPr>
          </w:p>
        </w:tc>
      </w:tr>
      <w:tr>
        <w:trPr>
          <w:trHeight w:val="157"/>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assets, net</w:t>
            </w:r>
          </w:p>
        </w:tc>
      </w:tr>
      <w:tr>
        <w:trPr>
          <w:trHeight w:val="137"/>
        </w:trPr>
        <w:tc>
          <w:tcPr>
            <w:tcW w:w="5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7"/>
                <w:szCs w:val="17"/>
                <w:color w:val="auto"/>
              </w:rPr>
              <w:t>Trademarks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60" w:type="dxa"/>
            <w:vAlign w:val="bottom"/>
            <w:shd w:val="clear" w:color="auto" w:fill="CCEEFF"/>
          </w:tcPr>
          <w:p>
            <w:pPr>
              <w:spacing w:after="0"/>
              <w:rPr>
                <w:sz w:val="17"/>
                <w:szCs w:val="17"/>
                <w:color w:val="auto"/>
              </w:rPr>
            </w:pPr>
          </w:p>
        </w:tc>
      </w:tr>
      <w:tr>
        <w:trPr>
          <w:trHeight w:val="26"/>
        </w:trPr>
        <w:tc>
          <w:tcPr>
            <w:tcW w:w="5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For the years ended December 31, 2012, 2011 and 2010, amortization expense for intangible assets, included in general and administrative expenses on the income statement, was $60,000 $46,000 and $41,000, respectively. The remaining weighted average amortization period for intangible assets is approximately 12 years.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700" w:type="dxa"/>
            <w:vAlign w:val="bottom"/>
            <w:gridSpan w:val="2"/>
          </w:tcPr>
          <w:p>
            <w:pPr>
              <w:spacing w:after="0"/>
              <w:rPr>
                <w:sz w:val="20"/>
                <w:szCs w:val="20"/>
                <w:color w:val="auto"/>
              </w:rPr>
            </w:pPr>
            <w:r>
              <w:rPr>
                <w:rFonts w:ascii="Arial" w:cs="Arial" w:eastAsia="Arial" w:hAnsi="Arial"/>
                <w:sz w:val="17"/>
                <w:szCs w:val="17"/>
                <w:color w:val="auto"/>
              </w:rPr>
              <w:t>At December 31, 2012, approximate amortization expense for intangible assets was as follows (in thousands):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2014</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G—FAIR VALUE OF FINANCIAL INSTRUMENTS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a summary of the Company's financial instruments measured at fair value on a recurring basis as of June 30, 2013 (unaudited):</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Quoted prices in</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Significant other</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2)</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r>
      <w:tr>
        <w:trPr>
          <w:trHeight w:val="137"/>
        </w:trPr>
        <w:tc>
          <w:tcPr>
            <w:tcW w:w="4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9,768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9,768</w:t>
            </w: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1,086</w:t>
            </w:r>
          </w:p>
        </w:tc>
      </w:tr>
      <w:tr>
        <w:trPr>
          <w:trHeight w:val="216"/>
        </w:trPr>
        <w:tc>
          <w:tcPr>
            <w:tcW w:w="4320" w:type="dxa"/>
            <w:vAlign w:val="bottom"/>
          </w:tcPr>
          <w:p>
            <w:pPr>
              <w:ind w:left="180"/>
              <w:spacing w:after="0"/>
              <w:rPr>
                <w:sz w:val="20"/>
                <w:szCs w:val="20"/>
                <w:color w:val="auto"/>
              </w:rPr>
            </w:pPr>
            <w:r>
              <w:rPr>
                <w:rFonts w:ascii="Arial" w:cs="Arial" w:eastAsia="Arial" w:hAnsi="Arial"/>
                <w:sz w:val="17"/>
                <w:szCs w:val="17"/>
                <w:color w:val="auto"/>
              </w:rPr>
              <w:t>Notes receivable</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10,854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10,943</w:t>
            </w: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G—FAIR VALUE OF FINANCIAL INSTRUMENTS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the Company's financial instruments measured at fair value on a recurring basis as of December 31, 2012:</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Quoted prices in</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Significant other</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(Level 2)</w:t>
            </w:r>
          </w:p>
        </w:tc>
        <w:tc>
          <w:tcPr>
            <w:tcW w:w="10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10,723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10,723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7"/>
                <w:szCs w:val="17"/>
                <w:color w:val="auto"/>
              </w:rPr>
              <w:t>Notes receivable</w:t>
            </w:r>
          </w:p>
        </w:tc>
        <w:tc>
          <w:tcPr>
            <w:tcW w:w="1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11,226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12,260</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the Company's financial instruments measured at fair value on a recurring basis as of December 31, 2011: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Quoted prices in</w:t>
            </w: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Significant other</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Significant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active markets for</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observable</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unobservable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identical assets</w:t>
            </w: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remaining inputs</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(Level 3)</w:t>
            </w:r>
          </w:p>
        </w:tc>
        <w:tc>
          <w:tcPr>
            <w:tcW w:w="14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1340" w:type="dxa"/>
            <w:vAlign w:val="bottom"/>
            <w:gridSpan w:val="2"/>
          </w:tcPr>
          <w:p>
            <w:pPr>
              <w:ind w:left="1240"/>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1,768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1,768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7"/>
                <w:szCs w:val="17"/>
                <w:color w:val="auto"/>
              </w:rPr>
              <w:t>Notes receivable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swap</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134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60" w:type="dxa"/>
            <w:vAlign w:val="bottom"/>
            <w:gridSpan w:val="4"/>
          </w:tcPr>
          <w:p>
            <w:pPr>
              <w:ind w:left="1220"/>
              <w:spacing w:after="0"/>
              <w:rPr>
                <w:sz w:val="20"/>
                <w:szCs w:val="20"/>
                <w:color w:val="auto"/>
              </w:rPr>
            </w:pPr>
            <w:r>
              <w:rPr>
                <w:rFonts w:ascii="Arial" w:cs="Arial" w:eastAsia="Arial" w:hAnsi="Arial"/>
                <w:sz w:val="17"/>
                <w:szCs w:val="17"/>
                <w:color w:val="auto"/>
              </w:rPr>
              <w:t>F-20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H—NOTES PAYABLE AND LONG-TERM DEBT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Notes payable and long-term debt consisted of the following:</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5"/>
          </w:tcPr>
          <w:p>
            <w:pPr>
              <w:ind w:left="280"/>
              <w:spacing w:after="0"/>
              <w:rPr>
                <w:sz w:val="20"/>
                <w:szCs w:val="20"/>
                <w:color w:val="auto"/>
              </w:rPr>
            </w:pPr>
            <w:r>
              <w:rPr>
                <w:rFonts w:ascii="Arial" w:cs="Arial" w:eastAsia="Arial" w:hAnsi="Arial"/>
                <w:sz w:val="13"/>
                <w:szCs w:val="13"/>
                <w:b w:val="1"/>
                <w:bCs w:val="1"/>
                <w:color w:val="auto"/>
              </w:rPr>
              <w:t>December 31,</w:t>
            </w:r>
          </w:p>
        </w:tc>
      </w:tr>
      <w:tr>
        <w:trPr>
          <w:trHeight w:val="190"/>
        </w:trPr>
        <w:tc>
          <w:tcPr>
            <w:tcW w:w="7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r>
      <w:tr>
        <w:trPr>
          <w:trHeight w:val="137"/>
        </w:trPr>
        <w:tc>
          <w:tcPr>
            <w:tcW w:w="7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260"/>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3"/>
          </w:tcPr>
          <w:p>
            <w:pPr>
              <w:jc w:val="right"/>
              <w:ind w:right="336"/>
              <w:spacing w:after="0"/>
              <w:rPr>
                <w:sz w:val="20"/>
                <w:szCs w:val="20"/>
                <w:color w:val="auto"/>
              </w:rPr>
            </w:pPr>
            <w:r>
              <w:rPr>
                <w:rFonts w:ascii="Arial" w:cs="Arial" w:eastAsia="Arial" w:hAnsi="Arial"/>
                <w:sz w:val="12"/>
                <w:szCs w:val="12"/>
                <w:b w:val="1"/>
                <w:bCs w:val="1"/>
                <w:color w:val="auto"/>
                <w:w w:val="74"/>
              </w:rPr>
              <w:t>thousands)</w:t>
            </w:r>
          </w:p>
        </w:tc>
        <w:tc>
          <w:tcPr>
            <w:tcW w:w="140" w:type="dxa"/>
            <w:vAlign w:val="bottom"/>
          </w:tcPr>
          <w:p>
            <w:pPr>
              <w:spacing w:after="0"/>
              <w:rPr>
                <w:sz w:val="11"/>
                <w:szCs w:val="11"/>
                <w:color w:val="auto"/>
              </w:rPr>
            </w:pPr>
          </w:p>
        </w:tc>
      </w:tr>
      <w:tr>
        <w:trPr>
          <w:trHeight w:val="20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Term loan with a U.S. bank with monthly payments of principal and interest at prime plus 1.25% (floor</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rate: 4.5%), maturing May 3, 2014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241</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5"/>
              </w:rPr>
              <w:t>Term loan with a U.S. bank with monthly payments of principal and interest at prime plus 1.25% (floor</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rate: 4.15%) or swap contract (fixed 5%), maturing May 3, 2014</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3,181</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3,287</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Revolving line of credit with a U.S. bank up to $10,500,000 with interest at prime plus 1.25% (floor</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rate: 4.5%), maturing November 15, 2013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8,637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7,176</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4"/>
              </w:rPr>
              <w:t>Revolving line of credit with a China bank up to $12,847,421 with interest at 110% of China Prime rate</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which ranged from 3.87% to 7.54% in 2012 with various maturity dates from February 2013 to</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March 2014</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10,668</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9,681</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Bank acceptance notes issued to vendors with a zero percent interest rate, a 30% guarantee deposit of</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$409, and maturity dates ranging from January 2013 to June 2013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662</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5"/>
              </w:rPr>
              <w:t>Revolving line of credit with a China bank up to $1,150,000 with interest at 7.54%, 125% of the China</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Prime rate in 2011</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555</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Note payable to a finance company due in monthly installments with 9% interest, maturing October 31,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r>
      <w:tr>
        <w:trPr>
          <w:trHeight w:val="201"/>
        </w:trPr>
        <w:tc>
          <w:tcPr>
            <w:tcW w:w="7320" w:type="dxa"/>
            <w:vAlign w:val="bottom"/>
          </w:tcPr>
          <w:p>
            <w:pPr>
              <w:ind w:left="20"/>
              <w:spacing w:after="0"/>
              <w:rPr>
                <w:sz w:val="20"/>
                <w:szCs w:val="20"/>
                <w:color w:val="auto"/>
              </w:rPr>
            </w:pPr>
            <w:r>
              <w:rPr>
                <w:rFonts w:ascii="Arial" w:cs="Arial" w:eastAsia="Arial" w:hAnsi="Arial"/>
                <w:sz w:val="17"/>
                <w:szCs w:val="17"/>
                <w:color w:val="auto"/>
                <w:w w:val="95"/>
              </w:rPr>
              <w:t>Note payable to a finance company due in monthly installments with 3.3% interest, maturing June 20,</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2013</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398</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9"/>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24,584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21,687</w:t>
            </w:r>
          </w:p>
        </w:tc>
      </w:tr>
      <w:tr>
        <w:trPr>
          <w:trHeight w:val="417"/>
        </w:trPr>
        <w:tc>
          <w:tcPr>
            <w:tcW w:w="7320" w:type="dxa"/>
            <w:vAlign w:val="bottom"/>
          </w:tcPr>
          <w:p>
            <w:pPr>
              <w:ind w:left="20"/>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15,421</w:t>
            </w: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18,326</w:t>
            </w:r>
          </w:p>
        </w:tc>
      </w:tr>
      <w:tr>
        <w:trPr>
          <w:trHeight w:val="29"/>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 term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3,361</w:t>
            </w:r>
          </w:p>
        </w:tc>
      </w:tr>
      <w:tr>
        <w:trPr>
          <w:trHeight w:val="26"/>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20" w:firstLine="338"/>
        <w:spacing w:after="0" w:line="282" w:lineRule="auto"/>
        <w:rPr>
          <w:sz w:val="20"/>
          <w:szCs w:val="20"/>
          <w:color w:val="auto"/>
        </w:rPr>
      </w:pPr>
      <w:r>
        <w:rPr>
          <w:rFonts w:ascii="Arial" w:cs="Arial" w:eastAsia="Arial" w:hAnsi="Arial"/>
          <w:sz w:val="17"/>
          <w:szCs w:val="17"/>
          <w:color w:val="auto"/>
        </w:rPr>
        <w:t>The current portion of long-term debt is the amount payable within one year of the balance sheet date of December 31, 2012. The prime rate of interest was 3.25% on December 31, 2012 and 2011.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40" w:type="dxa"/>
            <w:vAlign w:val="bottom"/>
            <w:gridSpan w:val="2"/>
          </w:tcPr>
          <w:p>
            <w:pPr>
              <w:jc w:val="right"/>
              <w:ind w:right="135"/>
              <w:spacing w:after="0"/>
              <w:rPr>
                <w:sz w:val="20"/>
                <w:szCs w:val="20"/>
                <w:color w:val="auto"/>
              </w:rPr>
            </w:pPr>
            <w:r>
              <w:rPr>
                <w:rFonts w:ascii="Arial" w:cs="Arial" w:eastAsia="Arial" w:hAnsi="Arial"/>
                <w:sz w:val="17"/>
                <w:szCs w:val="17"/>
                <w:color w:val="auto"/>
                <w:w w:val="90"/>
              </w:rPr>
              <w:t>Maturities of notes payable and long-term debt are as follows for the future years ending December 31(in 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8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6860" w:type="dxa"/>
            <w:vAlign w:val="bottom"/>
            <w:shd w:val="clear" w:color="auto" w:fill="CCEEFF"/>
          </w:tcPr>
          <w:p>
            <w:pPr>
              <w:jc w:val="right"/>
              <w:ind w:right="6435"/>
              <w:spacing w:after="0"/>
              <w:rPr>
                <w:sz w:val="20"/>
                <w:szCs w:val="20"/>
                <w:color w:val="auto"/>
              </w:rPr>
            </w:pPr>
            <w:r>
              <w:rPr>
                <w:rFonts w:ascii="Arial" w:cs="Arial" w:eastAsia="Arial" w:hAnsi="Arial"/>
                <w:sz w:val="17"/>
                <w:szCs w:val="17"/>
                <w:color w:val="auto"/>
                <w:w w:val="84"/>
              </w:rPr>
              <w:t>2013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jc w:val="right"/>
              <w:ind w:right="6435"/>
              <w:spacing w:after="0"/>
              <w:rPr>
                <w:sz w:val="20"/>
                <w:szCs w:val="20"/>
                <w:color w:val="auto"/>
              </w:rPr>
            </w:pPr>
            <w:r>
              <w:rPr>
                <w:rFonts w:ascii="Arial" w:cs="Arial" w:eastAsia="Arial" w:hAnsi="Arial"/>
                <w:sz w:val="17"/>
                <w:szCs w:val="17"/>
                <w:color w:val="auto"/>
                <w:w w:val="84"/>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6860" w:type="dxa"/>
            <w:vAlign w:val="bottom"/>
            <w:shd w:val="clear" w:color="auto" w:fill="CCEEFF"/>
          </w:tcPr>
          <w:p>
            <w:pPr>
              <w:jc w:val="right"/>
              <w:ind w:right="5415"/>
              <w:spacing w:after="0"/>
              <w:rPr>
                <w:sz w:val="20"/>
                <w:szCs w:val="20"/>
                <w:color w:val="auto"/>
              </w:rPr>
            </w:pPr>
            <w:r>
              <w:rPr>
                <w:rFonts w:ascii="Arial" w:cs="Arial" w:eastAsia="Arial" w:hAnsi="Arial"/>
                <w:sz w:val="17"/>
                <w:szCs w:val="17"/>
                <w:color w:val="auto"/>
              </w:rPr>
              <w:t>Total outstanding</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U.S. bank loans and line of credit agreement require the Company to meet certain financial covenants including a minimum liquidity ratio, minimum quarterly earnings and debt service coverage requirements as well as maximum debt to tangible net worth ratio and reporting requirements. Collateral for the U.S. bank loans and line of credit includes substantially all of</w:t>
      </w:r>
    </w:p>
    <w:p>
      <w:pPr>
        <w:spacing w:after="0" w:line="17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H—NOTES PAYABLE AND LONG-TERM DEBT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assets of the Company. As of December 31, 2012, the Company was in compliance with all of its financial and operational covenants associated with these loans.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2012, the Company had $4.7 million of unused borrowing capacity.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November 2012, the Company renewed its U.S. revolving line of credit of $10.5 million with the same U.S. bank with a maturity date of November 15, 2013.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on this line of credit is the prime rate plus 1.25% or the floor rate 4.5%, whichever is higher.</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May 2011, the Company entered into an interest rate swap transaction contract for its real estate loan of $3.4 million for a fixed rate of 5% expiring on May 5, 2013. A security deposit of $60,000 was required for this swap contract. On December 31, 2012, the Company would pay $11,000 in additional interest if it terminated such swap contract. The Company determines a mark-to-market valuation of its swap contract each period, and any changes in fair value is recognized in the statement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issued the following warrants to the same U.S. bank in connection with the renewals of the loan in 2009, 2010 and 2012:</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Warrants</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Security upon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3"/>
                <w:szCs w:val="13"/>
                <w:b w:val="1"/>
                <w:bCs w:val="1"/>
                <w:color w:val="auto"/>
                <w:w w:val="91"/>
              </w:rPr>
              <w:t>Initial exercise</w:t>
            </w: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b w:val="1"/>
                <w:bCs w:val="1"/>
                <w:color w:val="auto"/>
              </w:rPr>
              <w:t>Renewal year</w:t>
            </w: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2"/>
              </w:rPr>
              <w:t>issued</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23"/>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date</w:t>
            </w:r>
          </w:p>
        </w:tc>
        <w:tc>
          <w:tcPr>
            <w:tcW w:w="0" w:type="dxa"/>
            <w:vAlign w:val="bottom"/>
          </w:tcPr>
          <w:p>
            <w:pPr>
              <w:spacing w:after="0"/>
              <w:rPr>
                <w:sz w:val="1"/>
                <w:szCs w:val="1"/>
                <w:color w:val="auto"/>
              </w:rPr>
            </w:pPr>
          </w:p>
        </w:tc>
      </w:tr>
      <w:tr>
        <w:trPr>
          <w:trHeight w:val="124"/>
        </w:trPr>
        <w:tc>
          <w:tcPr>
            <w:tcW w:w="900" w:type="dxa"/>
            <w:vAlign w:val="bottom"/>
            <w:tcBorders>
              <w:top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7"/>
              </w:rPr>
              <w:t>(shares in</w:t>
            </w:r>
          </w:p>
        </w:tc>
        <w:tc>
          <w:tcPr>
            <w:tcW w:w="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thousands)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Preferred F</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Arial" w:cs="Arial" w:eastAsia="Arial" w:hAnsi="Arial"/>
                <w:sz w:val="17"/>
                <w:szCs w:val="17"/>
                <w:color w:val="auto"/>
              </w:rPr>
              <w:t>2010</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Preferred 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5/3/2013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Preferred 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338"/>
        <w:spacing w:after="0" w:line="282" w:lineRule="auto"/>
        <w:rPr>
          <w:sz w:val="20"/>
          <w:szCs w:val="20"/>
          <w:color w:val="auto"/>
        </w:rPr>
      </w:pPr>
      <w:r>
        <w:rPr>
          <w:rFonts w:ascii="Arial" w:cs="Arial" w:eastAsia="Arial" w:hAnsi="Arial"/>
          <w:sz w:val="17"/>
          <w:szCs w:val="17"/>
          <w:color w:val="auto"/>
        </w:rPr>
        <w:t>The Company estimated the fair value of these warrants at the date of the grant using the Black-Scholes option-pricing model and records the expense over the vesting period of the warrants using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Expected</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Risk free</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Expected</w:t>
            </w:r>
          </w:p>
        </w:tc>
        <w:tc>
          <w:tcPr>
            <w:tcW w:w="0" w:type="dxa"/>
            <w:vAlign w:val="bottom"/>
          </w:tcPr>
          <w:p>
            <w:pPr>
              <w:spacing w:after="0"/>
              <w:rPr>
                <w:sz w:val="1"/>
                <w:szCs w:val="1"/>
                <w:color w:val="auto"/>
              </w:rPr>
            </w:pPr>
          </w:p>
        </w:tc>
      </w:tr>
      <w:tr>
        <w:trPr>
          <w:trHeight w:val="157"/>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Issue date</w:t>
            </w:r>
          </w:p>
        </w:tc>
        <w:tc>
          <w:tcPr>
            <w:tcW w:w="436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volatility</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interest rate</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term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2010</w:t>
            </w:r>
          </w:p>
        </w:tc>
        <w:tc>
          <w:tcPr>
            <w:tcW w:w="520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3.66%</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5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332"/>
        <w:spacing w:after="0" w:line="282" w:lineRule="auto"/>
        <w:rPr>
          <w:sz w:val="20"/>
          <w:szCs w:val="20"/>
          <w:color w:val="auto"/>
        </w:rPr>
      </w:pPr>
      <w:r>
        <w:rPr>
          <w:rFonts w:ascii="Arial" w:cs="Arial" w:eastAsia="Arial" w:hAnsi="Arial"/>
          <w:sz w:val="17"/>
          <w:szCs w:val="17"/>
          <w:color w:val="auto"/>
        </w:rPr>
        <w:t>As of December 31, 2012, the market value of the warrants amounted to $33,431, of which $8,707 was recorded as interest expense in 2012, representing the expense for the periods 2009 through 2012. No warrants were exercised during 2012, 2011 and 2010.</w:t>
      </w:r>
    </w:p>
    <w:p>
      <w:pPr>
        <w:spacing w:after="0" w:line="170" w:lineRule="exact"/>
        <w:rPr>
          <w:sz w:val="20"/>
          <w:szCs w:val="20"/>
          <w:color w:val="auto"/>
        </w:rPr>
      </w:pPr>
    </w:p>
    <w:p>
      <w:pPr>
        <w:ind w:right="220" w:firstLine="338"/>
        <w:spacing w:after="0" w:line="352" w:lineRule="auto"/>
        <w:rPr>
          <w:sz w:val="20"/>
          <w:szCs w:val="20"/>
          <w:color w:val="auto"/>
        </w:rPr>
      </w:pPr>
      <w:r>
        <w:rPr>
          <w:rFonts w:ascii="Arial" w:cs="Arial" w:eastAsia="Arial" w:hAnsi="Arial"/>
          <w:sz w:val="15"/>
          <w:szCs w:val="15"/>
          <w:color w:val="auto"/>
        </w:rPr>
        <w:t>The Company estimated the fair value of these warrants at the date of the grant using the Black-Scholes option-pricing model and records the expense over the life of the warrants. As of December 31, 2012, the market value of the warrants amounted to $33,431, of which $8,707 was recorded as warrant expenses.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H—NOTES PAYABLE AND LONG-TERM DEBT (Continued)</w:t>
      </w:r>
    </w:p>
    <w:p>
      <w:pPr>
        <w:spacing w:after="0" w:line="228"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Company, through its China subsidiary, established a bank line of credit for $11.8 million and $1.1 million with a China Bank as of December 31, 2012. The interest rate for this line of credit varies between 110% and 125% of the China prime rate. This credit line is a revolving line that is renewable by its anniversary. Collateral for the loans includes the land use rights, building and equipment located in China.</w:t>
      </w:r>
    </w:p>
    <w:p>
      <w:pPr>
        <w:spacing w:after="0" w:line="179"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Company entered into a 12-month equipment financing agreement of $0.9 million with a Taiwan bank during 2012. The financing agreement required equipment collateral and a compensation deposit of $50,000 that is included in restricted cash. The agreement requires monthly installment payments over 12 months and ends in June 2013. The financing agreement bears interest at the rate of 3.375%.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I—SHORT-TERM LOAN WITH SHAREHOLDERS</w:t>
      </w:r>
    </w:p>
    <w:p>
      <w:pPr>
        <w:spacing w:after="0" w:line="228"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In 2010, the Company borrowed $3.2 million from 12 shareholders under the terms of unsecured promissory note agreements. These notes bore an interest rate of 6% with maturity dates of 18 months from the effective dates of the notes originally maturing on October 21, 2011, but extended to December 31, 2012. The note holders were also issued warrants that expire by April 23, 2020, to purchase 51,200 shares of the Company's Series F Preferred Stock, with an exercise price of $7.50 per share. As part of the loan maturity date extension, additional warrants to purchase 6,081 shares of the Company's Series G Preferred Stock were issued in 2011 with an exercise price of $18.00 per share that expire on April 23, 2020.</w:t>
      </w:r>
    </w:p>
    <w:p>
      <w:pPr>
        <w:spacing w:after="0" w:line="187"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2011, two of the note holders converted their respective notes into shares of Series G Preferred Stock and four of the notes were repaid in full. In 2012, five of the remaining note holders converted their respective notes into shares of Series G Preferred Stock and one of the notes was repaid. As of December 31, 2012, all principal and interest related to these notes had been fully satisfied.</w:t>
      </w:r>
    </w:p>
    <w:p>
      <w:pPr>
        <w:spacing w:after="0" w:line="179"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Company estimated the fair value of these warrants at the date of the grant using the Black-Scholes option-pricing model and records the expense over the life of the warrants using the following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Expected</w:t>
            </w: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Risk free</w:t>
            </w:r>
          </w:p>
        </w:tc>
        <w:tc>
          <w:tcPr>
            <w:tcW w:w="2760" w:type="dxa"/>
            <w:vAlign w:val="bottom"/>
            <w:gridSpan w:val="3"/>
          </w:tcPr>
          <w:p>
            <w:pPr>
              <w:ind w:left="180"/>
              <w:spacing w:after="0"/>
              <w:rPr>
                <w:sz w:val="20"/>
                <w:szCs w:val="20"/>
                <w:color w:val="auto"/>
              </w:rPr>
            </w:pPr>
            <w:r>
              <w:rPr>
                <w:rFonts w:ascii="Arial" w:cs="Arial" w:eastAsia="Arial" w:hAnsi="Arial"/>
                <w:sz w:val="13"/>
                <w:szCs w:val="13"/>
                <w:b w:val="1"/>
                <w:bCs w:val="1"/>
                <w:color w:val="auto"/>
              </w:rPr>
              <w:t>Expected</w:t>
            </w:r>
          </w:p>
        </w:tc>
      </w:tr>
      <w:tr>
        <w:trPr>
          <w:trHeight w:val="157"/>
        </w:trPr>
        <w:tc>
          <w:tcPr>
            <w:tcW w:w="1720" w:type="dxa"/>
            <w:vAlign w:val="bottom"/>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4360" w:type="dxa"/>
            <w:vAlign w:val="bottom"/>
          </w:tcPr>
          <w:p>
            <w:pPr>
              <w:spacing w:after="0"/>
              <w:rPr>
                <w:sz w:val="13"/>
                <w:szCs w:val="13"/>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volatility</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interest rate</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term (years)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5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3.66%</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7"/>
                <w:szCs w:val="17"/>
                <w:color w:val="auto"/>
              </w:rPr>
              <w:t>2011</w:t>
            </w:r>
          </w:p>
        </w:tc>
        <w:tc>
          <w:tcPr>
            <w:tcW w:w="520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0.83%</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0" w:type="dxa"/>
            <w:vAlign w:val="bottom"/>
            <w:gridSpan w:val="3"/>
          </w:tcPr>
          <w:p>
            <w:pPr>
              <w:jc w:val="right"/>
              <w:ind w:right="1720"/>
              <w:spacing w:after="0"/>
              <w:rPr>
                <w:sz w:val="20"/>
                <w:szCs w:val="20"/>
                <w:color w:val="auto"/>
              </w:rPr>
            </w:pPr>
            <w:r>
              <w:rPr>
                <w:rFonts w:ascii="Arial" w:cs="Arial" w:eastAsia="Arial" w:hAnsi="Arial"/>
                <w:sz w:val="17"/>
                <w:szCs w:val="17"/>
                <w:color w:val="auto"/>
              </w:rPr>
              <w:t>F-23</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I—SHORT-TERM LOAN WITH SHAREHOLDERS (Continued)</w:t>
      </w:r>
    </w:p>
    <w:p>
      <w:pPr>
        <w:spacing w:after="0" w:line="228"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As of December 31, 2012, the market value of the warrants amounted to $59,085, of which $11,422 was recorded as interest expense in 2012, representing the expense for the periods 2010 through 2012. No warrants were exercised during 2010,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consisted of the following as of December 31: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w w:val="87"/>
              </w:rPr>
              <w:t>(in</w:t>
            </w:r>
          </w:p>
        </w:tc>
        <w:tc>
          <w:tcPr>
            <w:tcW w:w="800" w:type="dxa"/>
            <w:vAlign w:val="bottom"/>
            <w:gridSpan w:val="5"/>
          </w:tcPr>
          <w:p>
            <w:pPr>
              <w:jc w:val="right"/>
              <w:ind w:right="236"/>
              <w:spacing w:after="0"/>
              <w:rPr>
                <w:sz w:val="20"/>
                <w:szCs w:val="20"/>
                <w:color w:val="auto"/>
              </w:rPr>
            </w:pPr>
            <w:r>
              <w:rPr>
                <w:rFonts w:ascii="Arial" w:cs="Arial" w:eastAsia="Arial" w:hAnsi="Arial"/>
                <w:sz w:val="12"/>
                <w:szCs w:val="12"/>
                <w:b w:val="1"/>
                <w:bCs w:val="1"/>
                <w:color w:val="auto"/>
                <w:w w:val="71"/>
              </w:rPr>
              <w:t>thousands)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employee benefits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452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property taxes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interest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construction expenses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Advanced payments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commission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3,243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2,658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K—OTHER INCOME AND EXPENSE</w:t>
            </w: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continu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46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60" w:type="dxa"/>
            <w:vAlign w:val="bottom"/>
            <w:gridSpan w:val="2"/>
          </w:tcPr>
          <w:p>
            <w:pPr>
              <w:ind w:left="340"/>
              <w:spacing w:after="0"/>
              <w:rPr>
                <w:sz w:val="20"/>
                <w:szCs w:val="20"/>
                <w:color w:val="auto"/>
              </w:rPr>
            </w:pPr>
            <w:r>
              <w:rPr>
                <w:rFonts w:ascii="Arial" w:cs="Arial" w:eastAsia="Arial" w:hAnsi="Arial"/>
                <w:sz w:val="17"/>
                <w:szCs w:val="17"/>
                <w:color w:val="auto"/>
                <w:w w:val="92"/>
              </w:rPr>
              <w:t>Other income and expense consisted of the following as of December 31:</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2012</w:t>
            </w:r>
          </w:p>
        </w:tc>
        <w:tc>
          <w:tcPr>
            <w:tcW w:w="60" w:type="dxa"/>
            <w:vAlign w:val="bottom"/>
            <w:tcBorders>
              <w:bottom w:val="single" w:sz="8" w:color="auto"/>
            </w:tcBorders>
          </w:tcPr>
          <w:p>
            <w:pPr>
              <w:spacing w:after="0"/>
              <w:rPr>
                <w:sz w:val="24"/>
                <w:szCs w:val="24"/>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2011</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7"/>
              </w:rPr>
              <w:t>thousands)</w:t>
            </w:r>
          </w:p>
        </w:tc>
        <w:tc>
          <w:tcPr>
            <w:tcW w:w="1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Unrealized foreign exchange gain (loss)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5"/>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Realized foreign exchange gain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Government subsidy income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Other non-operating gain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7"/>
                <w:szCs w:val="17"/>
                <w:color w:val="auto"/>
              </w:rPr>
              <w:t>Gain (loss) on disposal of assets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right"/>
              <w:ind w:right="15"/>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00" w:type="dxa"/>
            <w:vAlign w:val="bottom"/>
            <w:gridSpan w:val="2"/>
          </w:tcPr>
          <w:p>
            <w:pPr>
              <w:jc w:val="right"/>
              <w:ind w:right="1880"/>
              <w:spacing w:after="0"/>
              <w:rPr>
                <w:sz w:val="20"/>
                <w:szCs w:val="20"/>
                <w:color w:val="auto"/>
              </w:rPr>
            </w:pPr>
            <w:r>
              <w:rPr>
                <w:rFonts w:ascii="Arial" w:cs="Arial" w:eastAsia="Arial" w:hAnsi="Arial"/>
                <w:sz w:val="17"/>
                <w:szCs w:val="17"/>
                <w:color w:val="auto"/>
              </w:rPr>
              <w:t>F-24</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L—INCOME TAXES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sources of our income or loss from operations before income taxes were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Year Ended</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566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566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(3,077)</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(3,513)</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(2,144)</w:t>
            </w:r>
          </w:p>
        </w:tc>
      </w:tr>
      <w:tr>
        <w:trPr>
          <w:trHeight w:val="216"/>
        </w:trPr>
        <w:tc>
          <w:tcPr>
            <w:tcW w:w="5660" w:type="dxa"/>
            <w:vAlign w:val="bottom"/>
          </w:tcPr>
          <w:p>
            <w:pPr>
              <w:spacing w:after="0"/>
              <w:rPr>
                <w:sz w:val="20"/>
                <w:szCs w:val="20"/>
                <w:color w:val="auto"/>
              </w:rPr>
            </w:pPr>
            <w:r>
              <w:rPr>
                <w:rFonts w:ascii="Arial" w:cs="Arial" w:eastAsia="Arial" w:hAnsi="Arial"/>
                <w:sz w:val="17"/>
                <w:szCs w:val="17"/>
                <w:color w:val="auto"/>
              </w:rPr>
              <w:t>Foreign (loss)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2,132</w:t>
            </w:r>
          </w:p>
        </w:tc>
        <w:tc>
          <w:tcPr>
            <w:tcW w:w="16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(1,815)</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(1,236)</w:t>
            </w: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Total Income (loss)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(945)</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(5,328)</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(3,380)</w:t>
            </w:r>
          </w:p>
        </w:tc>
      </w:tr>
      <w:tr>
        <w:trPr>
          <w:trHeight w:val="26"/>
        </w:trPr>
        <w:tc>
          <w:tcPr>
            <w:tcW w:w="5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80" w:firstLine="341"/>
        <w:spacing w:after="0" w:line="270" w:lineRule="auto"/>
        <w:rPr>
          <w:sz w:val="20"/>
          <w:szCs w:val="20"/>
          <w:color w:val="auto"/>
        </w:rPr>
      </w:pPr>
      <w:r>
        <w:rPr>
          <w:rFonts w:ascii="Arial" w:cs="Arial" w:eastAsia="Arial" w:hAnsi="Arial"/>
          <w:sz w:val="17"/>
          <w:szCs w:val="17"/>
          <w:color w:val="auto"/>
        </w:rPr>
        <w:t>Deferred income tax assets and liabilities result principally from net operating losses, different methods of recognizing depreciation, reserve for doubtful accounts, inventory reserves for obsolescence and accrued vacation, together with timing differences between book and tax reporting. At December 31, the net deferred tax assets and liabilities are comprised of the following approximate amounts: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98"/>
              <w:spacing w:after="0" w:line="138"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ind w:right="397"/>
              <w:spacing w:after="0"/>
              <w:rPr>
                <w:sz w:val="20"/>
                <w:szCs w:val="20"/>
                <w:color w:val="auto"/>
              </w:rPr>
            </w:pPr>
            <w:r>
              <w:rPr>
                <w:rFonts w:ascii="Arial" w:cs="Arial" w:eastAsia="Arial" w:hAnsi="Arial"/>
                <w:sz w:val="11"/>
                <w:szCs w:val="11"/>
                <w:b w:val="1"/>
                <w:bCs w:val="1"/>
                <w:color w:val="auto"/>
                <w:w w:val="74"/>
              </w:rPr>
              <w:t>thousands)</w:t>
            </w:r>
          </w:p>
        </w:tc>
        <w:tc>
          <w:tcPr>
            <w:tcW w:w="160" w:type="dxa"/>
            <w:vAlign w:val="bottom"/>
          </w:tcPr>
          <w:p>
            <w:pPr>
              <w:spacing w:after="0"/>
              <w:rPr>
                <w:sz w:val="11"/>
                <w:szCs w:val="1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NOL carryforward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21,797</w:t>
            </w:r>
          </w:p>
        </w:tc>
        <w:tc>
          <w:tcPr>
            <w:tcW w:w="160" w:type="dxa"/>
            <w:vAlign w:val="bottom"/>
            <w:shd w:val="clear" w:color="auto" w:fill="CCEE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Inventory reserves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305</w:t>
            </w:r>
          </w:p>
        </w:tc>
        <w:tc>
          <w:tcPr>
            <w:tcW w:w="16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80" w:type="dxa"/>
            <w:vAlign w:val="bottom"/>
          </w:tcPr>
          <w:p>
            <w:pPr>
              <w:spacing w:after="0"/>
              <w:rPr>
                <w:sz w:val="20"/>
                <w:szCs w:val="20"/>
                <w:color w:val="auto"/>
              </w:rPr>
            </w:pPr>
            <w:r>
              <w:rPr>
                <w:rFonts w:ascii="Arial" w:cs="Arial" w:eastAsia="Arial" w:hAnsi="Arial"/>
                <w:sz w:val="17"/>
                <w:szCs w:val="17"/>
                <w:color w:val="auto"/>
              </w:rPr>
              <w:t>Fixed assets and intangibles</w:t>
            </w:r>
          </w:p>
        </w:tc>
        <w:tc>
          <w:tcPr>
            <w:tcW w:w="18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7"/>
                <w:szCs w:val="17"/>
                <w:color w:val="auto"/>
              </w:rPr>
              <w:t>(1,582)</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(1,664)</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(614)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(614)</w:t>
            </w: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276</w:t>
            </w:r>
          </w:p>
        </w:tc>
        <w:tc>
          <w:tcPr>
            <w:tcW w:w="16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20,099</w:t>
            </w:r>
          </w:p>
        </w:tc>
        <w:tc>
          <w:tcPr>
            <w:tcW w:w="16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8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7"/>
                <w:szCs w:val="17"/>
                <w:color w:val="auto"/>
              </w:rPr>
              <w:t>(21,644)</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(20,099)</w:t>
            </w: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valuation allowance was established to reduce the deferred tax asset for the amounts that will more likely than not be realized. This reduction is primarily necessary due to the uncertainty of the Company's ability to utilize all of the net operating loss carry forwards. The valuation allowance increased approximately $1.5 million, $0.8 million and $0.5 million in 2012, 2011 and 2010, respectively.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2012 and 2011, and for the periods then ended, the Company had no uncertain tax positions.</w:t>
      </w:r>
    </w:p>
    <w:p>
      <w:pPr>
        <w:spacing w:after="0" w:line="224"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Company has a U.S. net operating loss carry forward of approximately $66.7 million, which expires between 2020 and 2032. The Company also has U.S. research and development tax credits of $1.5 million which expire between 2024 and 2032. The Company has a net operating loss carry-forward from its China operations of approximately $5.4 million, which expires between 2013 and 2016. Utilization of net operating losses and tax credit carry-forwards</w:t>
      </w:r>
    </w:p>
    <w:p>
      <w:pPr>
        <w:spacing w:after="0" w:line="14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L—INCOME TAXES (Continued)</w:t>
      </w:r>
    </w:p>
    <w:p>
      <w:pPr>
        <w:spacing w:after="0" w:line="22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are subject to a substantial annual limitation due to the ownership change limitations set forth in Internal Revenue Code Section 382. Based upon analysis performed with respect to Section 382 of the Internal Revenue Code, approximately $21.6 million of the total available U.S. net operating loss carry forwards will not be available for utilization as an offset to taxable income in future periods. Because of changes in control that are deemed to have occurred under Section 382, the Company's net operating loss carry forward available in calendar year 2013 to shelter taxable income was limited to $38.8 million at December 31, 2012, with an additional $3.7 million becoming available between 2013 and 2025. The additional $3.7 million is subject to an annual limitation of the $0.3 million. Additional ownership changes could result in the expiration of the net operating loss and tax credit carry-forwards before utilization.</w:t>
      </w:r>
    </w:p>
    <w:p>
      <w:pPr>
        <w:spacing w:after="0" w:line="176"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Company files income tax returns in the U.S federal jurisdiction and various states and foreign jurisdictions. As of December 31, 2012, the Company's federal returns for the year ended December 31, 2009 through the current period are still open to examination. In addition, all of the net operating losses and research and development credit carry-forwards that may be utilized in future years are still subject to examination. The Company is not currently subject to U.S. federal, state and local, or non-U.S. income tax examinations by any tax authorities.</w:t>
      </w:r>
    </w:p>
    <w:p>
      <w:pPr>
        <w:spacing w:after="0" w:line="185" w:lineRule="exact"/>
        <w:rPr>
          <w:sz w:val="20"/>
          <w:szCs w:val="20"/>
          <w:color w:val="auto"/>
        </w:rPr>
      </w:pPr>
    </w:p>
    <w:p>
      <w:pPr>
        <w:ind w:right="240" w:firstLine="332"/>
        <w:spacing w:after="0" w:line="282" w:lineRule="auto"/>
        <w:rPr>
          <w:sz w:val="20"/>
          <w:szCs w:val="20"/>
          <w:color w:val="auto"/>
        </w:rPr>
      </w:pPr>
      <w:r>
        <w:rPr>
          <w:rFonts w:ascii="Arial" w:cs="Arial" w:eastAsia="Arial" w:hAnsi="Arial"/>
          <w:sz w:val="17"/>
          <w:szCs w:val="17"/>
          <w:color w:val="auto"/>
        </w:rPr>
        <w:t>A reconciliation of the U.S. federal income tax rate of 34% for the years ended December 31, 2012, 2011 and 2010 to the Company's effective income tax rate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Expected (benefit) taxes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(1,158)</w:t>
            </w: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Non-deductible expenses</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534</w:t>
            </w:r>
          </w:p>
        </w:tc>
        <w:tc>
          <w:tcPr>
            <w:tcW w:w="160" w:type="dxa"/>
            <w:vAlign w:val="bottom"/>
          </w:tcPr>
          <w:p>
            <w:pPr>
              <w:spacing w:after="0"/>
              <w:rPr>
                <w:sz w:val="18"/>
                <w:szCs w:val="18"/>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Increase in valuation allowance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6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Non-qualified stock options and other, net</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5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wholly owned subsidiary, Prime World is a tax-exempt entity under the Income Tax Code of the British Virgin Islands.</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Company's wholly owned subsidiary, Global has enjoyed preferential tax concessions in China as a "high-tech enterprise." Pursuant to China's State Council's Regulations on Encouraging Investment in and Development, Global is entitled to full exemption from China's Foreign Enterprise Income Tax, or FEIT, for the first two years and a 50% reduction for the next three years, commencing from the first profit making year after offsetting all tax losses carried forward from the previous five years. In March 2007, China enacted the PRC Enterprise Income Tax Law, or EIT Law, under which, effective January 1, 2008, China adopted a uniform income tax rate of 25% for all enterprises (including foreign-invested enterprises) and cancelled several tax incentives enjoyed previously by foreign-invested enterprises. For foreign-invested enterprises like Global that were established before the promulgation of the EIT Law, a five-year transition period is provided during which reduced income tax rates will apply but will</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L—INCOME TAXES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gradually be phased out. The Chinese government has not yet announced implementation measures for the transitional policy concerning such preferential tax rates, so the Company is unable at this time to estimate the financial impact of the new tax law on Global.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w:t>
      </w:r>
    </w:p>
    <w:p>
      <w:pPr>
        <w:spacing w:after="0" w:line="228"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Company issues stock options to employees, consultants and non-employee directors. There are four incentive share plans that have been approved by the board of directors: the 1998 Incentive Share Plan, the 2000 Incentive Share Plan, the 2004 Incentive Share Plan and the 2006 Incentive Share Plan. Stock option awards for each of the four plans generally vest over a four year period and have a maximum term of ten years.</w:t>
      </w:r>
    </w:p>
    <w:p>
      <w:pPr>
        <w:spacing w:after="0" w:line="179" w:lineRule="exact"/>
        <w:rPr>
          <w:sz w:val="20"/>
          <w:szCs w:val="20"/>
          <w:color w:val="auto"/>
        </w:rPr>
      </w:pPr>
    </w:p>
    <w:p>
      <w:pPr>
        <w:jc w:val="both"/>
        <w:ind w:right="300" w:firstLine="341"/>
        <w:spacing w:after="0" w:line="270" w:lineRule="auto"/>
        <w:rPr>
          <w:sz w:val="20"/>
          <w:szCs w:val="20"/>
          <w:color w:val="auto"/>
        </w:rPr>
      </w:pPr>
      <w:r>
        <w:rPr>
          <w:rFonts w:ascii="Arial" w:cs="Arial" w:eastAsia="Arial" w:hAnsi="Arial"/>
          <w:sz w:val="17"/>
          <w:szCs w:val="17"/>
          <w:color w:val="auto"/>
        </w:rPr>
        <w:t>Stock options under these plans have been granted at the fair market value on the date of the grant. Nonqualified and Incentive Stock Options may be granted from each of these plans. The fair market value of the Company's stock has been historically determined by the board of directors and beginning in 2007, with the assistance of a third party valuation specialist.</w:t>
      </w:r>
    </w:p>
    <w:p>
      <w:pPr>
        <w:spacing w:after="0" w:line="179"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1998 Incentive Share Plan provides for awards of Stock Options, Stock Appreciation Rights, Restricted Stock, Performance Awards or Other Awards. Initially 66,667 shares of common stock were reserved for issuance under such plan and such amount was amended to 69,333 in June 2001. As of December 31, 2012, 3,862 shares were outstanding under this plan and there were no shares available to issue under this plan.</w:t>
      </w:r>
    </w:p>
    <w:p>
      <w:pPr>
        <w:spacing w:after="0" w:line="179"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2000 Incentive Share Plan provides for awards of Stock Options, Stock Appreciation Rights, Restricted Stock, Performance Awards or Other Awards. Upon approval 120,137 shares of common stock were reserved for issuance under the plan. As of December 31, 2012, 21,086 shares were outstanding under this plan and there were no shares available to issue under this plan.</w:t>
      </w:r>
    </w:p>
    <w:p>
      <w:pPr>
        <w:spacing w:after="0" w:line="179" w:lineRule="exact"/>
        <w:rPr>
          <w:sz w:val="20"/>
          <w:szCs w:val="20"/>
          <w:color w:val="auto"/>
        </w:rPr>
      </w:pPr>
    </w:p>
    <w:p>
      <w:pPr>
        <w:ind w:right="100" w:firstLine="338"/>
        <w:spacing w:after="0" w:line="270" w:lineRule="auto"/>
        <w:rPr>
          <w:sz w:val="20"/>
          <w:szCs w:val="20"/>
          <w:color w:val="auto"/>
        </w:rPr>
      </w:pPr>
      <w:r>
        <w:rPr>
          <w:rFonts w:ascii="Arial" w:cs="Arial" w:eastAsia="Arial" w:hAnsi="Arial"/>
          <w:sz w:val="17"/>
          <w:szCs w:val="17"/>
          <w:color w:val="auto"/>
        </w:rPr>
        <w:t>The 2004 Incentive Share Plan provides for awards of Stock Options, Stock Appreciation Rights, Restricted Stock, Performance Awards or Other Awards. Upon approval, 50,000 shares of common stock were reserved for issuance under the plan. As of December 31, 2012, 25,706 shares were outstanding under this plan and there were no shares available to issue under this plan.</w:t>
      </w:r>
    </w:p>
    <w:p>
      <w:pPr>
        <w:spacing w:after="0" w:line="179" w:lineRule="exact"/>
        <w:rPr>
          <w:sz w:val="20"/>
          <w:szCs w:val="20"/>
          <w:color w:val="auto"/>
        </w:rPr>
      </w:pPr>
    </w:p>
    <w:p>
      <w:pPr>
        <w:ind w:right="140" w:firstLine="338"/>
        <w:spacing w:after="0" w:line="287" w:lineRule="auto"/>
        <w:rPr>
          <w:sz w:val="20"/>
          <w:szCs w:val="20"/>
          <w:color w:val="auto"/>
        </w:rPr>
      </w:pPr>
      <w:r>
        <w:rPr>
          <w:rFonts w:ascii="Arial" w:cs="Arial" w:eastAsia="Arial" w:hAnsi="Arial"/>
          <w:sz w:val="16"/>
          <w:szCs w:val="16"/>
          <w:color w:val="auto"/>
        </w:rPr>
        <w:t>The 2006 Incentive Share Plan provides for awards of Stock Options, Stock Appreciation Rights, Restricted Stock, Performance Awards or Other Awards. Initially 50,000 shares of common stock were reserved for issuance under the plan. In June 2008, the number of shares of common stock reserved for issuance under this plan was increased to 466,667. The plan was again amended to increase the reserved shares to 1,000,000 in November 2012. As of December 31, 2012, 368,668 shares were outstanding under this plan and there were 623,814 shares available to issue under this plan.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 (Continued)</w:t>
      </w:r>
    </w:p>
    <w:p>
      <w:pPr>
        <w:spacing w:after="0" w:line="228" w:lineRule="exact"/>
        <w:rPr>
          <w:sz w:val="20"/>
          <w:szCs w:val="20"/>
          <w:color w:val="auto"/>
        </w:rPr>
      </w:pPr>
    </w:p>
    <w:p>
      <w:pPr>
        <w:ind w:right="520" w:firstLine="338"/>
        <w:spacing w:after="0" w:line="282" w:lineRule="auto"/>
        <w:rPr>
          <w:sz w:val="20"/>
          <w:szCs w:val="20"/>
          <w:color w:val="auto"/>
        </w:rPr>
      </w:pPr>
      <w:r>
        <w:rPr>
          <w:rFonts w:ascii="Arial" w:cs="Arial" w:eastAsia="Arial" w:hAnsi="Arial"/>
          <w:sz w:val="17"/>
          <w:szCs w:val="17"/>
          <w:color w:val="auto"/>
        </w:rPr>
        <w:t>The Company estimates the fair value of employee stock options at the date of the grant using the Black-Scholes option-pricing model with the following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1.01%</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2.32%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1.72%</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6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Estimated forfeitures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r>
    </w:tbl>
    <w:p>
      <w:pPr>
        <w:spacing w:after="0" w:line="201"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As there has been no market for the Company's common stock,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Employee stock-based compensation expenses recognized for the years ended December 31,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Total employee stock-based compensation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Options have been granted to the Company's employees under the four incentive plans and generally become exercisable as to 25% of the shares on the first anniversary date following the date of grant and semi-annually thereafter. All options expire ten years after the date of grant. The Company has outstanding options to purchase 84,441 shares under the 1998 plan; 125,942 shares under the 2000 plan; 74,318 shares under the 2004 plan; and 566,178 shares under the 2006 plan.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option activity: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3"/>
          </w:tcPr>
          <w:p>
            <w:pPr>
              <w:jc w:val="center"/>
              <w:ind w:right="142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gridSpan w:val="2"/>
          </w:tcPr>
          <w:p>
            <w:pPr>
              <w:jc w:val="right"/>
              <w:ind w:right="205"/>
              <w:spacing w:after="0" w:line="144"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Exercise</w:t>
            </w:r>
          </w:p>
        </w:tc>
        <w:tc>
          <w:tcPr>
            <w:tcW w:w="120" w:type="dxa"/>
            <w:vAlign w:val="bottom"/>
          </w:tcPr>
          <w:p>
            <w:pPr>
              <w:spacing w:after="0"/>
              <w:rPr>
                <w:sz w:val="12"/>
                <w:szCs w:val="12"/>
                <w:color w:val="auto"/>
              </w:rPr>
            </w:pPr>
          </w:p>
        </w:tc>
        <w:tc>
          <w:tcPr>
            <w:tcW w:w="220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exercise price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w w:val="74"/>
              </w:rPr>
              <w:t>(in</w:t>
            </w:r>
          </w:p>
        </w:tc>
        <w:tc>
          <w:tcPr>
            <w:tcW w:w="3700" w:type="dxa"/>
            <w:vAlign w:val="bottom"/>
            <w:gridSpan w:val="7"/>
          </w:tcPr>
          <w:p>
            <w:pPr>
              <w:spacing w:after="0" w:line="138" w:lineRule="exact"/>
              <w:rPr>
                <w:sz w:val="20"/>
                <w:szCs w:val="20"/>
                <w:color w:val="auto"/>
              </w:rPr>
            </w:pPr>
            <w:r>
              <w:rPr>
                <w:rFonts w:ascii="Arial" w:cs="Arial" w:eastAsia="Arial" w:hAnsi="Arial"/>
                <w:sz w:val="13"/>
                <w:szCs w:val="13"/>
                <w:b w:val="1"/>
                <w:bCs w:val="1"/>
                <w:color w:val="auto"/>
              </w:rPr>
              <w:t>thousands, except price data)</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January 1, 2010</w:t>
            </w:r>
          </w:p>
        </w:tc>
        <w:tc>
          <w:tcPr>
            <w:tcW w:w="2720" w:type="dxa"/>
            <w:vAlign w:val="bottom"/>
            <w:gridSpan w:val="3"/>
            <w:shd w:val="clear" w:color="auto" w:fill="CCEEFF"/>
          </w:tcPr>
          <w:p>
            <w:pPr>
              <w:jc w:val="right"/>
              <w:ind w:right="105"/>
              <w:spacing w:after="0"/>
              <w:rPr>
                <w:sz w:val="20"/>
                <w:szCs w:val="20"/>
                <w:color w:val="auto"/>
              </w:rPr>
            </w:pPr>
            <w:r>
              <w:rPr>
                <w:rFonts w:ascii="Arial" w:cs="Arial" w:eastAsia="Arial" w:hAnsi="Arial"/>
                <w:sz w:val="17"/>
                <w:szCs w:val="17"/>
                <w:color w:val="auto"/>
              </w:rPr>
              <w:t>162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3.00 - $56.40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Granted</w:t>
            </w:r>
          </w:p>
        </w:tc>
        <w:tc>
          <w:tcPr>
            <w:tcW w:w="2720" w:type="dxa"/>
            <w:vAlign w:val="bottom"/>
            <w:gridSpan w:val="3"/>
          </w:tcPr>
          <w:p>
            <w:pPr>
              <w:jc w:val="right"/>
              <w:ind w:right="105"/>
              <w:spacing w:after="0"/>
              <w:rPr>
                <w:sz w:val="20"/>
                <w:szCs w:val="20"/>
                <w:color w:val="auto"/>
              </w:rPr>
            </w:pPr>
            <w:r>
              <w:rPr>
                <w:rFonts w:ascii="Arial" w:cs="Arial" w:eastAsia="Arial" w:hAnsi="Arial"/>
                <w:sz w:val="17"/>
                <w:szCs w:val="17"/>
                <w:color w:val="auto"/>
              </w:rPr>
              <w:t>134</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7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20" w:type="dxa"/>
            <w:vAlign w:val="bottom"/>
            <w:gridSpan w:val="3"/>
          </w:tcPr>
          <w:p>
            <w:pPr>
              <w:jc w:val="right"/>
              <w:ind w:right="45"/>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4.50 - 56.40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Outstanding, December 31, 2010</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5.838</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December 31, 2010</w:t>
            </w:r>
          </w:p>
        </w:tc>
        <w:tc>
          <w:tcPr>
            <w:tcW w:w="2720" w:type="dxa"/>
            <w:vAlign w:val="bottom"/>
            <w:gridSpan w:val="3"/>
            <w:shd w:val="clear" w:color="auto" w:fill="CCEEFF"/>
          </w:tcPr>
          <w:p>
            <w:pPr>
              <w:jc w:val="right"/>
              <w:ind w:right="105"/>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Granted</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3.00 - 6.00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20" w:type="dxa"/>
            <w:vAlign w:val="bottom"/>
            <w:gridSpan w:val="3"/>
          </w:tcPr>
          <w:p>
            <w:pPr>
              <w:jc w:val="right"/>
              <w:ind w:right="45"/>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4.50 - 6.00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Outstanding, December 31, 2011</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5.877</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December 31, 2011</w:t>
            </w:r>
          </w:p>
        </w:tc>
        <w:tc>
          <w:tcPr>
            <w:tcW w:w="2720" w:type="dxa"/>
            <w:vAlign w:val="bottom"/>
            <w:gridSpan w:val="3"/>
            <w:shd w:val="clear" w:color="auto" w:fill="CCEEFF"/>
          </w:tcPr>
          <w:p>
            <w:pPr>
              <w:jc w:val="right"/>
              <w:ind w:right="105"/>
              <w:spacing w:after="0" w:line="189" w:lineRule="exact"/>
              <w:rPr>
                <w:sz w:val="20"/>
                <w:szCs w:val="20"/>
                <w:color w:val="auto"/>
              </w:rPr>
            </w:pPr>
            <w:r>
              <w:rPr>
                <w:rFonts w:ascii="Arial" w:cs="Arial" w:eastAsia="Arial" w:hAnsi="Arial"/>
                <w:sz w:val="17"/>
                <w:szCs w:val="17"/>
                <w:color w:val="auto"/>
              </w:rPr>
              <w:t>181</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3.00 - 7.50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5.745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Granted</w:t>
            </w:r>
          </w:p>
        </w:tc>
        <w:tc>
          <w:tcPr>
            <w:tcW w:w="2720" w:type="dxa"/>
            <w:vAlign w:val="bottom"/>
            <w:gridSpan w:val="3"/>
          </w:tcPr>
          <w:p>
            <w:pPr>
              <w:jc w:val="right"/>
              <w:ind w:right="105"/>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6.291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20" w:type="dxa"/>
            <w:vAlign w:val="bottom"/>
            <w:gridSpan w:val="3"/>
          </w:tcPr>
          <w:p>
            <w:pPr>
              <w:jc w:val="right"/>
              <w:ind w:right="45"/>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5.301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Outstanding, December 31, 2012</w:t>
            </w:r>
          </w:p>
        </w:tc>
        <w:tc>
          <w:tcPr>
            <w:tcW w:w="27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5.934</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Exercisable, December 31, 2012</w:t>
            </w:r>
          </w:p>
        </w:tc>
        <w:tc>
          <w:tcPr>
            <w:tcW w:w="2720" w:type="dxa"/>
            <w:vAlign w:val="bottom"/>
            <w:gridSpan w:val="3"/>
            <w:shd w:val="clear" w:color="auto" w:fill="CCEEFF"/>
          </w:tcPr>
          <w:p>
            <w:pPr>
              <w:jc w:val="right"/>
              <w:ind w:right="105"/>
              <w:spacing w:after="0" w:line="189" w:lineRule="exact"/>
              <w:rPr>
                <w:sz w:val="20"/>
                <w:szCs w:val="20"/>
                <w:color w:val="auto"/>
              </w:rPr>
            </w:pPr>
            <w:r>
              <w:rPr>
                <w:rFonts w:ascii="Arial" w:cs="Arial" w:eastAsia="Arial" w:hAnsi="Arial"/>
                <w:sz w:val="17"/>
                <w:szCs w:val="17"/>
                <w:color w:val="auto"/>
              </w:rPr>
              <w:t>234</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3.00 - 7.50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5.880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7"/>
                <w:szCs w:val="17"/>
                <w:color w:val="auto"/>
              </w:rPr>
              <w:t>Vested and expected to vest, December 31, 2012</w:t>
            </w:r>
          </w:p>
        </w:tc>
        <w:tc>
          <w:tcPr>
            <w:tcW w:w="1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tcPr>
          <w:p>
            <w:pPr>
              <w:spacing w:after="0"/>
              <w:rPr>
                <w:sz w:val="2"/>
                <w:szCs w:val="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5.931</w:t>
            </w: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vMerge w:val="continu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86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Granted (unaudited)</w:t>
            </w:r>
          </w:p>
        </w:tc>
        <w:tc>
          <w:tcPr>
            <w:tcW w:w="2720" w:type="dxa"/>
            <w:vAlign w:val="bottom"/>
            <w:gridSpan w:val="3"/>
            <w:shd w:val="clear" w:color="auto" w:fill="CCEEFF"/>
          </w:tcPr>
          <w:p>
            <w:pPr>
              <w:jc w:val="right"/>
              <w:ind w:right="105"/>
              <w:spacing w:after="0" w:line="189" w:lineRule="exact"/>
              <w:rPr>
                <w:sz w:val="20"/>
                <w:szCs w:val="20"/>
                <w:color w:val="auto"/>
              </w:rPr>
            </w:pPr>
            <w:r>
              <w:rPr>
                <w:rFonts w:ascii="Arial" w:cs="Arial" w:eastAsia="Arial" w:hAnsi="Arial"/>
                <w:sz w:val="17"/>
                <w:szCs w:val="17"/>
                <w:color w:val="auto"/>
              </w:rPr>
              <w:t>338</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7.50 - 9.00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7.515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Exercised (unaudited)</w:t>
            </w:r>
          </w:p>
        </w:tc>
        <w:tc>
          <w:tcPr>
            <w:tcW w:w="2720" w:type="dxa"/>
            <w:vAlign w:val="bottom"/>
            <w:gridSpan w:val="3"/>
          </w:tcPr>
          <w:p>
            <w:pPr>
              <w:jc w:val="right"/>
              <w:ind w:right="45"/>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6.00 - 7.50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(unaudited)</w:t>
            </w:r>
          </w:p>
        </w:tc>
        <w:tc>
          <w:tcPr>
            <w:tcW w:w="272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6.00 - 7.50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Expired (unaudited)</w:t>
            </w:r>
          </w:p>
        </w:tc>
        <w:tc>
          <w:tcPr>
            <w:tcW w:w="2720" w:type="dxa"/>
            <w:vAlign w:val="bottom"/>
            <w:gridSpan w:val="3"/>
          </w:tcPr>
          <w:p>
            <w:pPr>
              <w:jc w:val="right"/>
              <w:ind w:right="45"/>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5.982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June 30, 2013 (unaudited)</w:t>
            </w:r>
          </w:p>
        </w:tc>
        <w:tc>
          <w:tcPr>
            <w:tcW w:w="2720" w:type="dxa"/>
            <w:vAlign w:val="bottom"/>
            <w:gridSpan w:val="3"/>
            <w:shd w:val="clear" w:color="auto" w:fill="CCEEFF"/>
          </w:tcPr>
          <w:p>
            <w:pPr>
              <w:jc w:val="right"/>
              <w:ind w:right="105"/>
              <w:spacing w:after="0"/>
              <w:rPr>
                <w:sz w:val="20"/>
                <w:szCs w:val="20"/>
                <w:color w:val="auto"/>
              </w:rPr>
            </w:pPr>
            <w:r>
              <w:rPr>
                <w:rFonts w:ascii="Arial" w:cs="Arial" w:eastAsia="Arial" w:hAnsi="Arial"/>
                <w:sz w:val="17"/>
                <w:szCs w:val="17"/>
                <w:color w:val="auto"/>
              </w:rPr>
              <w:t>736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3.00 - 9.00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860" w:type="dxa"/>
            <w:vAlign w:val="bottom"/>
          </w:tcPr>
          <w:p>
            <w:pPr>
              <w:ind w:left="20"/>
              <w:spacing w:after="0"/>
              <w:rPr>
                <w:sz w:val="20"/>
                <w:szCs w:val="20"/>
                <w:color w:val="auto"/>
              </w:rPr>
            </w:pPr>
            <w:r>
              <w:rPr>
                <w:rFonts w:ascii="Arial" w:cs="Arial" w:eastAsia="Arial" w:hAnsi="Arial"/>
                <w:sz w:val="17"/>
                <w:szCs w:val="17"/>
                <w:color w:val="auto"/>
              </w:rPr>
              <w:t>Exercisable, June 30, 2013 (unaudited)</w:t>
            </w:r>
          </w:p>
        </w:tc>
        <w:tc>
          <w:tcPr>
            <w:tcW w:w="2720" w:type="dxa"/>
            <w:vAlign w:val="bottom"/>
            <w:gridSpan w:val="3"/>
          </w:tcPr>
          <w:p>
            <w:pPr>
              <w:jc w:val="right"/>
              <w:ind w:right="105"/>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3.00 - 7.50</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5.895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Vested and expected to vest (unaudited)</w:t>
            </w:r>
          </w:p>
        </w:tc>
        <w:tc>
          <w:tcPr>
            <w:tcW w:w="2720" w:type="dxa"/>
            <w:vAlign w:val="bottom"/>
            <w:gridSpan w:val="3"/>
            <w:shd w:val="clear" w:color="auto" w:fill="CCEEFF"/>
          </w:tcPr>
          <w:p>
            <w:pPr>
              <w:jc w:val="right"/>
              <w:ind w:right="105"/>
              <w:spacing w:after="0" w:line="189" w:lineRule="exact"/>
              <w:rPr>
                <w:sz w:val="20"/>
                <w:szCs w:val="20"/>
                <w:color w:val="auto"/>
              </w:rPr>
            </w:pPr>
            <w:r>
              <w:rPr>
                <w:rFonts w:ascii="Arial" w:cs="Arial" w:eastAsia="Arial" w:hAnsi="Arial"/>
                <w:sz w:val="17"/>
                <w:szCs w:val="17"/>
                <w:color w:val="auto"/>
              </w:rPr>
              <w:t>664</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3.00 - 9.00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6.594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20" w:type="dxa"/>
            <w:vAlign w:val="bottom"/>
            <w:gridSpan w:val="3"/>
          </w:tcPr>
          <w:p>
            <w:pPr>
              <w:jc w:val="right"/>
              <w:ind w:right="1785"/>
              <w:spacing w:after="0"/>
              <w:rPr>
                <w:sz w:val="20"/>
                <w:szCs w:val="20"/>
                <w:color w:val="auto"/>
              </w:rPr>
            </w:pPr>
            <w:r>
              <w:rPr>
                <w:rFonts w:ascii="Arial" w:cs="Arial" w:eastAsia="Arial" w:hAnsi="Arial"/>
                <w:sz w:val="17"/>
                <w:szCs w:val="17"/>
                <w:color w:val="auto"/>
              </w:rPr>
              <w:t>F-29</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M—STOCK-BASED COMPENSATION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information about the options outstanding at December 31, 2012:</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average</w:t>
            </w:r>
          </w:p>
        </w:tc>
        <w:tc>
          <w:tcPr>
            <w:tcW w:w="74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8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880" w:type="dxa"/>
            <w:vAlign w:val="bottom"/>
            <w:gridSpan w:val="3"/>
          </w:tcPr>
          <w:p>
            <w:pPr>
              <w:jc w:val="center"/>
              <w:ind w:right="94"/>
              <w:spacing w:after="0" w:line="144" w:lineRule="exact"/>
              <w:rPr>
                <w:sz w:val="20"/>
                <w:szCs w:val="20"/>
                <w:color w:val="auto"/>
              </w:rPr>
            </w:pPr>
            <w:r>
              <w:rPr>
                <w:rFonts w:ascii="Arial" w:cs="Arial" w:eastAsia="Arial" w:hAnsi="Arial"/>
                <w:sz w:val="13"/>
                <w:szCs w:val="13"/>
                <w:b w:val="1"/>
                <w:bCs w:val="1"/>
                <w:color w:val="auto"/>
                <w:w w:val="87"/>
              </w:rPr>
              <w:t>Aggregate</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average</w:t>
            </w:r>
          </w:p>
        </w:tc>
        <w:tc>
          <w:tcPr>
            <w:tcW w:w="9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r>
      <w:tr>
        <w:trPr>
          <w:trHeight w:val="144"/>
        </w:trPr>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shares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2"/>
                <w:szCs w:val="12"/>
                <w:color w:val="auto"/>
              </w:rPr>
            </w:pPr>
          </w:p>
        </w:tc>
        <w:tc>
          <w:tcPr>
            <w:tcW w:w="6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4"/>
              <w:spacing w:after="0" w:line="144" w:lineRule="exact"/>
              <w:rPr>
                <w:sz w:val="20"/>
                <w:szCs w:val="20"/>
                <w:color w:val="auto"/>
              </w:rPr>
            </w:pPr>
            <w:r>
              <w:rPr>
                <w:rFonts w:ascii="Arial" w:cs="Arial" w:eastAsia="Arial" w:hAnsi="Arial"/>
                <w:sz w:val="13"/>
                <w:szCs w:val="13"/>
                <w:b w:val="1"/>
                <w:bCs w:val="1"/>
                <w:color w:val="auto"/>
                <w:w w:val="94"/>
              </w:rPr>
              <w:t>intrinsic</w:t>
            </w:r>
          </w:p>
        </w:tc>
        <w:tc>
          <w:tcPr>
            <w:tcW w:w="9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shares</w:t>
            </w: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4"/>
              </w:rPr>
              <w:t>exercise</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intrinsic</w:t>
            </w:r>
          </w:p>
        </w:tc>
      </w:tr>
      <w:tr>
        <w:trPr>
          <w:trHeight w:val="157"/>
        </w:trPr>
        <w:tc>
          <w:tcPr>
            <w:tcW w:w="1620" w:type="dxa"/>
            <w:vAlign w:val="bottom"/>
            <w:tcBorders>
              <w:bottom w:val="single" w:sz="8" w:color="auto"/>
            </w:tcBorders>
            <w:gridSpan w:val="2"/>
          </w:tcPr>
          <w:p>
            <w:pPr>
              <w:jc w:val="center"/>
              <w:ind w:right="195"/>
              <w:spacing w:after="0"/>
              <w:rPr>
                <w:sz w:val="20"/>
                <w:szCs w:val="20"/>
                <w:color w:val="auto"/>
              </w:rPr>
            </w:pPr>
            <w:r>
              <w:rPr>
                <w:rFonts w:ascii="Arial" w:cs="Arial" w:eastAsia="Arial" w:hAnsi="Arial"/>
                <w:sz w:val="13"/>
                <w:szCs w:val="13"/>
                <w:b w:val="1"/>
                <w:bCs w:val="1"/>
                <w:color w:val="auto"/>
                <w:w w:val="87"/>
              </w:rPr>
              <w:t>Range of exercise prices</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6"/>
              </w:rPr>
              <w:t>price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0"/>
              </w:rPr>
              <w:t>value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exercisable</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price</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3"/>
                <w:szCs w:val="13"/>
                <w:color w:val="auto"/>
              </w:rPr>
            </w:pPr>
          </w:p>
        </w:tc>
      </w:tr>
      <w:tr>
        <w:trPr>
          <w:trHeight w:val="137"/>
        </w:trPr>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ind w:left="40"/>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0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8"/>
              </w:rPr>
              <w:t>except price data)</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$3.00</w:t>
            </w:r>
          </w:p>
        </w:tc>
        <w:tc>
          <w:tcPr>
            <w:tcW w:w="1200" w:type="dxa"/>
            <w:vAlign w:val="bottom"/>
            <w:shd w:val="clear" w:color="auto" w:fill="CCEEFF"/>
          </w:tcPr>
          <w:p>
            <w:pPr>
              <w:jc w:val="center"/>
              <w:ind w:right="595"/>
              <w:spacing w:after="0"/>
              <w:rPr>
                <w:sz w:val="20"/>
                <w:szCs w:val="20"/>
                <w:color w:val="auto"/>
              </w:rPr>
            </w:pPr>
            <w:r>
              <w:rPr>
                <w:rFonts w:ascii="Arial" w:cs="Arial" w:eastAsia="Arial" w:hAnsi="Arial"/>
                <w:sz w:val="17"/>
                <w:szCs w:val="17"/>
                <w:color w:val="auto"/>
                <w:w w:val="90"/>
              </w:rPr>
              <w:t>- $4.95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w:t>
            </w:r>
          </w:p>
        </w:tc>
      </w:tr>
      <w:tr>
        <w:trPr>
          <w:trHeight w:val="216"/>
        </w:trPr>
        <w:tc>
          <w:tcPr>
            <w:tcW w:w="420" w:type="dxa"/>
            <w:vAlign w:val="bottom"/>
          </w:tcPr>
          <w:p>
            <w:pPr>
              <w:jc w:val="right"/>
              <w:spacing w:after="0"/>
              <w:rPr>
                <w:sz w:val="20"/>
                <w:szCs w:val="20"/>
                <w:color w:val="auto"/>
              </w:rPr>
            </w:pPr>
            <w:r>
              <w:rPr>
                <w:rFonts w:ascii="Arial" w:cs="Arial" w:eastAsia="Arial" w:hAnsi="Arial"/>
                <w:sz w:val="17"/>
                <w:szCs w:val="17"/>
                <w:color w:val="auto"/>
              </w:rPr>
              <w:t>6.00</w:t>
            </w:r>
          </w:p>
        </w:tc>
        <w:tc>
          <w:tcPr>
            <w:tcW w:w="1200" w:type="dxa"/>
            <w:vAlign w:val="bottom"/>
          </w:tcPr>
          <w:p>
            <w:pPr>
              <w:jc w:val="center"/>
              <w:ind w:right="595"/>
              <w:spacing w:after="0"/>
              <w:rPr>
                <w:sz w:val="20"/>
                <w:szCs w:val="20"/>
                <w:color w:val="auto"/>
              </w:rPr>
            </w:pPr>
            <w:r>
              <w:rPr>
                <w:rFonts w:ascii="Arial" w:cs="Arial" w:eastAsia="Arial" w:hAnsi="Arial"/>
                <w:sz w:val="17"/>
                <w:szCs w:val="17"/>
                <w:color w:val="auto"/>
                <w:w w:val="99"/>
              </w:rPr>
              <w:t>-  7.50</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401</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7.68</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593</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6.92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314</w:t>
            </w:r>
          </w:p>
        </w:tc>
      </w:tr>
      <w:tr>
        <w:trPr>
          <w:trHeight w:val="20"/>
        </w:trPr>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Total</w:t>
            </w:r>
          </w:p>
        </w:tc>
        <w:tc>
          <w:tcPr>
            <w:tcW w:w="1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420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657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r>
      <w:tr>
        <w:trPr>
          <w:trHeight w:val="26"/>
        </w:trPr>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As of December 31, 2012, total compensation cost related to unvested stock options not yet recognized was $0.4 million, which is expected to be expensed over a weighted-average period of 3.25 years.</w:t>
      </w:r>
    </w:p>
    <w:p>
      <w:pPr>
        <w:spacing w:after="0" w:line="170"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As of June 30, 2013, total compensation cost related to unvested stock options not yet recognized was $1.7 million, which is expected to be expensed over a weighted-average period of 3.38 years.</w:t>
      </w:r>
    </w:p>
    <w:p>
      <w:pPr>
        <w:spacing w:after="0" w:line="170" w:lineRule="exact"/>
        <w:rPr>
          <w:sz w:val="20"/>
          <w:szCs w:val="20"/>
          <w:color w:val="auto"/>
        </w:rPr>
      </w:pPr>
    </w:p>
    <w:p>
      <w:pPr>
        <w:ind w:right="60" w:firstLine="338"/>
        <w:spacing w:after="0" w:line="282" w:lineRule="auto"/>
        <w:rPr>
          <w:sz w:val="20"/>
          <w:szCs w:val="20"/>
          <w:color w:val="auto"/>
        </w:rPr>
      </w:pPr>
      <w:r>
        <w:rPr>
          <w:rFonts w:ascii="Arial" w:cs="Arial" w:eastAsia="Arial" w:hAnsi="Arial"/>
          <w:sz w:val="17"/>
          <w:szCs w:val="17"/>
          <w:color w:val="auto"/>
        </w:rPr>
        <w:t>The aggregate intrinsic value of options outstanding and options exercisable as of December 31, 2012 and December 31, 2011 was $0.7 million and $0.4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and weighted average fair value of options granted in 2012, 2011 and 2010 is as follows:</w:t>
      </w:r>
    </w:p>
    <w:p>
      <w:pPr>
        <w:spacing w:after="0" w:line="220" w:lineRule="exact"/>
        <w:rPr>
          <w:sz w:val="20"/>
          <w:szCs w:val="20"/>
          <w:color w:val="auto"/>
        </w:rPr>
      </w:pPr>
    </w:p>
    <w:tbl>
      <w:tblPr>
        <w:tblLayout w:type="fixed"/>
        <w:tblInd w:w="1940" w:type="dxa"/>
        <w:tblCellMar>
          <w:top w:w="0" w:type="dxa"/>
          <w:left w:w="0" w:type="dxa"/>
          <w:bottom w:w="0" w:type="dxa"/>
          <w:right w:w="0" w:type="dxa"/>
        </w:tblCellMar>
      </w:tblPr>
      <w:tr>
        <w:trPr>
          <w:trHeight w:val="157"/>
        </w:trPr>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b w:val="1"/>
                <w:bCs w:val="1"/>
                <w:color w:val="auto"/>
                <w:w w:val="96"/>
              </w:rPr>
              <w:t>2012</w:t>
            </w: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50"/>
              <w:spacing w:after="0"/>
              <w:rPr>
                <w:sz w:val="20"/>
                <w:szCs w:val="20"/>
                <w:color w:val="auto"/>
              </w:rPr>
            </w:pPr>
            <w:r>
              <w:rPr>
                <w:rFonts w:ascii="Arial" w:cs="Arial" w:eastAsia="Arial" w:hAnsi="Arial"/>
                <w:sz w:val="13"/>
                <w:szCs w:val="13"/>
                <w:b w:val="1"/>
                <w:bCs w:val="1"/>
                <w:color w:val="auto"/>
                <w:w w:val="96"/>
              </w:rPr>
              <w:t>2011</w:t>
            </w: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0"/>
              <w:spacing w:after="0"/>
              <w:rPr>
                <w:sz w:val="20"/>
                <w:szCs w:val="20"/>
                <w:color w:val="auto"/>
              </w:rPr>
            </w:pPr>
            <w:r>
              <w:rPr>
                <w:rFonts w:ascii="Arial" w:cs="Arial" w:eastAsia="Arial" w:hAnsi="Arial"/>
                <w:sz w:val="13"/>
                <w:szCs w:val="13"/>
                <w:b w:val="1"/>
                <w:bCs w:val="1"/>
                <w:color w:val="auto"/>
                <w:w w:val="96"/>
              </w:rPr>
              <w:t>2010</w:t>
            </w:r>
          </w:p>
        </w:tc>
        <w:tc>
          <w:tcPr>
            <w:tcW w:w="200" w:type="dxa"/>
            <w:vAlign w:val="bottom"/>
          </w:tcPr>
          <w:p>
            <w:pPr>
              <w:spacing w:after="0"/>
              <w:rPr>
                <w:sz w:val="13"/>
                <w:szCs w:val="13"/>
                <w:color w:val="auto"/>
              </w:rPr>
            </w:pPr>
          </w:p>
        </w:tc>
      </w:tr>
      <w:tr>
        <w:trPr>
          <w:trHeight w:val="124"/>
        </w:trPr>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89"/>
              </w:rPr>
              <w:t>Weighted average</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89"/>
              </w:rPr>
              <w:t>Weighted average</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89"/>
              </w:rPr>
              <w:t>Weighted average</w:t>
            </w:r>
          </w:p>
        </w:tc>
        <w:tc>
          <w:tcPr>
            <w:tcW w:w="200" w:type="dxa"/>
            <w:vAlign w:val="bottom"/>
          </w:tcPr>
          <w:p>
            <w:pPr>
              <w:spacing w:after="0"/>
              <w:rPr>
                <w:sz w:val="10"/>
                <w:szCs w:val="10"/>
                <w:color w:val="auto"/>
              </w:rPr>
            </w:pPr>
          </w:p>
        </w:tc>
      </w:tr>
      <w:tr>
        <w:trPr>
          <w:trHeight w:val="157"/>
        </w:trPr>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4"/>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4"/>
              </w:rPr>
              <w:t>fair value</w:t>
            </w:r>
          </w:p>
        </w:tc>
        <w:tc>
          <w:tcPr>
            <w:tcW w:w="180" w:type="dxa"/>
            <w:vAlign w:val="bottom"/>
          </w:tcPr>
          <w:p>
            <w:pPr>
              <w:spacing w:after="0"/>
              <w:rPr>
                <w:sz w:val="13"/>
                <w:szCs w:val="13"/>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4"/>
              </w:rPr>
              <w:t>fair value</w:t>
            </w:r>
          </w:p>
        </w:tc>
        <w:tc>
          <w:tcPr>
            <w:tcW w:w="200" w:type="dxa"/>
            <w:vAlign w:val="bottom"/>
          </w:tcPr>
          <w:p>
            <w:pPr>
              <w:spacing w:after="0"/>
              <w:rPr>
                <w:sz w:val="13"/>
                <w:szCs w:val="13"/>
                <w:color w:val="auto"/>
              </w:rPr>
            </w:pPr>
          </w:p>
        </w:tc>
      </w:tr>
      <w:tr>
        <w:trPr>
          <w:trHeight w:val="137"/>
        </w:trPr>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jc w:val="right"/>
              <w:ind w:right="470"/>
              <w:spacing w:after="0" w:line="138" w:lineRule="exact"/>
              <w:rPr>
                <w:sz w:val="20"/>
                <w:szCs w:val="20"/>
                <w:color w:val="auto"/>
              </w:rPr>
            </w:pPr>
            <w:r>
              <w:rPr>
                <w:rFonts w:ascii="Arial" w:cs="Arial" w:eastAsia="Arial" w:hAnsi="Arial"/>
                <w:sz w:val="13"/>
                <w:szCs w:val="13"/>
                <w:b w:val="1"/>
                <w:bCs w:val="1"/>
                <w:color w:val="auto"/>
                <w:w w:val="79"/>
              </w:rPr>
              <w:t>(shares 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0"/>
        </w:trPr>
        <w:tc>
          <w:tcPr>
            <w:tcW w:w="640" w:type="dxa"/>
            <w:vAlign w:val="bottom"/>
            <w:shd w:val="clear" w:color="auto" w:fill="CCEEFF"/>
          </w:tcPr>
          <w:p>
            <w:pPr>
              <w:jc w:val="right"/>
              <w:ind w:right="285"/>
              <w:spacing w:after="0"/>
              <w:rPr>
                <w:sz w:val="20"/>
                <w:szCs w:val="20"/>
                <w:color w:val="auto"/>
              </w:rPr>
            </w:pPr>
            <w:r>
              <w:rPr>
                <w:rFonts w:ascii="Arial" w:cs="Arial" w:eastAsia="Arial" w:hAnsi="Arial"/>
                <w:sz w:val="17"/>
                <w:szCs w:val="17"/>
                <w:color w:val="auto"/>
              </w:rPr>
              <w:t>88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4.9260</w:t>
            </w:r>
          </w:p>
        </w:tc>
        <w:tc>
          <w:tcPr>
            <w:tcW w:w="8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124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0.393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0.4320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w:t>
      </w:r>
    </w:p>
    <w:p>
      <w:pPr>
        <w:spacing w:after="0" w:line="228" w:lineRule="exact"/>
        <w:rPr>
          <w:sz w:val="20"/>
          <w:szCs w:val="20"/>
          <w:color w:val="auto"/>
        </w:rPr>
      </w:pPr>
    </w:p>
    <w:p>
      <w:pPr>
        <w:ind w:left="340" w:hanging="335"/>
        <w:spacing w:after="0"/>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Common Stock</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Company has authorized the issuance of up to 300,000,000 shares of common stock, all of which have been designated voting common stock, under its Tenth Amended and Restated Articles of Incorporation (the "Restated Articles").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28" w:lineRule="exact"/>
        <w:rPr>
          <w:sz w:val="20"/>
          <w:szCs w:val="20"/>
          <w:color w:val="auto"/>
        </w:rPr>
      </w:pPr>
    </w:p>
    <w:p>
      <w:pPr>
        <w:ind w:left="340" w:hanging="335"/>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Convertible Preferred Stock</w:t>
      </w:r>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Company has authorized the issuance of up to 172,200,000 shares of preferred stock under the Company's Restated Articles. The number of authorized, and issued shares and the conversion rate from a preferred share into a common share by series is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860" w:type="dxa"/>
            <w:vAlign w:val="bottom"/>
          </w:tcPr>
          <w:p>
            <w:pPr>
              <w:jc w:val="right"/>
              <w:ind w:right="41"/>
              <w:spacing w:after="0"/>
              <w:rPr>
                <w:sz w:val="20"/>
                <w:szCs w:val="20"/>
                <w:color w:val="auto"/>
              </w:rPr>
            </w:pPr>
            <w:r>
              <w:rPr>
                <w:rFonts w:ascii="Arial" w:cs="Arial" w:eastAsia="Arial" w:hAnsi="Arial"/>
                <w:sz w:val="13"/>
                <w:szCs w:val="13"/>
                <w:b w:val="1"/>
                <w:bCs w:val="1"/>
                <w:color w:val="auto"/>
              </w:rPr>
              <w:t>Authorized</w:t>
            </w:r>
          </w:p>
        </w:tc>
        <w:tc>
          <w:tcPr>
            <w:tcW w:w="160" w:type="dxa"/>
            <w:vAlign w:val="bottom"/>
          </w:tcPr>
          <w:p>
            <w:pPr>
              <w:spacing w:after="0"/>
              <w:rPr>
                <w:sz w:val="13"/>
                <w:szCs w:val="13"/>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b w:val="1"/>
                <w:bCs w:val="1"/>
                <w:color w:val="auto"/>
              </w:rPr>
              <w:t>Issued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9"/>
              <w:spacing w:after="0"/>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Conversion</w:t>
            </w:r>
          </w:p>
        </w:tc>
      </w:tr>
      <w:tr>
        <w:trPr>
          <w:trHeight w:val="157"/>
        </w:trPr>
        <w:tc>
          <w:tcPr>
            <w:tcW w:w="4260" w:type="dxa"/>
            <w:vAlign w:val="bottom"/>
          </w:tcPr>
          <w:p>
            <w:pPr>
              <w:spacing w:after="0"/>
              <w:rPr>
                <w:sz w:val="13"/>
                <w:szCs w:val="13"/>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3"/>
                <w:szCs w:val="13"/>
                <w:color w:val="auto"/>
              </w:rPr>
            </w:pPr>
          </w:p>
        </w:tc>
      </w:tr>
      <w:tr>
        <w:trPr>
          <w:trHeight w:val="137"/>
        </w:trPr>
        <w:tc>
          <w:tcPr>
            <w:tcW w:w="4260" w:type="dxa"/>
            <w:vAlign w:val="bottom"/>
          </w:tcPr>
          <w:p>
            <w:pPr>
              <w:spacing w:after="0"/>
              <w:rPr>
                <w:sz w:val="11"/>
                <w:szCs w:val="11"/>
                <w:color w:val="auto"/>
              </w:rPr>
            </w:pPr>
          </w:p>
        </w:tc>
        <w:tc>
          <w:tcPr>
            <w:tcW w:w="860" w:type="dxa"/>
            <w:vAlign w:val="bottom"/>
          </w:tcPr>
          <w:p>
            <w:pPr>
              <w:jc w:val="right"/>
              <w:ind w:right="1"/>
              <w:spacing w:after="0" w:line="138" w:lineRule="exact"/>
              <w:rPr>
                <w:sz w:val="20"/>
                <w:szCs w:val="20"/>
                <w:color w:val="auto"/>
              </w:rPr>
            </w:pPr>
            <w:r>
              <w:rPr>
                <w:rFonts w:ascii="Arial" w:cs="Arial" w:eastAsia="Arial" w:hAnsi="Arial"/>
                <w:sz w:val="13"/>
                <w:szCs w:val="13"/>
                <w:b w:val="1"/>
                <w:bCs w:val="1"/>
                <w:color w:val="auto"/>
              </w:rPr>
              <w:t>(in</w:t>
            </w:r>
          </w:p>
        </w:tc>
        <w:tc>
          <w:tcPr>
            <w:tcW w:w="2860" w:type="dxa"/>
            <w:vAlign w:val="bottom"/>
            <w:gridSpan w:val="8"/>
          </w:tcPr>
          <w:p>
            <w:pPr>
              <w:spacing w:after="0" w:line="138" w:lineRule="exact"/>
              <w:rPr>
                <w:sz w:val="20"/>
                <w:szCs w:val="20"/>
                <w:color w:val="auto"/>
              </w:rPr>
            </w:pPr>
            <w:r>
              <w:rPr>
                <w:rFonts w:ascii="Arial" w:cs="Arial" w:eastAsia="Arial" w:hAnsi="Arial"/>
                <w:sz w:val="13"/>
                <w:szCs w:val="13"/>
                <w:b w:val="1"/>
                <w:bCs w:val="1"/>
                <w:color w:val="auto"/>
              </w:rPr>
              <w:t>thousands, except for conversion rate)</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Series A (Redeemable)</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1:3.1731</w:t>
            </w:r>
          </w:p>
        </w:tc>
        <w:tc>
          <w:tcPr>
            <w:tcW w:w="160" w:type="dxa"/>
            <w:vAlign w:val="bottom"/>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Series C</w:t>
            </w:r>
          </w:p>
        </w:tc>
        <w:tc>
          <w:tcPr>
            <w:tcW w:w="860" w:type="dxa"/>
            <w:vAlign w:val="bottom"/>
          </w:tcPr>
          <w:p>
            <w:pPr>
              <w:jc w:val="right"/>
              <w:spacing w:after="0"/>
              <w:rPr>
                <w:sz w:val="20"/>
                <w:szCs w:val="20"/>
                <w:color w:val="auto"/>
              </w:rPr>
            </w:pPr>
            <w:r>
              <w:rPr>
                <w:rFonts w:ascii="Arial" w:cs="Arial" w:eastAsia="Arial" w:hAnsi="Arial"/>
                <w:sz w:val="17"/>
                <w:szCs w:val="17"/>
                <w:color w:val="auto"/>
              </w:rPr>
              <w:t>17,500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21,802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1:2.3107</w:t>
            </w:r>
          </w:p>
        </w:tc>
        <w:tc>
          <w:tcPr>
            <w:tcW w:w="1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Series D</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1:2.5360</w:t>
            </w:r>
          </w:p>
        </w:tc>
        <w:tc>
          <w:tcPr>
            <w:tcW w:w="160" w:type="dxa"/>
            <w:vAlign w:val="bottom"/>
            <w:shd w:val="clear" w:color="auto" w:fill="CCEEFF"/>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Series E</w:t>
            </w:r>
          </w:p>
        </w:tc>
        <w:tc>
          <w:tcPr>
            <w:tcW w:w="860" w:type="dxa"/>
            <w:vAlign w:val="bottom"/>
          </w:tcPr>
          <w:p>
            <w:pPr>
              <w:jc w:val="right"/>
              <w:spacing w:after="0"/>
              <w:rPr>
                <w:sz w:val="20"/>
                <w:szCs w:val="20"/>
                <w:color w:val="auto"/>
              </w:rPr>
            </w:pPr>
            <w:r>
              <w:rPr>
                <w:rFonts w:ascii="Arial" w:cs="Arial" w:eastAsia="Arial" w:hAnsi="Arial"/>
                <w:sz w:val="17"/>
                <w:szCs w:val="17"/>
                <w:color w:val="auto"/>
              </w:rPr>
              <w:t>11,000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28,055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1:3.6186</w:t>
            </w:r>
          </w:p>
        </w:tc>
        <w:tc>
          <w:tcPr>
            <w:tcW w:w="16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Series F</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1:1.2000</w:t>
            </w:r>
          </w:p>
        </w:tc>
        <w:tc>
          <w:tcPr>
            <w:tcW w:w="1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7"/>
                <w:szCs w:val="17"/>
                <w:color w:val="auto"/>
              </w:rPr>
              <w:t>Series G</w:t>
            </w:r>
          </w:p>
        </w:tc>
        <w:tc>
          <w:tcPr>
            <w:tcW w:w="860" w:type="dxa"/>
            <w:vAlign w:val="bottom"/>
          </w:tcPr>
          <w:p>
            <w:pPr>
              <w:jc w:val="right"/>
              <w:spacing w:after="0"/>
              <w:rPr>
                <w:sz w:val="20"/>
                <w:szCs w:val="20"/>
                <w:color w:val="auto"/>
              </w:rPr>
            </w:pPr>
            <w:r>
              <w:rPr>
                <w:rFonts w:ascii="Arial" w:cs="Arial" w:eastAsia="Arial" w:hAnsi="Arial"/>
                <w:sz w:val="17"/>
                <w:szCs w:val="17"/>
                <w:color w:val="auto"/>
              </w:rPr>
              <w:t>45,000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14,943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105,367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
        </w:trPr>
        <w:tc>
          <w:tcPr>
            <w:tcW w:w="4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color w:val="auto"/>
        </w:rPr>
        <w:t>The Company's Series A Preferred Stock may be redeemed at any time at the option of the Company's board by paying Series A shareholders a redemption price per share equal to the Series A purchase price of $45.00 plus the quotient of (i) the retained earnings of the Company as of the last day of the month immediately preceding notice of redemption divided by (ii) the number of Series A Preferred Stock outstanding on the date such notice is mailed.</w:t>
      </w:r>
    </w:p>
    <w:p>
      <w:pPr>
        <w:spacing w:after="0" w:line="163"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Except for Series A preferred shareholders, holders of preferred stock vote equally with shares of common stock on an as-converted basis on actions required by stockholders, other than as required by the Texas Business Organizations Code ("TBOC"). Holders of Series A Preferred do not have the right to vote on any action to be taken by the shareholders of the Company, except (a) to the extent a vote is required by the TBOC; or (b) with respect to certain other matters specified in the Restated Articles. In addition, each of the Series C, Series D, Series E, Series F and Series G have per-class voting rights similar to the class-voting rights for Series A Preferred Stock.</w:t>
      </w:r>
    </w:p>
    <w:p>
      <w:pPr>
        <w:spacing w:after="0" w:line="187" w:lineRule="exact"/>
        <w:rPr>
          <w:sz w:val="20"/>
          <w:szCs w:val="20"/>
          <w:color w:val="auto"/>
        </w:rPr>
      </w:pPr>
    </w:p>
    <w:p>
      <w:pPr>
        <w:ind w:right="260" w:firstLine="338"/>
        <w:spacing w:after="0" w:line="315" w:lineRule="auto"/>
        <w:rPr>
          <w:sz w:val="20"/>
          <w:szCs w:val="20"/>
          <w:color w:val="auto"/>
        </w:rPr>
      </w:pPr>
      <w:r>
        <w:rPr>
          <w:rFonts w:ascii="Arial" w:cs="Arial" w:eastAsia="Arial" w:hAnsi="Arial"/>
          <w:sz w:val="16"/>
          <w:szCs w:val="16"/>
          <w:color w:val="auto"/>
        </w:rPr>
        <w:t>The Company's preferred shareholders are not entitled to receive dividends unless declared by the board of directors of the Company. Each share of preferred stock is convertible into common stock as shown in the conversion rate table above upon an initial public offering of the Company's common stock.</w:t>
      </w:r>
    </w:p>
    <w:p>
      <w:pPr>
        <w:spacing w:after="0" w:line="146" w:lineRule="exact"/>
        <w:rPr>
          <w:sz w:val="20"/>
          <w:szCs w:val="20"/>
          <w:color w:val="auto"/>
        </w:rPr>
      </w:pPr>
    </w:p>
    <w:p>
      <w:pPr>
        <w:ind w:right="260" w:firstLine="341"/>
        <w:spacing w:after="0" w:line="322" w:lineRule="auto"/>
        <w:rPr>
          <w:sz w:val="20"/>
          <w:szCs w:val="20"/>
          <w:color w:val="auto"/>
        </w:rPr>
      </w:pPr>
      <w:r>
        <w:rPr>
          <w:rFonts w:ascii="Arial" w:cs="Arial" w:eastAsia="Arial" w:hAnsi="Arial"/>
          <w:sz w:val="15"/>
          <w:szCs w:val="15"/>
          <w:color w:val="auto"/>
        </w:rPr>
        <w:t>Each class of preferred stock provides to shareholders certain liquidation preferences upon any liquidation, dissolution or winding up of the Corporation. The Series G Preferred is senior to all other series of preferred stock, and the Series G liquidation preference is equal to the Series G purchase price plus a Series G preferential return equal to interest at prime rate plus one percent on the Series G purchase price, not to exceed the Series G purchase price, for a total</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28"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liquidation payment of up to two times the Series G purchase price. The Series F Preferred is senior to all other series of preferred stock other than Series G, and the Series F liquidation preference is equal to the Series F purchase price plus a Series F preferential return equal to interest at prime rate plus one percent on the Series F purchase price, not to exceed the Series F purchase price, for a total liquidation payment of up to two times the Series F purchase price. The Series E Preferred is senior to all other series of preferred stock other than Series F and G, and the Series E liquidation preference is equal to the Series E purchase price plus a Series E preferential return equal to interest at prime rate plus one percent on the Series E purchase price, not to exceed the Series E purchase price, for a total liquidation payment of up to two times the Series E purchase price. The Series D Preferred are senior to all other series of preferred stock other than Series E, F and G, and the Series D other series of preferred stock other than Series E, F and G, and the Series D liquidation preference is equal to the Series D purchase price plus a Series D preferential return equal to interest at prime rate plus one percent on the Series D purchase price, not to exceed the Series D purchase price, for a total liquidation payment of up to two times the Series D purchase price. The Series A and C Preferred are junior to Series D, E, F and G. Series C holders are entitled to a first payment equal to the Series C purchase price. Then, the Series A liquidation preference is equal to the Series A purchase price plus a Series A preferential return equal to interest at prime rate plus one percent on the Series A purchase price, not to exceed the Series A purchase price, for a total liquidation payment of up to two times the Series A purchase price. The Series C Preferred are then entitled to a second payment junior to the Series A liquidation payment, which Series C Junior liquidation payment is equal to that amount paid or distributed to holders of Common Stock as if such share of Series C Preferred Stock were converted; provided that the amount distributed per share of Series C Preferred Stock will not exceed one half of the Series C purchase price.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liquidation value on an aggregated basis as of December 31, 2012 was $127.8 million.</w:t>
      </w:r>
    </w:p>
    <w:p>
      <w:pPr>
        <w:spacing w:after="0" w:line="224" w:lineRule="exact"/>
        <w:rPr>
          <w:sz w:val="20"/>
          <w:szCs w:val="20"/>
          <w:color w:val="auto"/>
        </w:rPr>
      </w:pPr>
    </w:p>
    <w:p>
      <w:pPr>
        <w:ind w:left="340" w:hanging="335"/>
        <w:spacing w:after="0"/>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Warrants</w:t>
      </w:r>
    </w:p>
    <w:p>
      <w:pPr>
        <w:spacing w:after="0" w:line="22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As of December 31, 2012, the Company had the following warrants outstanding related to certain financing and consulting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76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Security</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78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upon</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3"/>
          </w:tcPr>
          <w:p>
            <w:pPr>
              <w:jc w:val="center"/>
              <w:ind w:right="1780"/>
              <w:spacing w:after="0" w:line="144" w:lineRule="exact"/>
              <w:rPr>
                <w:sz w:val="20"/>
                <w:szCs w:val="20"/>
                <w:color w:val="auto"/>
              </w:rPr>
            </w:pPr>
            <w:r>
              <w:rPr>
                <w:rFonts w:ascii="Arial" w:cs="Arial" w:eastAsia="Arial" w:hAnsi="Arial"/>
                <w:sz w:val="13"/>
                <w:szCs w:val="13"/>
                <w:b w:val="1"/>
                <w:bCs w:val="1"/>
                <w:color w:val="auto"/>
                <w:w w:val="84"/>
              </w:rPr>
              <w:t>exercise</w:t>
            </w:r>
          </w:p>
        </w:tc>
        <w:tc>
          <w:tcPr>
            <w:tcW w:w="0" w:type="dxa"/>
            <w:vAlign w:val="bottom"/>
          </w:tcPr>
          <w:p>
            <w:pPr>
              <w:spacing w:after="0"/>
              <w:rPr>
                <w:sz w:val="1"/>
                <w:szCs w:val="1"/>
                <w:color w:val="auto"/>
              </w:rPr>
            </w:pPr>
          </w:p>
        </w:tc>
      </w:tr>
      <w:tr>
        <w:trPr>
          <w:trHeight w:val="157"/>
        </w:trPr>
        <w:tc>
          <w:tcPr>
            <w:tcW w:w="5040" w:type="dxa"/>
            <w:vAlign w:val="bottom"/>
            <w:gridSpan w:val="3"/>
          </w:tcPr>
          <w:p>
            <w:pPr>
              <w:ind w:left="1380"/>
              <w:spacing w:after="0"/>
              <w:rPr>
                <w:sz w:val="20"/>
                <w:szCs w:val="20"/>
                <w:color w:val="auto"/>
              </w:rPr>
            </w:pPr>
            <w:r>
              <w:rPr>
                <w:rFonts w:ascii="Arial" w:cs="Arial" w:eastAsia="Arial" w:hAnsi="Arial"/>
                <w:sz w:val="13"/>
                <w:szCs w:val="13"/>
                <w:b w:val="1"/>
                <w:bCs w:val="1"/>
                <w:color w:val="auto"/>
              </w:rPr>
              <w:t>Issue 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16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960" w:type="dxa"/>
            <w:vAlign w:val="bottom"/>
          </w:tcPr>
          <w:p>
            <w:pPr>
              <w:jc w:val="right"/>
              <w:ind w:right="465"/>
              <w:spacing w:after="0"/>
              <w:rPr>
                <w:sz w:val="20"/>
                <w:szCs w:val="20"/>
                <w:color w:val="auto"/>
              </w:rPr>
            </w:pPr>
            <w:r>
              <w:rPr>
                <w:rFonts w:ascii="Arial" w:cs="Arial" w:eastAsia="Arial" w:hAnsi="Arial"/>
                <w:sz w:val="13"/>
                <w:szCs w:val="13"/>
                <w:b w:val="1"/>
                <w:bCs w:val="1"/>
                <w:color w:val="auto"/>
              </w:rPr>
              <w:t>Expiration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3"/>
          </w:tcPr>
          <w:p>
            <w:pPr>
              <w:jc w:val="center"/>
              <w:ind w:right="1780"/>
              <w:spacing w:after="0"/>
              <w:rPr>
                <w:sz w:val="20"/>
                <w:szCs w:val="20"/>
                <w:color w:val="auto"/>
              </w:rPr>
            </w:pPr>
            <w:r>
              <w:rPr>
                <w:rFonts w:ascii="Arial" w:cs="Arial" w:eastAsia="Arial" w:hAnsi="Arial"/>
                <w:sz w:val="13"/>
                <w:szCs w:val="13"/>
                <w:b w:val="1"/>
                <w:bCs w:val="1"/>
                <w:color w:val="auto"/>
                <w:w w:val="89"/>
              </w:rPr>
              <w:t>price</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Borders>
              <w:top w:val="single" w:sz="8" w:color="auto"/>
            </w:tcBorders>
          </w:tcPr>
          <w:p>
            <w:pPr>
              <w:jc w:val="right"/>
              <w:ind w:right="725"/>
              <w:spacing w:after="0" w:line="138" w:lineRule="exact"/>
              <w:rPr>
                <w:sz w:val="20"/>
                <w:szCs w:val="20"/>
                <w:color w:val="auto"/>
              </w:rPr>
            </w:pPr>
            <w:r>
              <w:rPr>
                <w:rFonts w:ascii="Arial" w:cs="Arial" w:eastAsia="Arial" w:hAnsi="Arial"/>
                <w:sz w:val="13"/>
                <w:szCs w:val="13"/>
                <w:b w:val="1"/>
                <w:bCs w:val="1"/>
                <w:color w:val="auto"/>
                <w:w w:val="84"/>
              </w:rPr>
              <w:t>(shares in 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5/17/2011</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Common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6/30/2014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6/30/2009 to 5/3/2010</w:t>
            </w: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Preferred F</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6/30/2014 to 4/23/2020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8.7009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12/31/2011 to 11/2/2012</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Preferred 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5/3/2013 to 4/23/2020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14.0778</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vMerge w:val="restart"/>
          </w:tcPr>
          <w:p>
            <w:pPr>
              <w:ind w:left="520"/>
              <w:spacing w:after="0"/>
              <w:rPr>
                <w:sz w:val="20"/>
                <w:szCs w:val="20"/>
                <w:color w:val="auto"/>
              </w:rPr>
            </w:pPr>
            <w:r>
              <w:rPr>
                <w:rFonts w:ascii="Arial" w:cs="Arial" w:eastAsia="Arial" w:hAnsi="Arial"/>
                <w:sz w:val="17"/>
                <w:szCs w:val="17"/>
                <w:color w:val="auto"/>
              </w:rPr>
              <w:t>F-32</w:t>
            </w: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six month period ended June 30, 2013, 26,400 of the Preferred F, 2,778 of the Preferred G and 10,000 of the Common Warrants were exercised.</w:t>
      </w:r>
    </w:p>
    <w:p>
      <w:pPr>
        <w:spacing w:after="0" w:line="236" w:lineRule="exact"/>
        <w:rPr>
          <w:sz w:val="20"/>
          <w:szCs w:val="20"/>
          <w:color w:val="auto"/>
        </w:rPr>
      </w:pPr>
    </w:p>
    <w:p>
      <w:pPr>
        <w:jc w:val="both"/>
        <w:ind w:right="240" w:firstLine="338"/>
        <w:spacing w:after="0" w:line="352" w:lineRule="auto"/>
        <w:rPr>
          <w:sz w:val="20"/>
          <w:szCs w:val="20"/>
          <w:color w:val="auto"/>
        </w:rPr>
      </w:pPr>
      <w:r>
        <w:rPr>
          <w:rFonts w:ascii="Arial" w:cs="Arial" w:eastAsia="Arial" w:hAnsi="Arial"/>
          <w:sz w:val="15"/>
          <w:szCs w:val="15"/>
          <w:color w:val="auto"/>
        </w:rPr>
        <w:t>The Company estimated the fair value of these warrants at the date of the grant using the Black-Scholes option-pricing model and records the expense over the vesting period of the warrants. The Company recorded expense of $21,000 in 2012 related to the issuance of these warrants based upon the following assumptions:</w:t>
      </w:r>
    </w:p>
    <w:p>
      <w:pPr>
        <w:spacing w:after="0" w:line="1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Expected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rPr>
              <w:t>Expected</w:t>
            </w:r>
          </w:p>
        </w:tc>
        <w:tc>
          <w:tcPr>
            <w:tcW w:w="1280" w:type="dxa"/>
            <w:vAlign w:val="bottom"/>
          </w:tcPr>
          <w:p>
            <w:pPr>
              <w:jc w:val="right"/>
              <w:ind w:right="301"/>
              <w:spacing w:after="0" w:line="144" w:lineRule="exact"/>
              <w:rPr>
                <w:sz w:val="20"/>
                <w:szCs w:val="20"/>
                <w:color w:val="auto"/>
              </w:rPr>
            </w:pPr>
            <w:r>
              <w:rPr>
                <w:rFonts w:ascii="Arial" w:cs="Arial" w:eastAsia="Arial" w:hAnsi="Arial"/>
                <w:sz w:val="13"/>
                <w:szCs w:val="13"/>
                <w:b w:val="1"/>
                <w:bCs w:val="1"/>
                <w:color w:val="auto"/>
              </w:rPr>
              <w:t>Risk free</w:t>
            </w:r>
          </w:p>
        </w:tc>
        <w:tc>
          <w:tcPr>
            <w:tcW w:w="16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term</w:t>
            </w:r>
          </w:p>
        </w:tc>
        <w:tc>
          <w:tcPr>
            <w:tcW w:w="0" w:type="dxa"/>
            <w:vAlign w:val="bottom"/>
          </w:tcPr>
          <w:p>
            <w:pPr>
              <w:spacing w:after="0"/>
              <w:rPr>
                <w:sz w:val="1"/>
                <w:szCs w:val="1"/>
                <w:color w:val="auto"/>
              </w:rPr>
            </w:pPr>
          </w:p>
        </w:tc>
      </w:tr>
      <w:tr>
        <w:trPr>
          <w:trHeight w:val="157"/>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Issue date</w:t>
            </w:r>
          </w:p>
        </w:tc>
        <w:tc>
          <w:tcPr>
            <w:tcW w:w="44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volatility</w:t>
            </w:r>
          </w:p>
        </w:tc>
        <w:tc>
          <w:tcPr>
            <w:tcW w:w="1280" w:type="dxa"/>
            <w:vAlign w:val="bottom"/>
          </w:tcPr>
          <w:p>
            <w:pPr>
              <w:jc w:val="right"/>
              <w:ind w:right="221"/>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2010</w:t>
            </w:r>
          </w:p>
        </w:tc>
        <w:tc>
          <w:tcPr>
            <w:tcW w:w="5260" w:type="dxa"/>
            <w:vAlign w:val="bottom"/>
            <w:gridSpan w:val="3"/>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tcPr>
          <w:p>
            <w:pPr>
              <w:jc w:val="right"/>
              <w:spacing w:after="0"/>
              <w:rPr>
                <w:sz w:val="20"/>
                <w:szCs w:val="20"/>
                <w:color w:val="auto"/>
              </w:rPr>
            </w:pPr>
            <w:r>
              <w:rPr>
                <w:rFonts w:ascii="Arial" w:cs="Arial" w:eastAsia="Arial" w:hAnsi="Arial"/>
                <w:sz w:val="17"/>
                <w:szCs w:val="17"/>
                <w:color w:val="auto"/>
              </w:rPr>
              <w:t>3.66%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 to 3.12%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to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2012</w:t>
            </w:r>
          </w:p>
        </w:tc>
        <w:tc>
          <w:tcPr>
            <w:tcW w:w="5260" w:type="dxa"/>
            <w:vAlign w:val="bottom"/>
            <w:gridSpan w:val="3"/>
          </w:tcPr>
          <w:p>
            <w:pPr>
              <w:jc w:val="right"/>
              <w:ind w:right="20"/>
              <w:spacing w:after="0"/>
              <w:rPr>
                <w:sz w:val="20"/>
                <w:szCs w:val="20"/>
                <w:color w:val="auto"/>
              </w:rPr>
            </w:pPr>
            <w:r>
              <w:rPr>
                <w:rFonts w:ascii="Arial" w:cs="Arial" w:eastAsia="Arial" w:hAnsi="Arial"/>
                <w:sz w:val="17"/>
                <w:szCs w:val="17"/>
                <w:color w:val="auto"/>
              </w:rPr>
              <w:t>70%</w:t>
            </w:r>
          </w:p>
        </w:tc>
        <w:tc>
          <w:tcPr>
            <w:tcW w:w="1280" w:type="dxa"/>
            <w:vAlign w:val="bottom"/>
          </w:tcPr>
          <w:p>
            <w:pPr>
              <w:jc w:val="right"/>
              <w:spacing w:after="0"/>
              <w:rPr>
                <w:sz w:val="20"/>
                <w:szCs w:val="20"/>
                <w:color w:val="auto"/>
              </w:rPr>
            </w:pPr>
            <w:r>
              <w:rPr>
                <w:rFonts w:ascii="Arial" w:cs="Arial" w:eastAsia="Arial" w:hAnsi="Arial"/>
                <w:sz w:val="17"/>
                <w:szCs w:val="17"/>
                <w:color w:val="auto"/>
              </w:rPr>
              <w:t>0.73%</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60" w:firstLine="332"/>
        <w:spacing w:after="0" w:line="282" w:lineRule="auto"/>
        <w:rPr>
          <w:sz w:val="20"/>
          <w:szCs w:val="20"/>
          <w:color w:val="auto"/>
        </w:rPr>
      </w:pPr>
      <w:r>
        <w:rPr>
          <w:rFonts w:ascii="Arial" w:cs="Arial" w:eastAsia="Arial" w:hAnsi="Arial"/>
          <w:sz w:val="17"/>
          <w:szCs w:val="17"/>
          <w:color w:val="auto"/>
        </w:rPr>
        <w:t>As of December 31, 2012, the market value of the warrants amounted to $94,000, of which $21,000 was recorded as interest expense in 2012, representing the expense for the periods 2009 through 2012. No warrants were exercised during 2010, 2011 and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June 30, 2013, the Company had outstanding warrants to purchase:</w:t>
      </w:r>
    </w:p>
    <w:p>
      <w:pPr>
        <w:spacing w:after="0" w:line="237" w:lineRule="exact"/>
        <w:rPr>
          <w:sz w:val="20"/>
          <w:szCs w:val="20"/>
          <w:color w:val="auto"/>
        </w:rPr>
      </w:pPr>
    </w:p>
    <w:p>
      <w:pPr>
        <w:ind w:left="1060" w:hanging="531"/>
        <w:spacing w:after="0" w:line="263"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24,800 shares of its Series F preferred stock with an exercise price of $7.50 per share. These warrants will automatically convert upon the closing of the offering, unless earlier exercised by the holder, into a number of common shares determined by dividing (i) the aggregate fair market value of the underlying shares less the aggregate cost of those shares (using the exercise price of $7.50) by (ii) the then fair market value of one share. The fair market value of the shares are determined by either the closing price of the shares if traded on an exchange or the Board of Directors of the Company, if not traded on an exchange.</w:t>
      </w:r>
    </w:p>
    <w:p>
      <w:pPr>
        <w:spacing w:after="0" w:line="213" w:lineRule="exact"/>
        <w:rPr>
          <w:rFonts w:ascii="Arial" w:cs="Arial" w:eastAsia="Arial" w:hAnsi="Arial"/>
          <w:sz w:val="17"/>
          <w:szCs w:val="17"/>
          <w:color w:val="auto"/>
        </w:rPr>
      </w:pPr>
    </w:p>
    <w:p>
      <w:pPr>
        <w:ind w:left="1060" w:right="260" w:hanging="531"/>
        <w:spacing w:after="0" w:line="270"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21,667 shares of its Series F preferred stock with a weighted average exercise price of $11.5386 per share. If these warrants have not been exercised prior to the closing of the offering, then, pursuant to their terms, the warrants shall automatically adjust to be exercisable for an aggregate of 26,000 shares of common stock at a weighted average exercise price of $9.6153 per share.</w:t>
      </w:r>
    </w:p>
    <w:p>
      <w:pPr>
        <w:spacing w:after="0" w:line="192" w:lineRule="exact"/>
        <w:rPr>
          <w:rFonts w:ascii="Arial" w:cs="Arial" w:eastAsia="Arial" w:hAnsi="Arial"/>
          <w:sz w:val="17"/>
          <w:szCs w:val="17"/>
          <w:color w:val="auto"/>
        </w:rPr>
      </w:pPr>
    </w:p>
    <w:p>
      <w:pPr>
        <w:ind w:left="1060" w:hanging="531"/>
        <w:spacing w:after="0" w:line="263"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3,304 shares of its Series G preferred stock with an exercise price of $18.00 per share. These warrants will automatically convert upon the closing of the offering, unless earlier exercised by the holder, into a number of common shares determined by dividing (i) the aggregate fair market value of the underlying shares less the aggregate cost of those shares (using the exercise price of $18.00) by (ii) the then fair market value of one share. The fair market value of the shares are determined by either the closing price of the shares if traded on an exchange or the Board of Directors of the Company, if not traded on an exchange.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N—STOCKHOLDERS' EQUITY (Continued)</w:t>
      </w:r>
    </w:p>
    <w:p>
      <w:pPr>
        <w:spacing w:after="0" w:line="241" w:lineRule="exact"/>
        <w:rPr>
          <w:sz w:val="20"/>
          <w:szCs w:val="20"/>
          <w:color w:val="auto"/>
        </w:rPr>
      </w:pPr>
    </w:p>
    <w:p>
      <w:pPr>
        <w:jc w:val="both"/>
        <w:ind w:left="1060" w:right="280" w:hanging="531"/>
        <w:spacing w:after="0" w:line="352" w:lineRule="auto"/>
        <w:tabs>
          <w:tab w:leader="none" w:pos="10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6,667 shares of its Series G preferred stock with an exercise price of $10.50 per share. If this warrant has not been exercised prior to closing of the offering, then pursuant to its terms, the warrant shall automatically adjust to be exercisable for 6,667 shares of common stock at $10.50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O—SEGMENT AND GEOGRAPHIC INFORMATION</w:t>
      </w:r>
    </w:p>
    <w:p>
      <w:pPr>
        <w:spacing w:after="0" w:line="228"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9" w:lineRule="exact"/>
        <w:rPr>
          <w:sz w:val="20"/>
          <w:szCs w:val="20"/>
          <w:color w:val="auto"/>
        </w:rPr>
      </w:pPr>
    </w:p>
    <w:p>
      <w:pPr>
        <w:ind w:right="560" w:firstLine="338"/>
        <w:spacing w:after="0" w:line="315"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product manufacturing plants. Long-lived assets in the tables below comprise only property, plant, equipment and intangible assets (in thousands):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For the year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For the Six Months ended</w:t>
            </w:r>
          </w:p>
        </w:tc>
      </w:tr>
      <w:tr>
        <w:trPr>
          <w:trHeight w:val="157"/>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5"/>
              <w:spacing w:after="0"/>
              <w:rPr>
                <w:sz w:val="20"/>
                <w:szCs w:val="20"/>
                <w:color w:val="auto"/>
              </w:rPr>
            </w:pPr>
            <w:r>
              <w:rPr>
                <w:rFonts w:ascii="Arial" w:cs="Arial" w:eastAsia="Arial" w:hAnsi="Arial"/>
                <w:sz w:val="13"/>
                <w:szCs w:val="13"/>
                <w:b w:val="1"/>
                <w:bCs w:val="1"/>
                <w:color w:val="auto"/>
                <w:w w:val="88"/>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6"/>
                <w:szCs w:val="16"/>
                <w:color w:val="auto"/>
              </w:rPr>
            </w:pPr>
          </w:p>
        </w:tc>
      </w:tr>
      <w:tr>
        <w:trPr>
          <w:trHeight w:val="215"/>
        </w:trPr>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left="365"/>
              <w:spacing w:after="0"/>
              <w:rPr>
                <w:sz w:val="20"/>
                <w:szCs w:val="20"/>
                <w:color w:val="auto"/>
              </w:rPr>
            </w:pPr>
            <w:r>
              <w:rPr>
                <w:rFonts w:ascii="Arial" w:cs="Arial" w:eastAsia="Arial" w:hAnsi="Arial"/>
                <w:sz w:val="13"/>
                <w:szCs w:val="13"/>
                <w:b w:val="1"/>
                <w:bCs w:val="1"/>
                <w:color w:val="auto"/>
                <w:w w:val="93"/>
              </w:rPr>
              <w:t>(unaudited)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18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12,192</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18,767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13,273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5,665</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6,152</w:t>
            </w:r>
          </w:p>
        </w:tc>
        <w:tc>
          <w:tcPr>
            <w:tcW w:w="160" w:type="dxa"/>
            <w:vAlign w:val="bottom"/>
          </w:tcPr>
          <w:p>
            <w:pPr>
              <w:spacing w:after="0"/>
              <w:rPr>
                <w:sz w:val="18"/>
                <w:szCs w:val="18"/>
                <w:color w:val="auto"/>
              </w:rPr>
            </w:pPr>
          </w:p>
        </w:tc>
      </w:tr>
      <w:tr>
        <w:trPr>
          <w:trHeight w:val="210"/>
        </w:trPr>
        <w:tc>
          <w:tcPr>
            <w:tcW w:w="2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Taiwan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7,015</w:t>
            </w: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7"/>
                <w:szCs w:val="17"/>
                <w:color w:val="auto"/>
              </w:rPr>
              <w:t>China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36,029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22,526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17,198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13,526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14,977</w:t>
            </w:r>
          </w:p>
        </w:tc>
        <w:tc>
          <w:tcPr>
            <w:tcW w:w="16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63,421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28,144</w:t>
            </w:r>
          </w:p>
        </w:tc>
        <w:tc>
          <w:tcPr>
            <w:tcW w:w="160" w:type="dxa"/>
            <w:vAlign w:val="bottom"/>
            <w:shd w:val="clear" w:color="auto" w:fill="CCEEFF"/>
          </w:tcPr>
          <w:p>
            <w:pPr>
              <w:spacing w:after="0"/>
              <w:rPr>
                <w:sz w:val="17"/>
                <w:szCs w:val="17"/>
                <w:color w:val="auto"/>
              </w:rPr>
            </w:pPr>
          </w:p>
        </w:tc>
      </w:tr>
      <w:tr>
        <w:trPr>
          <w:trHeight w:val="26"/>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5"/>
        </w:trPr>
        <w:tc>
          <w:tcPr>
            <w:tcW w:w="2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For the Six Months ended</w:t>
            </w:r>
          </w:p>
        </w:tc>
      </w:tr>
      <w:tr>
        <w:trPr>
          <w:trHeight w:val="157"/>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3"/>
                <w:szCs w:val="13"/>
                <w:b w:val="1"/>
                <w:bCs w:val="1"/>
                <w:color w:val="auto"/>
                <w:w w:val="89"/>
              </w:rPr>
              <w:t>For the year ended December 31,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365"/>
              <w:spacing w:after="0"/>
              <w:rPr>
                <w:sz w:val="20"/>
                <w:szCs w:val="20"/>
                <w:color w:val="auto"/>
              </w:rPr>
            </w:pPr>
            <w:r>
              <w:rPr>
                <w:rFonts w:ascii="Arial" w:cs="Arial" w:eastAsia="Arial" w:hAnsi="Arial"/>
                <w:sz w:val="13"/>
                <w:szCs w:val="13"/>
                <w:b w:val="1"/>
                <w:bCs w:val="1"/>
                <w:color w:val="auto"/>
                <w:w w:val="88"/>
              </w:rPr>
              <w:t>June 30,</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6"/>
                <w:szCs w:val="16"/>
                <w:color w:val="auto"/>
              </w:rPr>
            </w:pPr>
          </w:p>
        </w:tc>
      </w:tr>
      <w:tr>
        <w:trPr>
          <w:trHeight w:val="215"/>
        </w:trPr>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left="365"/>
              <w:spacing w:after="0"/>
              <w:rPr>
                <w:sz w:val="20"/>
                <w:szCs w:val="20"/>
                <w:color w:val="auto"/>
              </w:rPr>
            </w:pPr>
            <w:r>
              <w:rPr>
                <w:rFonts w:ascii="Arial" w:cs="Arial" w:eastAsia="Arial" w:hAnsi="Arial"/>
                <w:sz w:val="13"/>
                <w:szCs w:val="13"/>
                <w:b w:val="1"/>
                <w:bCs w:val="1"/>
                <w:color w:val="auto"/>
                <w:w w:val="93"/>
              </w:rPr>
              <w:t>(unaudited)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(in thousands)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Long-lived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18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8,966</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9,457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10,430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8,870</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9,091</w:t>
            </w:r>
          </w:p>
        </w:tc>
        <w:tc>
          <w:tcPr>
            <w:tcW w:w="160" w:type="dxa"/>
            <w:vAlign w:val="bottom"/>
          </w:tcPr>
          <w:p>
            <w:pPr>
              <w:spacing w:after="0"/>
              <w:rPr>
                <w:sz w:val="18"/>
                <w:szCs w:val="18"/>
                <w:color w:val="auto"/>
              </w:rPr>
            </w:pPr>
          </w:p>
        </w:tc>
      </w:tr>
      <w:tr>
        <w:trPr>
          <w:trHeight w:val="210"/>
        </w:trPr>
        <w:tc>
          <w:tcPr>
            <w:tcW w:w="2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Taiwan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160" w:type="dxa"/>
            <w:vAlign w:val="bottom"/>
            <w:shd w:val="clear" w:color="auto" w:fill="CCEEFF"/>
          </w:tcPr>
          <w:p>
            <w:pPr>
              <w:spacing w:after="0"/>
              <w:rPr>
                <w:sz w:val="18"/>
                <w:szCs w:val="18"/>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7"/>
                <w:szCs w:val="17"/>
                <w:color w:val="auto"/>
              </w:rPr>
              <w:t>China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13,595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14,052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13,784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14,922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13,494</w:t>
            </w:r>
          </w:p>
        </w:tc>
        <w:tc>
          <w:tcPr>
            <w:tcW w:w="160" w:type="dxa"/>
            <w:vAlign w:val="bottom"/>
          </w:tcPr>
          <w:p>
            <w:pPr>
              <w:spacing w:after="0"/>
              <w:rPr>
                <w:sz w:val="18"/>
                <w:szCs w:val="18"/>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25,858</w:t>
            </w:r>
          </w:p>
        </w:tc>
        <w:tc>
          <w:tcPr>
            <w:tcW w:w="160" w:type="dxa"/>
            <w:vAlign w:val="bottom"/>
            <w:shd w:val="clear" w:color="auto" w:fill="CCEEFF"/>
          </w:tcPr>
          <w:p>
            <w:pPr>
              <w:spacing w:after="0"/>
              <w:rPr>
                <w:sz w:val="17"/>
                <w:szCs w:val="17"/>
                <w:color w:val="auto"/>
              </w:rPr>
            </w:pPr>
          </w:p>
        </w:tc>
      </w:tr>
      <w:tr>
        <w:trPr>
          <w:trHeight w:val="26"/>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Company serves three primary markets, the CATV, internet data center and FTTH markets. Of the Company's total revenues in 2012, the Company earned $49.8 million, or 78.6%, from the CATV market, $5.3 million, or 8.3%, from the internet data center market, $3.7 million,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O—SEGMENT AND GEOGRAPHIC INFORMATION (Continued)</w:t>
      </w:r>
    </w:p>
    <w:p>
      <w:pPr>
        <w:spacing w:after="0" w:line="2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or 5.8%, from the FTTH market, and $4.6 million, or 7.3%, from other markets. Of the Company's total revenues in 2011, the Company earned $38.9 million, or 81.4%, from the CATV market, $14,000, or 0.0%, from the internet data center market, $3.3 million, or 6.9%, from the FTTH market, and $5.6 million, or 11.6%, from other markets. Of the Company's total revenues in 2010, the Company earned $33.0 million, or 81.4%, from the CATV market, no revenue from the internet data center market, $2.0 million, or 4.9%, from the FTTH market, and $5.6 million, or 13.7%, from other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P—MAJOR CUSTOMERS</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Company's five largest customers represented an aggregate of 47%, 56% and 60% of revenue for the years ended December 31, 2012, 2011 and 2010, respectively. The five largest receivable balances for customers represented an aggregate of 58%, 71% and 63% of total accounts receivable at December 31, 2012 and 2011 and June 30, 2013,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Q—EMPLOYEE BENEFIT PLANS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no contributions to the 401(k) plan for the years ended December 31, 2012, 2011 and 2010.</w:t>
      </w:r>
    </w:p>
    <w:p>
      <w:pPr>
        <w:spacing w:after="0" w:line="179" w:lineRule="exact"/>
        <w:rPr>
          <w:sz w:val="20"/>
          <w:szCs w:val="20"/>
          <w:color w:val="auto"/>
        </w:rPr>
      </w:pPr>
    </w:p>
    <w:p>
      <w:pPr>
        <w:jc w:val="both"/>
        <w:ind w:right="220" w:firstLine="341"/>
        <w:spacing w:after="0" w:line="283" w:lineRule="auto"/>
        <w:rPr>
          <w:sz w:val="20"/>
          <w:szCs w:val="20"/>
          <w:color w:val="auto"/>
        </w:rPr>
      </w:pPr>
      <w:r>
        <w:rPr>
          <w:rFonts w:ascii="Arial" w:cs="Arial" w:eastAsia="Arial" w:hAnsi="Arial"/>
          <w:sz w:val="16"/>
          <w:szCs w:val="16"/>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Employees of AOI—Taiwan participate in a pension program under the Taiwan Labor Pension Act. Pension expense for Global was $244,000, $206,000 and $188,000 in 2012, 2011 and 2010, respectively. Pension expense for AOI—Taiwan was $168,000, $123,000 and $92,000 in 2012, 2011 and 2010, respectively.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R—COMMITMENTS AND CONTINGENCIES</w:t>
      </w:r>
    </w:p>
    <w:p>
      <w:pPr>
        <w:spacing w:after="0" w:line="228" w:lineRule="exact"/>
        <w:rPr>
          <w:sz w:val="20"/>
          <w:szCs w:val="20"/>
          <w:color w:val="auto"/>
        </w:rPr>
      </w:pPr>
    </w:p>
    <w:p>
      <w:pPr>
        <w:ind w:left="340" w:hanging="335"/>
        <w:spacing w:after="0"/>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Commitments</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Company conducts part of its operations from leased facilities and also leases equipment. Rent expense was $0.5 million, $0.4 million and $0.6 million for the years ended December 31, 2012, 2011 and 2010, respectively.</w:t>
      </w:r>
    </w:p>
    <w:p>
      <w:pPr>
        <w:spacing w:after="0" w:line="170"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At December 31, 2012, the approximate minimum rental commitments under noncancellable leases in excess of one year that expire at varying dates through 2015 were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1700" w:type="dxa"/>
            <w:vAlign w:val="bottom"/>
          </w:tcPr>
          <w:p>
            <w:pPr>
              <w:spacing w:after="0"/>
              <w:rPr>
                <w:sz w:val="20"/>
                <w:szCs w:val="20"/>
                <w:color w:val="auto"/>
              </w:rPr>
            </w:pPr>
            <w:r>
              <w:rPr>
                <w:rFonts w:ascii="Arial" w:cs="Arial" w:eastAsia="Arial" w:hAnsi="Arial"/>
                <w:sz w:val="13"/>
                <w:szCs w:val="13"/>
                <w:b w:val="1"/>
                <w:bCs w:val="1"/>
                <w:color w:val="auto"/>
              </w:rPr>
              <w:t>Year ending December 31,</w:t>
            </w: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180"/>
              <w:spacing w:after="0"/>
              <w:rPr>
                <w:sz w:val="20"/>
                <w:szCs w:val="20"/>
                <w:color w:val="auto"/>
              </w:rPr>
            </w:pPr>
            <w:r>
              <w:rPr>
                <w:rFonts w:ascii="Arial" w:cs="Arial" w:eastAsia="Arial" w:hAnsi="Arial"/>
                <w:sz w:val="13"/>
                <w:szCs w:val="13"/>
                <w:b w:val="1"/>
                <w:bCs w:val="1"/>
                <w:color w:val="auto"/>
              </w:rPr>
              <w:t>Amount</w:t>
            </w:r>
          </w:p>
        </w:tc>
      </w:tr>
      <w:tr>
        <w:trPr>
          <w:trHeight w:val="137"/>
        </w:trPr>
        <w:tc>
          <w:tcPr>
            <w:tcW w:w="1700" w:type="dxa"/>
            <w:vAlign w:val="bottom"/>
            <w:tcBorders>
              <w:top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41"/>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6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7"/>
                <w:szCs w:val="17"/>
                <w:color w:val="auto"/>
              </w:rPr>
              <w:t>2014</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8"/>
                <w:szCs w:val="18"/>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8"/>
                <w:szCs w:val="18"/>
                <w:color w:val="auto"/>
              </w:rPr>
            </w:pPr>
          </w:p>
        </w:tc>
      </w:tr>
      <w:tr>
        <w:trPr>
          <w:trHeight w:val="26"/>
        </w:trPr>
        <w:tc>
          <w:tcPr>
            <w:tcW w:w="170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w:t>
            </w:r>
          </w:p>
        </w:tc>
        <w:tc>
          <w:tcPr>
            <w:tcW w:w="16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hanging="335"/>
        <w:spacing w:after="0"/>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Employment Agreements and Consultancy Agreements</w:t>
      </w:r>
    </w:p>
    <w:p>
      <w:pPr>
        <w:spacing w:after="0" w:line="224" w:lineRule="exact"/>
        <w:rPr>
          <w:sz w:val="20"/>
          <w:szCs w:val="20"/>
          <w:color w:val="auto"/>
        </w:rPr>
      </w:pPr>
    </w:p>
    <w:p>
      <w:pPr>
        <w:ind w:right="40" w:firstLine="338"/>
        <w:spacing w:after="0" w:line="322" w:lineRule="auto"/>
        <w:rPr>
          <w:sz w:val="20"/>
          <w:szCs w:val="20"/>
          <w:color w:val="auto"/>
        </w:rPr>
      </w:pPr>
      <w:r>
        <w:rPr>
          <w:rFonts w:ascii="Arial" w:cs="Arial" w:eastAsia="Arial" w:hAnsi="Arial"/>
          <w:sz w:val="15"/>
          <w:szCs w:val="15"/>
          <w:color w:val="auto"/>
        </w:rPr>
        <w:t>The Company has entered into employment and indemnification agreements with its CEO and CSO.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45"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Company had entered into a consulting agreement with one of its shareholders for a period of two years from July 2009 to June 2011. The agreement provided that a consulting service fee would be paid to the consultant upon delivery of stipulated services. The Company paid $150,000 and $350,000 of consulting services fees to the consultant in 2011 and 2010, respectively.</w:t>
      </w:r>
    </w:p>
    <w:p>
      <w:pPr>
        <w:spacing w:after="0" w:line="179"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2012, the Company entered into consulting agreements with two of its shareholders and board members for a period of one year from June 2012 to June 2013. Each agreement provides that a consulting fee will be paid to the consultant within 30 days after submission of the invoice by the consultant. The Company paid $25,000 of consulting service fees to one consultant in 2012.</w:t>
      </w:r>
    </w:p>
    <w:p>
      <w:pPr>
        <w:spacing w:after="0" w:line="179" w:lineRule="exact"/>
        <w:rPr>
          <w:sz w:val="20"/>
          <w:szCs w:val="20"/>
          <w:color w:val="auto"/>
        </w:rPr>
      </w:pPr>
    </w:p>
    <w:p>
      <w:pPr>
        <w:ind w:left="340" w:hanging="335"/>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Contingencies</w:t>
      </w:r>
    </w:p>
    <w:p>
      <w:pPr>
        <w:spacing w:after="0" w:line="224"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S—RELATED PARTY TRANSACTIONS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had the following related parties' activities with its shareholders: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9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5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4"/>
          </w:tcPr>
          <w:p>
            <w:pPr>
              <w:jc w:val="right"/>
              <w:ind w:right="40"/>
              <w:spacing w:after="0" w:line="138"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60" w:type="dxa"/>
            <w:vAlign w:val="bottom"/>
            <w:shd w:val="clear" w:color="auto" w:fill="CCEEFF"/>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7"/>
                <w:szCs w:val="17"/>
                <w:color w:val="auto"/>
              </w:rPr>
              <w:t>Consulting service fees</w:t>
            </w: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350</w:t>
            </w:r>
          </w:p>
        </w:tc>
        <w:tc>
          <w:tcPr>
            <w:tcW w:w="160" w:type="dxa"/>
            <w:vAlign w:val="bottom"/>
          </w:tcPr>
          <w:p>
            <w:pPr>
              <w:spacing w:after="0"/>
              <w:rPr>
                <w:sz w:val="18"/>
                <w:szCs w:val="18"/>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Note payable</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6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7"/>
                <w:szCs w:val="17"/>
                <w:color w:val="auto"/>
              </w:rPr>
              <w:t>Interest payable</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150</w:t>
            </w:r>
          </w:p>
        </w:tc>
        <w:tc>
          <w:tcPr>
            <w:tcW w:w="160" w:type="dxa"/>
            <w:vAlign w:val="bottom"/>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T—SUBSEQUENT EVENTS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events evaluated through May 21, 2013:</w:t>
      </w:r>
    </w:p>
    <w:p>
      <w:pPr>
        <w:spacing w:after="0" w:line="224"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On January 18, 2013, the Company's board of directors granted stock options for 334,571 shares of the Company's common stock to various employees of the Company. The stock options have an exercise price of $7.50 per share and vest over a four year period from date of grant.</w:t>
      </w:r>
    </w:p>
    <w:p>
      <w:pPr>
        <w:spacing w:after="0" w:line="170" w:lineRule="exact"/>
        <w:rPr>
          <w:sz w:val="20"/>
          <w:szCs w:val="20"/>
          <w:color w:val="auto"/>
        </w:rPr>
      </w:pPr>
    </w:p>
    <w:p>
      <w:pPr>
        <w:ind w:right="100" w:firstLine="332"/>
        <w:spacing w:after="0" w:line="282" w:lineRule="auto"/>
        <w:rPr>
          <w:sz w:val="20"/>
          <w:szCs w:val="20"/>
          <w:color w:val="auto"/>
        </w:rPr>
      </w:pPr>
      <w:r>
        <w:rPr>
          <w:rFonts w:ascii="Arial" w:cs="Arial" w:eastAsia="Arial" w:hAnsi="Arial"/>
          <w:sz w:val="17"/>
          <w:szCs w:val="17"/>
          <w:color w:val="auto"/>
        </w:rPr>
        <w:t>As of March 15, 2013, the Company renewed and extended $6.0 million of its line of credit for an additional one year term with a China based bank. In addition, the Company also repaid $2.1 million of loans and bank acceptance notes subsequent to year-end.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March 25, 2013, the Company was converted from a Texas corporation to a Delaware corporation.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April 11, 2013, the loans with East West Bank with an outstanding principal balance of $9.6 million were extended and now mature on November 15, 2014.</w:t>
      </w:r>
    </w:p>
    <w:p>
      <w:pPr>
        <w:spacing w:after="0" w:line="247"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connection with the loan renewal with East West Bank, on April 11, 2013, the Company extended the expiration date of the warrant to purchase 8,333 shares of Series F preferred stock, held by East West Bank, to May 3, 2014.</w:t>
      </w:r>
    </w:p>
    <w:p>
      <w:pPr>
        <w:spacing w:after="0" w:line="170" w:lineRule="exact"/>
        <w:rPr>
          <w:sz w:val="20"/>
          <w:szCs w:val="20"/>
          <w:color w:val="auto"/>
        </w:rPr>
      </w:pPr>
    </w:p>
    <w:p>
      <w:pPr>
        <w:ind w:right="820" w:firstLine="341"/>
        <w:spacing w:after="0" w:line="282" w:lineRule="auto"/>
        <w:rPr>
          <w:sz w:val="20"/>
          <w:szCs w:val="20"/>
          <w:color w:val="auto"/>
        </w:rPr>
      </w:pPr>
      <w:r>
        <w:rPr>
          <w:rFonts w:ascii="Arial" w:cs="Arial" w:eastAsia="Arial" w:hAnsi="Arial"/>
          <w:sz w:val="17"/>
          <w:szCs w:val="17"/>
          <w:color w:val="auto"/>
        </w:rPr>
        <w:t>On April 12, 2013, the Company's board of directors approved and adopted the 2013 Long-Term Incentive Plan, subject to approval by the Company's stockholders, which will become effective immediately prior to the closing of this offering.</w:t>
      </w:r>
    </w:p>
    <w:p>
      <w:pPr>
        <w:spacing w:after="0" w:line="170" w:lineRule="exact"/>
        <w:rPr>
          <w:sz w:val="20"/>
          <w:szCs w:val="20"/>
          <w:color w:val="auto"/>
        </w:rPr>
      </w:pPr>
    </w:p>
    <w:p>
      <w:pPr>
        <w:ind w:right="780" w:firstLine="341"/>
        <w:spacing w:after="0" w:line="352" w:lineRule="auto"/>
        <w:rPr>
          <w:sz w:val="20"/>
          <w:szCs w:val="20"/>
          <w:color w:val="auto"/>
        </w:rPr>
      </w:pPr>
      <w:r>
        <w:rPr>
          <w:rFonts w:ascii="Arial" w:cs="Arial" w:eastAsia="Arial" w:hAnsi="Arial"/>
          <w:sz w:val="15"/>
          <w:szCs w:val="15"/>
          <w:color w:val="auto"/>
        </w:rPr>
        <w:t>On April 12, 2013, the Company's board of directors granted stock options for 3,540 shares of the Company's common stock to various employees and consultants of the Company. The stock options have an exercise price of $9.00 per share and vest over a four year period from date of grant.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Applied Optoelectronics, Inc. and Subsidiaries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T—SUBSEQUENT EVENTS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events occurring after August 13, 2013 and through August 27, 2013.</w:t>
      </w:r>
    </w:p>
    <w:p>
      <w:pPr>
        <w:spacing w:after="0" w:line="224" w:lineRule="exact"/>
        <w:rPr>
          <w:sz w:val="20"/>
          <w:szCs w:val="20"/>
          <w:color w:val="auto"/>
        </w:rPr>
      </w:pPr>
    </w:p>
    <w:p>
      <w:pPr>
        <w:ind w:right="40" w:firstLine="341"/>
        <w:spacing w:after="0" w:line="306" w:lineRule="auto"/>
        <w:rPr>
          <w:sz w:val="20"/>
          <w:szCs w:val="20"/>
          <w:color w:val="auto"/>
        </w:rPr>
      </w:pPr>
      <w:r>
        <w:rPr>
          <w:rFonts w:ascii="Arial" w:cs="Arial" w:eastAsia="Arial" w:hAnsi="Arial"/>
          <w:sz w:val="15"/>
          <w:szCs w:val="15"/>
          <w:color w:val="auto"/>
        </w:rPr>
        <w:t>On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events occurring after August 27, 2013 and through September 11, 2013.</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On September 10, 2013, the Company's outstanding loan agreement with East West Bank was amended to add $5.0 million of borrowing capability to the existing credit line, for the purpose of financing equipment. The additional equipment term loan allows the Company to draw up to the lesser of (i) $5.0 million, or (ii) 90% of the costs of equipment purchased between March 31, 2013 and March 10, 2014. Through March 10, 2014, the Company is required to pay interest only on the then-outstanding balance, and then pay equal principal payments plus accrued interest monthly for the following 42 months. The interest rate for such equipment term loan is the bank's prime lending rate plus 1.25%, currently a total of 4.5%.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3,600,000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149860</wp:posOffset>
            </wp:positionV>
            <wp:extent cx="2896870" cy="13569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96870"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415925</wp:posOffset>
            </wp:positionV>
            <wp:extent cx="15398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416560</wp:posOffset>
            </wp:positionV>
            <wp:extent cx="15398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940" w:val="left"/>
        </w:tabs>
        <w:rPr>
          <w:sz w:val="20"/>
          <w:szCs w:val="20"/>
          <w:color w:val="auto"/>
        </w:rPr>
      </w:pPr>
      <w:r>
        <w:rPr>
          <w:rFonts w:ascii="Arial" w:cs="Arial" w:eastAsia="Arial" w:hAnsi="Arial"/>
          <w:sz w:val="31"/>
          <w:szCs w:val="31"/>
          <w:b w:val="1"/>
          <w:bCs w:val="1"/>
          <w:color w:val="auto"/>
        </w:rPr>
        <w:t>RAYMOND JAMES</w:t>
      </w:r>
      <w:r>
        <w:rPr>
          <w:sz w:val="20"/>
          <w:szCs w:val="20"/>
          <w:color w:val="auto"/>
        </w:rPr>
        <w:tab/>
      </w:r>
      <w:r>
        <w:rPr>
          <w:rFonts w:ascii="Arial" w:cs="Arial" w:eastAsia="Arial" w:hAnsi="Arial"/>
          <w:sz w:val="31"/>
          <w:szCs w:val="31"/>
          <w:b w:val="1"/>
          <w:bCs w:val="1"/>
          <w:color w:val="auto"/>
        </w:rPr>
        <w:t>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429260</wp:posOffset>
            </wp:positionV>
            <wp:extent cx="15398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320" w:val="left"/>
        </w:tabs>
        <w:rPr>
          <w:sz w:val="20"/>
          <w:szCs w:val="20"/>
          <w:color w:val="auto"/>
        </w:rPr>
      </w:pPr>
      <w:r>
        <w:rPr>
          <w:rFonts w:ascii="Arial" w:cs="Arial" w:eastAsia="Arial" w:hAnsi="Arial"/>
          <w:sz w:val="24"/>
          <w:szCs w:val="24"/>
          <w:b w:val="1"/>
          <w:bCs w:val="1"/>
          <w:color w:val="auto"/>
        </w:rPr>
        <w:t>COWEN AND COMPANY</w:t>
      </w:r>
      <w:r>
        <w:rPr>
          <w:sz w:val="20"/>
          <w:szCs w:val="20"/>
          <w:color w:val="auto"/>
        </w:rPr>
        <w:tab/>
      </w:r>
      <w:r>
        <w:rPr>
          <w:rFonts w:ascii="Arial" w:cs="Arial" w:eastAsia="Arial" w:hAnsi="Arial"/>
          <w:sz w:val="23"/>
          <w:szCs w:val="23"/>
          <w:b w:val="1"/>
          <w:bCs w:val="1"/>
          <w:color w:val="auto"/>
        </w:rPr>
        <w:t>ROTH CAPITAL PARTNERS</w:t>
      </w:r>
    </w:p>
    <w:p>
      <w:pPr>
        <w:spacing w:after="0" w:line="23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33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328930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registrant in connection with the sale of common stock being registered. All amounts are estimates except the SEC registration fee and the FINRA filing fee.</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8,470</w:t>
            </w:r>
          </w:p>
        </w:tc>
        <w:tc>
          <w:tcPr>
            <w:tcW w:w="16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color w:val="auto"/>
              </w:rPr>
              <w:t>FINRA filing fee</w:t>
            </w:r>
          </w:p>
        </w:tc>
        <w:tc>
          <w:tcPr>
            <w:tcW w:w="2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9,815</w:t>
            </w:r>
          </w:p>
        </w:tc>
        <w:tc>
          <w:tcPr>
            <w:tcW w:w="16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NASDAQ Global Market listing fee</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6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color w:val="auto"/>
              </w:rPr>
              <w:t>Printing and mailing costs</w:t>
            </w:r>
          </w:p>
        </w:tc>
        <w:tc>
          <w:tcPr>
            <w:tcW w:w="2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300,000</w:t>
            </w:r>
          </w:p>
        </w:tc>
        <w:tc>
          <w:tcPr>
            <w:tcW w:w="16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905,000</w:t>
            </w:r>
          </w:p>
        </w:tc>
        <w:tc>
          <w:tcPr>
            <w:tcW w:w="16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2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745,000</w:t>
            </w:r>
          </w:p>
        </w:tc>
        <w:tc>
          <w:tcPr>
            <w:tcW w:w="16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Blue Sky fees and expenses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6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color w:val="auto"/>
              </w:rPr>
              <w:t>Directors and officers insurance</w:t>
            </w:r>
          </w:p>
        </w:tc>
        <w:tc>
          <w:tcPr>
            <w:tcW w:w="2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254,000</w:t>
            </w:r>
          </w:p>
        </w:tc>
        <w:tc>
          <w:tcPr>
            <w:tcW w:w="160" w:type="dxa"/>
            <w:vAlign w:val="bottom"/>
          </w:tcPr>
          <w:p>
            <w:pPr>
              <w:spacing w:after="0"/>
              <w:rPr>
                <w:sz w:val="18"/>
                <w:szCs w:val="18"/>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Transfer agent and registrar fees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7"/>
                <w:szCs w:val="17"/>
                <w:color w:val="auto"/>
              </w:rPr>
              <w:t>Miscellaneous expenses</w:t>
            </w:r>
          </w:p>
        </w:tc>
        <w:tc>
          <w:tcPr>
            <w:tcW w:w="2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297,715</w:t>
            </w:r>
          </w:p>
        </w:tc>
        <w:tc>
          <w:tcPr>
            <w:tcW w:w="1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4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Expenses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2,700,000</w:t>
            </w:r>
          </w:p>
        </w:tc>
        <w:tc>
          <w:tcPr>
            <w:tcW w:w="160" w:type="dxa"/>
            <w:vAlign w:val="bottom"/>
            <w:shd w:val="clear" w:color="auto" w:fill="CCEEFF"/>
          </w:tcPr>
          <w:p>
            <w:pPr>
              <w:spacing w:after="0"/>
              <w:rPr>
                <w:sz w:val="17"/>
                <w:szCs w:val="17"/>
                <w:color w:val="auto"/>
              </w:rPr>
            </w:pPr>
          </w:p>
        </w:tc>
      </w:tr>
      <w:tr>
        <w:trPr>
          <w:trHeight w:val="26"/>
        </w:trPr>
        <w:tc>
          <w:tcPr>
            <w:tcW w:w="4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2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87"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We have adopted provisions in our amended and restated certificate of incorporation and amended and restated bylaws to be in effect immediately prior to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99" w:lineRule="exact"/>
        <w:rPr>
          <w:sz w:val="20"/>
          <w:szCs w:val="20"/>
          <w:color w:val="auto"/>
        </w:rPr>
      </w:pPr>
    </w:p>
    <w:p>
      <w:pPr>
        <w:ind w:left="1060" w:hanging="531"/>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5580" w:right="3000" w:hanging="5051"/>
        <w:spacing w:after="0" w:line="540" w:lineRule="auto"/>
        <w:tabs>
          <w:tab w:leader="none" w:pos="104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ind w:right="400" w:firstLine="338"/>
        <w:spacing w:after="0" w:line="282"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our amended and restated bylaws provide that:</w:t>
      </w:r>
    </w:p>
    <w:p>
      <w:pPr>
        <w:spacing w:after="0" w:line="237" w:lineRule="exact"/>
        <w:rPr>
          <w:sz w:val="20"/>
          <w:szCs w:val="20"/>
          <w:color w:val="auto"/>
        </w:rPr>
      </w:pPr>
    </w:p>
    <w:p>
      <w:pPr>
        <w:ind w:left="1060" w:hanging="531"/>
        <w:spacing w:after="0" w:line="282" w:lineRule="auto"/>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182" w:lineRule="exact"/>
        <w:rPr>
          <w:rFonts w:ascii="Arial" w:cs="Arial" w:eastAsia="Arial" w:hAnsi="Arial"/>
          <w:sz w:val="17"/>
          <w:szCs w:val="17"/>
          <w:color w:val="auto"/>
        </w:rPr>
      </w:pPr>
    </w:p>
    <w:p>
      <w:pPr>
        <w:ind w:left="1060" w:right="400" w:hanging="531"/>
        <w:spacing w:after="0" w:line="352" w:lineRule="auto"/>
        <w:tabs>
          <w:tab w:leader="none" w:pos="10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23" w:lineRule="exact"/>
        <w:rPr>
          <w:sz w:val="20"/>
          <w:szCs w:val="20"/>
          <w:color w:val="auto"/>
        </w:rPr>
      </w:pPr>
    </w:p>
    <w:p>
      <w:pPr>
        <w:ind w:right="640" w:firstLine="338"/>
        <w:spacing w:after="0" w:line="282" w:lineRule="auto"/>
        <w:rPr>
          <w:sz w:val="20"/>
          <w:szCs w:val="20"/>
          <w:color w:val="auto"/>
        </w:rPr>
      </w:pPr>
      <w:r>
        <w:rPr>
          <w:rFonts w:ascii="Arial" w:cs="Arial" w:eastAsia="Arial" w:hAnsi="Arial"/>
          <w:sz w:val="17"/>
          <w:szCs w:val="17"/>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Delaware law.</w:t>
      </w:r>
    </w:p>
    <w:p>
      <w:pPr>
        <w:spacing w:after="0" w:line="170"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three completed fiscal years preceding the filing of this registration statement, we have issued the following securities that were not registered under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 Issuances of Capital Stock.</w:t>
      </w:r>
    </w:p>
    <w:p>
      <w:pPr>
        <w:spacing w:after="0" w:line="224"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On December 31, 2011, we issued and sold an aggregate of 222,554 shares of Series G preferred stock to twenty-five investors, at a price of $18.00 per share, in the initial closing of our Series G private placement. Between May 25, 2012 and September 7, 2012, we issued and sold an additional 1,046,999 shares of Series G preferred stock to fifty-four investors, at a price of $10.50 per share, in the second closing of our Series G private placement. As a result of the second closing of our Series G private placement, we agreed to amend the per share price of the initial closing of our Series G private placement from $18.00 per share to $10.50 per share and, as a result an additional 158,973 shares of Series G preferred stock was issued to the investors of the initial closing of our Series G private placement. As a result, a total of 1,428,526 shares of Series G preferred stock was issued by our company. Of the total proceeds received under our Series G private placement, $4.2 million was recorded (of which $3.0 million was booked as a receivable) during the six-month period ending June 30, 2012, and the $3.0 million receivable was collected and the remaining proceeds from the private placement were received during the second half of 2012.</w:t>
      </w:r>
    </w:p>
    <w:p>
      <w:pPr>
        <w:spacing w:after="0" w:line="163" w:lineRule="exact"/>
        <w:rPr>
          <w:sz w:val="20"/>
          <w:szCs w:val="20"/>
          <w:color w:val="auto"/>
        </w:rPr>
      </w:pPr>
    </w:p>
    <w:p>
      <w:pPr>
        <w:jc w:val="both"/>
        <w:ind w:right="380" w:firstLine="341"/>
        <w:spacing w:after="0" w:line="270" w:lineRule="auto"/>
        <w:rPr>
          <w:sz w:val="20"/>
          <w:szCs w:val="20"/>
          <w:color w:val="auto"/>
        </w:rPr>
      </w:pPr>
      <w:r>
        <w:rPr>
          <w:rFonts w:ascii="Arial" w:cs="Arial" w:eastAsia="Arial" w:hAnsi="Arial"/>
          <w:sz w:val="17"/>
          <w:szCs w:val="17"/>
          <w:color w:val="auto"/>
        </w:rPr>
        <w:t>No underwriters were used in the foregoing transactions. All sales of securities described above were made in reliance upon the exemption from registration provided by Section 4(2) of the Securities Act (and/or Regulation D promulgated thereunder) of the Securities Act for transactions by a registrant not involving a public offering. All of the foregoing securities are deemed restricted securities for the purposes of the Securities Act.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Upon the completion of this offering, each share of redeemable Series A preferred stock will convert into approximately 3.1731 shares of common stock, each share of Series C preferred stock will convert into approximately 2.3107 shares of common stock, each share of Series D preferred stock will convert into approximately 2.5360 shares of common stock, each share of Series E preferred stock will convert into approximately 3.6186 shares of common stock, each share of Series F preferred stock will convert into approximately 1.2000 shares of common stock, and each share of Series G preferred stock will convert into 1.0000 share of common stock.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 Grants and Exercises of Stock Options.</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From January 1, 2010 to the filing of this registration statement, we have granted stock options to purchase an aggregate of 736,138 shares of common stock with exercise prices ranging from $6.00 to $9.00 per share, to employees, officers, directors, consultants pursuant to our stock option plans. 14,611 shares of options have been exercised for consideration aggregating $87,392.20 from January 1, 2010 to the filing of this registration statement. The issuance of common stock upon exercise of the options was exempt either pursuant to Rule 701, as a transaction pursuant to a compensatory benefit plan, or pursuant to Section 4(2) of the Securities Act or Regulation S of the Securities Act, as a transaction by a registrant not involving a public offering. The shares of common stock issued upon exercise of options are deemed restricted securities for the purposes of the Securities Act.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 Issuances and Exercises of Warrants</w:t>
      </w:r>
    </w:p>
    <w:p>
      <w:pPr>
        <w:spacing w:after="0" w:line="224" w:lineRule="exact"/>
        <w:rPr>
          <w:sz w:val="20"/>
          <w:szCs w:val="20"/>
          <w:color w:val="auto"/>
        </w:rPr>
      </w:pPr>
    </w:p>
    <w:p>
      <w:pPr>
        <w:ind w:right="140" w:firstLine="341"/>
        <w:spacing w:after="0" w:line="263" w:lineRule="auto"/>
        <w:rPr>
          <w:sz w:val="20"/>
          <w:szCs w:val="20"/>
          <w:color w:val="auto"/>
        </w:rPr>
      </w:pPr>
      <w:r>
        <w:rPr>
          <w:rFonts w:ascii="Arial" w:cs="Arial" w:eastAsia="Arial" w:hAnsi="Arial"/>
          <w:sz w:val="17"/>
          <w:szCs w:val="17"/>
          <w:color w:val="auto"/>
        </w:rPr>
        <w:t>On May 3, 2010, we issued a warrant to our U.S. lender to purchase 8,333 shares of Series F preferred stock, with an exercise price of $18.00 per share and an expiration date of May 3, 2013. On April 11, 2013, the expiration date of this warrant was extended until May 3, 2014. On November 2, 2012, we issued warrants to our U.S. lender to purchase 6,667 shares of Series G preferred stock, with an exercise price of $10.50 per share and an expiration date equal to thirty days after the expiration of the initial lock-up period agreed to between our company and its underwriters in connection with this offering. As of the filing of this registration statement, none of the warrants described above have been exercised.</w:t>
      </w:r>
    </w:p>
    <w:p>
      <w:pPr>
        <w:spacing w:after="0" w:line="187"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From February 3, 2010 through April 23, 2010, we issued warrants to 11 individuals and entities to purchase 51,200 shares of Series F preferred stock issued in connection with promissory notes we entered into with such individuals and entities. The exercise price of the warrants is $7.50 per share and expires upon the closing of this offering. As of the filing of this registration statement, warrants have been exercised for 35,200 shares of Series F preferred stock.</w:t>
      </w:r>
    </w:p>
    <w:p>
      <w:pPr>
        <w:spacing w:after="0" w:line="163"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On May 17, 2011, we issued warrants to Alliance Management Consulting Co. Ltd. to purchase 10,000 shares of our common stock in partial consideration of certain services provided to us. The exercise price of the warrants is $6.00 per share and expires upon the closing of this offering. As of the filing of this registration statement, warrants have been exercised for 10,000 shares of common stock.</w:t>
      </w:r>
    </w:p>
    <w:p>
      <w:pPr>
        <w:spacing w:after="0" w:line="179" w:lineRule="exact"/>
        <w:rPr>
          <w:sz w:val="20"/>
          <w:szCs w:val="20"/>
          <w:color w:val="auto"/>
        </w:rPr>
      </w:pPr>
    </w:p>
    <w:p>
      <w:pPr>
        <w:ind w:right="20" w:firstLine="341"/>
        <w:spacing w:after="0" w:line="311" w:lineRule="auto"/>
        <w:rPr>
          <w:sz w:val="20"/>
          <w:szCs w:val="20"/>
          <w:color w:val="auto"/>
        </w:rPr>
      </w:pPr>
      <w:r>
        <w:rPr>
          <w:rFonts w:ascii="Arial" w:cs="Arial" w:eastAsia="Arial" w:hAnsi="Arial"/>
          <w:sz w:val="15"/>
          <w:szCs w:val="15"/>
          <w:color w:val="auto"/>
        </w:rPr>
        <w:t>On December 31, 2011, we issued warrants to purchase 33,385 shares of Series G preferred stock, with an exercise price of $18.00 per share in connection with the initial closing of our Series G private placement, to the investors of the initial closing of our Series G private placement. However, the warrants were terminated as a result of the second closing of our Series G private placement in which we agreed to amend the per share price of the initial closing of our Series G Private Placement from $18.00 per share to $10.50 per share. As of the filing of this registration statement, none of the warrants described above have been exercised.</w:t>
      </w:r>
    </w:p>
    <w:p>
      <w:pPr>
        <w:spacing w:after="0" w:line="155" w:lineRule="exact"/>
        <w:rPr>
          <w:sz w:val="20"/>
          <w:szCs w:val="20"/>
          <w:color w:val="auto"/>
        </w:rPr>
      </w:pPr>
    </w:p>
    <w:p>
      <w:pPr>
        <w:ind w:right="600" w:firstLine="341"/>
        <w:spacing w:after="0" w:line="282" w:lineRule="auto"/>
        <w:rPr>
          <w:sz w:val="20"/>
          <w:szCs w:val="20"/>
          <w:color w:val="auto"/>
        </w:rPr>
      </w:pPr>
      <w:r>
        <w:rPr>
          <w:rFonts w:ascii="Arial" w:cs="Arial" w:eastAsia="Arial" w:hAnsi="Arial"/>
          <w:sz w:val="17"/>
          <w:szCs w:val="17"/>
          <w:color w:val="auto"/>
        </w:rPr>
        <w:t>On December 31, 2011, we issued warrants to eight individuals and entities to purchase 6,081 shares of Series G preferred stock in connection with eight promissory notes we entered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40"/>
        <w:spacing w:after="0" w:line="282" w:lineRule="auto"/>
        <w:rPr>
          <w:sz w:val="20"/>
          <w:szCs w:val="20"/>
          <w:color w:val="auto"/>
        </w:rPr>
      </w:pPr>
      <w:r>
        <w:rPr>
          <w:rFonts w:ascii="Arial" w:cs="Arial" w:eastAsia="Arial" w:hAnsi="Arial"/>
          <w:sz w:val="17"/>
          <w:szCs w:val="17"/>
          <w:color w:val="auto"/>
        </w:rPr>
        <w:t>into with such individuals and entities. The exercise price of the warrants is $18.00 per share and expires upon closing of this offering. As of the filing of this registration statement, warrants have been exercised for 2,778 shares of Series G preferred stock.</w:t>
      </w:r>
    </w:p>
    <w:p>
      <w:pPr>
        <w:spacing w:after="0" w:line="170" w:lineRule="exact"/>
        <w:rPr>
          <w:sz w:val="20"/>
          <w:szCs w:val="20"/>
          <w:color w:val="auto"/>
        </w:rPr>
      </w:pPr>
    </w:p>
    <w:p>
      <w:pPr>
        <w:jc w:val="both"/>
        <w:ind w:right="360" w:firstLine="341"/>
        <w:spacing w:after="0" w:line="270" w:lineRule="auto"/>
        <w:rPr>
          <w:sz w:val="20"/>
          <w:szCs w:val="20"/>
          <w:color w:val="auto"/>
        </w:rPr>
      </w:pPr>
      <w:r>
        <w:rPr>
          <w:rFonts w:ascii="Arial" w:cs="Arial" w:eastAsia="Arial" w:hAnsi="Arial"/>
          <w:sz w:val="17"/>
          <w:szCs w:val="17"/>
          <w:color w:val="auto"/>
        </w:rPr>
        <w:t>No underwriters were used in the foregoing transactions. All sales of securities described above were made in reliance upon the exemption from registration provided by Section 4(2) of the Securities Act (and/or Regulation D promulgated thereunder) of the Securities Act for transactions by a registrant not involving a public offering. All of the foregoing securities are deemed restricted securities for the purposes of the Securities Act.</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 Exhibits</w:t>
      </w:r>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See the Exhibit Index on the page immediately following the signature page for a list of exhibits filed as part of this registration statement on Form S-1, which Exhibit Index is incorporated herein by reference.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224"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ind w:right="740" w:firstLine="338"/>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70" w:lineRule="exact"/>
        <w:rPr>
          <w:sz w:val="20"/>
          <w:szCs w:val="20"/>
          <w:color w:val="auto"/>
        </w:rPr>
      </w:pPr>
    </w:p>
    <w:p>
      <w:pPr>
        <w:ind w:right="80" w:firstLine="341"/>
        <w:spacing w:after="0" w:line="301"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provisions described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24" w:lineRule="exact"/>
        <w:rPr>
          <w:sz w:val="20"/>
          <w:szCs w:val="20"/>
          <w:color w:val="auto"/>
        </w:rPr>
      </w:pPr>
    </w:p>
    <w:p>
      <w:pPr>
        <w:ind w:left="520" w:right="140" w:firstLine="350"/>
        <w:spacing w:after="0" w:line="294" w:lineRule="auto"/>
        <w:tabs>
          <w:tab w:leader="none" w:pos="118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2" w:lineRule="exact"/>
        <w:rPr>
          <w:rFonts w:ascii="Arial" w:cs="Arial" w:eastAsia="Arial" w:hAnsi="Arial"/>
          <w:sz w:val="16"/>
          <w:szCs w:val="16"/>
          <w:color w:val="auto"/>
        </w:rPr>
      </w:pPr>
    </w:p>
    <w:p>
      <w:pPr>
        <w:ind w:left="520" w:firstLine="350"/>
        <w:spacing w:after="0" w:line="270" w:lineRule="auto"/>
        <w:tabs>
          <w:tab w:leader="none" w:pos="118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to the registration statement to be signed on its behalf by the undersigned, thereunto duly authorized in the City of Houston, State of Texas, on September 20, 2013.</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APPLIED OPTOELECTRONICS, INC.</w:t>
      </w:r>
    </w:p>
    <w:p>
      <w:pPr>
        <w:spacing w:after="0" w:line="254" w:lineRule="exact"/>
        <w:rPr>
          <w:sz w:val="20"/>
          <w:szCs w:val="20"/>
          <w:color w:val="auto"/>
        </w:rPr>
      </w:pPr>
    </w:p>
    <w:p>
      <w:pPr>
        <w:ind w:left="5700"/>
        <w:spacing w:after="0"/>
        <w:tabs>
          <w:tab w:leader="none" w:pos="67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Chih-Hsiang (Thompson) Lin,</w:t>
      </w:r>
    </w:p>
    <w:p>
      <w:pPr>
        <w:spacing w:after="0" w:line="20"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1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Pursuant to the requirements of the Securities Act of 1933, this amendment to the registration statement has been signed by the following persons in the capacities and on the dates indicated.</w:t>
      </w:r>
    </w:p>
    <w:p>
      <w:pPr>
        <w:spacing w:after="0" w:line="166" w:lineRule="exact"/>
        <w:rPr>
          <w:sz w:val="20"/>
          <w:szCs w:val="20"/>
          <w:color w:val="auto"/>
        </w:rPr>
      </w:pPr>
    </w:p>
    <w:p>
      <w:pPr>
        <w:ind w:left="3380"/>
        <w:spacing w:after="0"/>
        <w:tabs>
          <w:tab w:leader="none" w:pos="80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31883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color w:val="auto"/>
                <w:w w:val="92"/>
              </w:rPr>
              <w:t>Chih-Hsiang (Thompson) Lin,</w:t>
            </w:r>
          </w:p>
        </w:tc>
        <w:tc>
          <w:tcPr>
            <w:tcW w:w="72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2"/>
              </w:rPr>
              <w:t>President, Chief Executive Officer and Director</w:t>
            </w:r>
          </w:p>
        </w:tc>
        <w:tc>
          <w:tcPr>
            <w:tcW w:w="72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3"/>
              </w:rPr>
              <w:t>(principal executive officer)</w:t>
            </w:r>
          </w:p>
        </w:tc>
        <w:tc>
          <w:tcPr>
            <w:tcW w:w="720" w:type="dxa"/>
            <w:vAlign w:val="bottom"/>
          </w:tcPr>
          <w:p>
            <w:pPr>
              <w:spacing w:after="0"/>
              <w:rPr>
                <w:sz w:val="18"/>
                <w:szCs w:val="18"/>
                <w:color w:val="auto"/>
              </w:rPr>
            </w:pPr>
          </w:p>
        </w:tc>
        <w:tc>
          <w:tcPr>
            <w:tcW w:w="5260" w:type="dxa"/>
            <w:vAlign w:val="bottom"/>
          </w:tcPr>
          <w:p>
            <w:pPr>
              <w:ind w:left="1400"/>
              <w:spacing w:after="0"/>
              <w:rPr>
                <w:sz w:val="20"/>
                <w:szCs w:val="20"/>
                <w:color w:val="auto"/>
              </w:rPr>
            </w:pPr>
            <w:r>
              <w:rPr>
                <w:rFonts w:ascii="Arial" w:cs="Arial" w:eastAsia="Arial" w:hAnsi="Arial"/>
                <w:sz w:val="17"/>
                <w:szCs w:val="17"/>
                <w:color w:val="auto"/>
              </w:rPr>
              <w:t>September 20, 2013</w:t>
            </w:r>
          </w:p>
        </w:tc>
      </w:tr>
      <w:tr>
        <w:trPr>
          <w:trHeight w:val="419"/>
        </w:trPr>
        <w:tc>
          <w:tcPr>
            <w:tcW w:w="1140" w:type="dxa"/>
            <w:vAlign w:val="bottom"/>
          </w:tcPr>
          <w:p>
            <w:pPr>
              <w:spacing w:after="0"/>
              <w:rPr>
                <w:sz w:val="24"/>
                <w:szCs w:val="24"/>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color w:val="auto"/>
                <w:w w:val="95"/>
              </w:rPr>
              <w:t>/s/ JAMES L. DUNN, JR.</w:t>
            </w: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color w:val="auto"/>
                <w:w w:val="88"/>
              </w:rPr>
              <w:t>James L. Dunn, Jr.,</w:t>
            </w:r>
          </w:p>
        </w:tc>
        <w:tc>
          <w:tcPr>
            <w:tcW w:w="72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10"/>
        </w:trPr>
        <w:tc>
          <w:tcPr>
            <w:tcW w:w="1140" w:type="dxa"/>
            <w:vAlign w:val="bottom"/>
          </w:tcPr>
          <w:p>
            <w:pPr>
              <w:spacing w:after="0"/>
              <w:rPr>
                <w:sz w:val="18"/>
                <w:szCs w:val="18"/>
                <w:color w:val="auto"/>
              </w:rPr>
            </w:pPr>
          </w:p>
        </w:tc>
        <w:tc>
          <w:tcPr>
            <w:tcW w:w="4300" w:type="dxa"/>
            <w:vAlign w:val="bottom"/>
          </w:tcPr>
          <w:p>
            <w:pPr>
              <w:jc w:val="center"/>
              <w:ind w:left="615"/>
              <w:spacing w:after="0"/>
              <w:rPr>
                <w:sz w:val="20"/>
                <w:szCs w:val="20"/>
                <w:color w:val="auto"/>
              </w:rPr>
            </w:pPr>
            <w:r>
              <w:rPr>
                <w:rFonts w:ascii="Arial" w:cs="Arial" w:eastAsia="Arial" w:hAnsi="Arial"/>
                <w:sz w:val="17"/>
                <w:szCs w:val="17"/>
                <w:i w:val="1"/>
                <w:iCs w:val="1"/>
                <w:color w:val="auto"/>
                <w:w w:val="95"/>
              </w:rPr>
              <w:t>Chief Financial Officer</w:t>
            </w:r>
          </w:p>
        </w:tc>
        <w:tc>
          <w:tcPr>
            <w:tcW w:w="72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5"/>
              </w:rPr>
              <w:t>(principal financial officer and</w:t>
            </w:r>
          </w:p>
        </w:tc>
        <w:tc>
          <w:tcPr>
            <w:tcW w:w="72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5"/>
              </w:rPr>
              <w:t>principal accounting officer)</w:t>
            </w:r>
          </w:p>
        </w:tc>
        <w:tc>
          <w:tcPr>
            <w:tcW w:w="720" w:type="dxa"/>
            <w:vAlign w:val="bottom"/>
          </w:tcPr>
          <w:p>
            <w:pPr>
              <w:spacing w:after="0"/>
              <w:rPr>
                <w:sz w:val="18"/>
                <w:szCs w:val="18"/>
                <w:color w:val="auto"/>
              </w:rPr>
            </w:pPr>
          </w:p>
        </w:tc>
        <w:tc>
          <w:tcPr>
            <w:tcW w:w="5260" w:type="dxa"/>
            <w:vAlign w:val="bottom"/>
          </w:tcPr>
          <w:p>
            <w:pPr>
              <w:ind w:left="1400"/>
              <w:spacing w:after="0"/>
              <w:rPr>
                <w:sz w:val="20"/>
                <w:szCs w:val="20"/>
                <w:color w:val="auto"/>
              </w:rPr>
            </w:pPr>
            <w:r>
              <w:rPr>
                <w:rFonts w:ascii="Arial" w:cs="Arial" w:eastAsia="Arial" w:hAnsi="Arial"/>
                <w:sz w:val="17"/>
                <w:szCs w:val="17"/>
                <w:color w:val="auto"/>
              </w:rPr>
              <w:t>September 20, 2013</w:t>
            </w:r>
          </w:p>
        </w:tc>
      </w:tr>
      <w:tr>
        <w:trPr>
          <w:trHeight w:val="419"/>
        </w:trPr>
        <w:tc>
          <w:tcPr>
            <w:tcW w:w="5440" w:type="dxa"/>
            <w:vAlign w:val="bottom"/>
            <w:gridSpan w:val="2"/>
          </w:tcPr>
          <w:p>
            <w:pPr>
              <w:jc w:val="center"/>
              <w:ind w:left="177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color w:val="auto"/>
                <w:w w:val="90"/>
              </w:rPr>
              <w:t>Juen-Sheng (Andrew) Kang,</w:t>
            </w:r>
          </w:p>
        </w:tc>
        <w:tc>
          <w:tcPr>
            <w:tcW w:w="72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3"/>
              </w:rPr>
              <w:t>Chairman of the Board of Directors</w:t>
            </w:r>
          </w:p>
        </w:tc>
        <w:tc>
          <w:tcPr>
            <w:tcW w:w="720" w:type="dxa"/>
            <w:vAlign w:val="bottom"/>
          </w:tcPr>
          <w:p>
            <w:pPr>
              <w:spacing w:after="0"/>
              <w:rPr>
                <w:sz w:val="18"/>
                <w:szCs w:val="18"/>
                <w:color w:val="auto"/>
              </w:rPr>
            </w:pPr>
          </w:p>
        </w:tc>
        <w:tc>
          <w:tcPr>
            <w:tcW w:w="5260" w:type="dxa"/>
            <w:vAlign w:val="bottom"/>
          </w:tcPr>
          <w:p>
            <w:pPr>
              <w:ind w:left="1400"/>
              <w:spacing w:after="0"/>
              <w:rPr>
                <w:sz w:val="20"/>
                <w:szCs w:val="20"/>
                <w:color w:val="auto"/>
              </w:rPr>
            </w:pPr>
            <w:r>
              <w:rPr>
                <w:rFonts w:ascii="Arial" w:cs="Arial" w:eastAsia="Arial" w:hAnsi="Arial"/>
                <w:sz w:val="17"/>
                <w:szCs w:val="17"/>
                <w:color w:val="auto"/>
              </w:rPr>
              <w:t>September 20, 2013</w:t>
            </w:r>
          </w:p>
        </w:tc>
      </w:tr>
      <w:tr>
        <w:trPr>
          <w:trHeight w:val="419"/>
        </w:trPr>
        <w:tc>
          <w:tcPr>
            <w:tcW w:w="5440" w:type="dxa"/>
            <w:vAlign w:val="bottom"/>
            <w:gridSpan w:val="2"/>
          </w:tcPr>
          <w:p>
            <w:pPr>
              <w:jc w:val="center"/>
              <w:ind w:left="177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color w:val="auto"/>
                <w:w w:val="94"/>
              </w:rPr>
              <w:t>William H. Yeh,</w:t>
            </w:r>
          </w:p>
        </w:tc>
        <w:tc>
          <w:tcPr>
            <w:tcW w:w="72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7"/>
              </w:rPr>
              <w:t>Director</w:t>
            </w:r>
          </w:p>
        </w:tc>
        <w:tc>
          <w:tcPr>
            <w:tcW w:w="720" w:type="dxa"/>
            <w:vAlign w:val="bottom"/>
          </w:tcPr>
          <w:p>
            <w:pPr>
              <w:spacing w:after="0"/>
              <w:rPr>
                <w:sz w:val="18"/>
                <w:szCs w:val="18"/>
                <w:color w:val="auto"/>
              </w:rPr>
            </w:pPr>
          </w:p>
        </w:tc>
        <w:tc>
          <w:tcPr>
            <w:tcW w:w="5260" w:type="dxa"/>
            <w:vAlign w:val="bottom"/>
          </w:tcPr>
          <w:p>
            <w:pPr>
              <w:ind w:left="1400"/>
              <w:spacing w:after="0"/>
              <w:rPr>
                <w:sz w:val="20"/>
                <w:szCs w:val="20"/>
                <w:color w:val="auto"/>
              </w:rPr>
            </w:pPr>
            <w:r>
              <w:rPr>
                <w:rFonts w:ascii="Arial" w:cs="Arial" w:eastAsia="Arial" w:hAnsi="Arial"/>
                <w:sz w:val="17"/>
                <w:szCs w:val="17"/>
                <w:color w:val="auto"/>
              </w:rPr>
              <w:t>September 20, 2013</w:t>
            </w:r>
          </w:p>
        </w:tc>
      </w:tr>
      <w:tr>
        <w:trPr>
          <w:trHeight w:val="419"/>
        </w:trPr>
        <w:tc>
          <w:tcPr>
            <w:tcW w:w="5440" w:type="dxa"/>
            <w:vAlign w:val="bottom"/>
            <w:gridSpan w:val="2"/>
          </w:tcPr>
          <w:p>
            <w:pPr>
              <w:jc w:val="center"/>
              <w:ind w:left="1775"/>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color w:val="auto"/>
                <w:w w:val="93"/>
              </w:rPr>
              <w:t>Richard B. Black,</w:t>
            </w:r>
          </w:p>
        </w:tc>
        <w:tc>
          <w:tcPr>
            <w:tcW w:w="72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jc w:val="center"/>
              <w:ind w:left="635"/>
              <w:spacing w:after="0"/>
              <w:rPr>
                <w:sz w:val="20"/>
                <w:szCs w:val="20"/>
                <w:color w:val="auto"/>
              </w:rPr>
            </w:pPr>
            <w:r>
              <w:rPr>
                <w:rFonts w:ascii="Arial" w:cs="Arial" w:eastAsia="Arial" w:hAnsi="Arial"/>
                <w:sz w:val="17"/>
                <w:szCs w:val="17"/>
                <w:i w:val="1"/>
                <w:iCs w:val="1"/>
                <w:color w:val="auto"/>
                <w:w w:val="97"/>
              </w:rPr>
              <w:t>Director</w:t>
            </w:r>
          </w:p>
        </w:tc>
        <w:tc>
          <w:tcPr>
            <w:tcW w:w="720" w:type="dxa"/>
            <w:vAlign w:val="bottom"/>
          </w:tcPr>
          <w:p>
            <w:pPr>
              <w:spacing w:after="0"/>
              <w:rPr>
                <w:sz w:val="18"/>
                <w:szCs w:val="18"/>
                <w:color w:val="auto"/>
              </w:rPr>
            </w:pPr>
          </w:p>
        </w:tc>
        <w:tc>
          <w:tcPr>
            <w:tcW w:w="5260" w:type="dxa"/>
            <w:vAlign w:val="bottom"/>
          </w:tcPr>
          <w:p>
            <w:pPr>
              <w:ind w:left="1400"/>
              <w:spacing w:after="0"/>
              <w:rPr>
                <w:sz w:val="20"/>
                <w:szCs w:val="20"/>
                <w:color w:val="auto"/>
              </w:rPr>
            </w:pPr>
            <w:r>
              <w:rPr>
                <w:rFonts w:ascii="Arial" w:cs="Arial" w:eastAsia="Arial" w:hAnsi="Arial"/>
                <w:sz w:val="17"/>
                <w:szCs w:val="17"/>
                <w:color w:val="auto"/>
              </w:rPr>
              <w:t>September 20, 2013</w:t>
            </w:r>
          </w:p>
        </w:tc>
      </w:tr>
      <w:tr>
        <w:trPr>
          <w:trHeight w:val="419"/>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980" w:type="dxa"/>
            <w:vAlign w:val="bottom"/>
            <w:gridSpan w:val="2"/>
          </w:tcPr>
          <w:p>
            <w:pPr>
              <w:ind w:left="140"/>
              <w:spacing w:after="0"/>
              <w:rPr>
                <w:sz w:val="20"/>
                <w:szCs w:val="20"/>
                <w:color w:val="auto"/>
              </w:rPr>
            </w:pPr>
            <w:r>
              <w:rPr>
                <w:rFonts w:ascii="Arial" w:cs="Arial" w:eastAsia="Arial" w:hAnsi="Arial"/>
                <w:sz w:val="17"/>
                <w:szCs w:val="17"/>
                <w:color w:val="auto"/>
              </w:rPr>
              <w:t>II-5</w:t>
            </w:r>
          </w:p>
        </w:tc>
      </w:tr>
      <w:tr>
        <w:trPr>
          <w:trHeight w:val="222"/>
        </w:trPr>
        <w:tc>
          <w:tcPr>
            <w:tcW w:w="114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3280"/>
        <w:spacing w:after="0"/>
        <w:tabs>
          <w:tab w:leader="none" w:pos="808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30714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714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80" w:type="dxa"/>
            <w:vAlign w:val="bottom"/>
          </w:tcPr>
          <w:p>
            <w:pPr>
              <w:jc w:val="center"/>
              <w:ind w:right="95"/>
              <w:spacing w:after="0"/>
              <w:rPr>
                <w:sz w:val="20"/>
                <w:szCs w:val="20"/>
                <w:color w:val="auto"/>
              </w:rPr>
            </w:pPr>
            <w:r>
              <w:rPr>
                <w:rFonts w:ascii="Arial" w:cs="Arial" w:eastAsia="Arial" w:hAnsi="Arial"/>
                <w:sz w:val="17"/>
                <w:szCs w:val="17"/>
                <w:color w:val="auto"/>
                <w:w w:val="94"/>
              </w:rPr>
              <w:t>Alex Ignatiev,</w:t>
            </w:r>
          </w:p>
        </w:tc>
        <w:tc>
          <w:tcPr>
            <w:tcW w:w="540" w:type="dxa"/>
            <w:vAlign w:val="bottom"/>
          </w:tcPr>
          <w:p>
            <w:pPr>
              <w:spacing w:after="0"/>
              <w:rPr>
                <w:sz w:val="18"/>
                <w:szCs w:val="18"/>
                <w:color w:val="auto"/>
              </w:rPr>
            </w:pPr>
          </w:p>
        </w:tc>
        <w:tc>
          <w:tcPr>
            <w:tcW w:w="5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80" w:type="dxa"/>
            <w:vAlign w:val="bottom"/>
          </w:tcPr>
          <w:p>
            <w:pPr>
              <w:jc w:val="center"/>
              <w:ind w:right="115"/>
              <w:spacing w:after="0"/>
              <w:rPr>
                <w:sz w:val="20"/>
                <w:szCs w:val="20"/>
                <w:color w:val="auto"/>
              </w:rPr>
            </w:pPr>
            <w:r>
              <w:rPr>
                <w:rFonts w:ascii="Arial" w:cs="Arial" w:eastAsia="Arial" w:hAnsi="Arial"/>
                <w:sz w:val="17"/>
                <w:szCs w:val="17"/>
                <w:i w:val="1"/>
                <w:iCs w:val="1"/>
                <w:color w:val="auto"/>
                <w:w w:val="97"/>
              </w:rPr>
              <w:t>Director</w:t>
            </w:r>
          </w:p>
        </w:tc>
        <w:tc>
          <w:tcPr>
            <w:tcW w:w="540" w:type="dxa"/>
            <w:vAlign w:val="bottom"/>
          </w:tcPr>
          <w:p>
            <w:pPr>
              <w:spacing w:after="0"/>
              <w:rPr>
                <w:sz w:val="18"/>
                <w:szCs w:val="18"/>
                <w:color w:val="auto"/>
              </w:rPr>
            </w:pPr>
          </w:p>
        </w:tc>
        <w:tc>
          <w:tcPr>
            <w:tcW w:w="5440" w:type="dxa"/>
            <w:vAlign w:val="bottom"/>
          </w:tcPr>
          <w:p>
            <w:pPr>
              <w:ind w:left="1560"/>
              <w:spacing w:after="0"/>
              <w:rPr>
                <w:sz w:val="20"/>
                <w:szCs w:val="20"/>
                <w:color w:val="auto"/>
              </w:rPr>
            </w:pPr>
            <w:r>
              <w:rPr>
                <w:rFonts w:ascii="Arial" w:cs="Arial" w:eastAsia="Arial" w:hAnsi="Arial"/>
                <w:sz w:val="17"/>
                <w:szCs w:val="17"/>
                <w:color w:val="auto"/>
              </w:rPr>
              <w:t>September 20, 2013</w:t>
            </w:r>
          </w:p>
        </w:tc>
      </w:tr>
      <w:tr>
        <w:trPr>
          <w:trHeight w:val="419"/>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jc w:val="center"/>
              <w:ind w:right="9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80" w:type="dxa"/>
            <w:vAlign w:val="bottom"/>
          </w:tcPr>
          <w:p>
            <w:pPr>
              <w:jc w:val="center"/>
              <w:ind w:right="95"/>
              <w:spacing w:after="0"/>
              <w:rPr>
                <w:sz w:val="20"/>
                <w:szCs w:val="20"/>
                <w:color w:val="auto"/>
              </w:rPr>
            </w:pPr>
            <w:r>
              <w:rPr>
                <w:rFonts w:ascii="Arial" w:cs="Arial" w:eastAsia="Arial" w:hAnsi="Arial"/>
                <w:sz w:val="17"/>
                <w:szCs w:val="17"/>
                <w:color w:val="auto"/>
                <w:w w:val="95"/>
              </w:rPr>
              <w:t>Alan Moore,</w:t>
            </w:r>
          </w:p>
        </w:tc>
        <w:tc>
          <w:tcPr>
            <w:tcW w:w="540" w:type="dxa"/>
            <w:vAlign w:val="bottom"/>
          </w:tcPr>
          <w:p>
            <w:pPr>
              <w:spacing w:after="0"/>
              <w:rPr>
                <w:sz w:val="23"/>
                <w:szCs w:val="23"/>
                <w:color w:val="auto"/>
              </w:rPr>
            </w:pPr>
          </w:p>
        </w:tc>
        <w:tc>
          <w:tcPr>
            <w:tcW w:w="544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80" w:type="dxa"/>
            <w:vAlign w:val="bottom"/>
          </w:tcPr>
          <w:p>
            <w:pPr>
              <w:jc w:val="center"/>
              <w:ind w:right="115"/>
              <w:spacing w:after="0"/>
              <w:rPr>
                <w:sz w:val="20"/>
                <w:szCs w:val="20"/>
                <w:color w:val="auto"/>
              </w:rPr>
            </w:pPr>
            <w:r>
              <w:rPr>
                <w:rFonts w:ascii="Arial" w:cs="Arial" w:eastAsia="Arial" w:hAnsi="Arial"/>
                <w:sz w:val="17"/>
                <w:szCs w:val="17"/>
                <w:i w:val="1"/>
                <w:iCs w:val="1"/>
                <w:color w:val="auto"/>
                <w:w w:val="97"/>
              </w:rPr>
              <w:t>Director</w:t>
            </w:r>
          </w:p>
        </w:tc>
        <w:tc>
          <w:tcPr>
            <w:tcW w:w="540" w:type="dxa"/>
            <w:vAlign w:val="bottom"/>
          </w:tcPr>
          <w:p>
            <w:pPr>
              <w:spacing w:after="0"/>
              <w:rPr>
                <w:sz w:val="18"/>
                <w:szCs w:val="18"/>
                <w:color w:val="auto"/>
              </w:rPr>
            </w:pPr>
          </w:p>
        </w:tc>
        <w:tc>
          <w:tcPr>
            <w:tcW w:w="5440" w:type="dxa"/>
            <w:vAlign w:val="bottom"/>
          </w:tcPr>
          <w:p>
            <w:pPr>
              <w:ind w:left="1560"/>
              <w:spacing w:after="0"/>
              <w:rPr>
                <w:sz w:val="20"/>
                <w:szCs w:val="20"/>
                <w:color w:val="auto"/>
              </w:rPr>
            </w:pPr>
            <w:r>
              <w:rPr>
                <w:rFonts w:ascii="Arial" w:cs="Arial" w:eastAsia="Arial" w:hAnsi="Arial"/>
                <w:sz w:val="17"/>
                <w:szCs w:val="17"/>
                <w:color w:val="auto"/>
              </w:rPr>
              <w:t>September 20, 2013</w:t>
            </w:r>
          </w:p>
        </w:tc>
      </w:tr>
      <w:tr>
        <w:trPr>
          <w:trHeight w:val="419"/>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jc w:val="center"/>
              <w:ind w:right="9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80" w:type="dxa"/>
            <w:vAlign w:val="bottom"/>
          </w:tcPr>
          <w:p>
            <w:pPr>
              <w:jc w:val="center"/>
              <w:ind w:right="95"/>
              <w:spacing w:after="0"/>
              <w:rPr>
                <w:sz w:val="20"/>
                <w:szCs w:val="20"/>
                <w:color w:val="auto"/>
              </w:rPr>
            </w:pPr>
            <w:r>
              <w:rPr>
                <w:rFonts w:ascii="Arial" w:cs="Arial" w:eastAsia="Arial" w:hAnsi="Arial"/>
                <w:sz w:val="17"/>
                <w:szCs w:val="17"/>
                <w:color w:val="auto"/>
                <w:w w:val="96"/>
              </w:rPr>
              <w:t>Min-Chu (Mike) Chen,</w:t>
            </w:r>
          </w:p>
        </w:tc>
        <w:tc>
          <w:tcPr>
            <w:tcW w:w="540" w:type="dxa"/>
            <w:vAlign w:val="bottom"/>
          </w:tcPr>
          <w:p>
            <w:pPr>
              <w:spacing w:after="0"/>
              <w:rPr>
                <w:sz w:val="23"/>
                <w:szCs w:val="23"/>
                <w:color w:val="auto"/>
              </w:rPr>
            </w:pPr>
          </w:p>
        </w:tc>
        <w:tc>
          <w:tcPr>
            <w:tcW w:w="544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80" w:type="dxa"/>
            <w:vAlign w:val="bottom"/>
          </w:tcPr>
          <w:p>
            <w:pPr>
              <w:jc w:val="center"/>
              <w:ind w:right="115"/>
              <w:spacing w:after="0"/>
              <w:rPr>
                <w:sz w:val="20"/>
                <w:szCs w:val="20"/>
                <w:color w:val="auto"/>
              </w:rPr>
            </w:pPr>
            <w:r>
              <w:rPr>
                <w:rFonts w:ascii="Arial" w:cs="Arial" w:eastAsia="Arial" w:hAnsi="Arial"/>
                <w:sz w:val="17"/>
                <w:szCs w:val="17"/>
                <w:i w:val="1"/>
                <w:iCs w:val="1"/>
                <w:color w:val="auto"/>
                <w:w w:val="97"/>
              </w:rPr>
              <w:t>Director</w:t>
            </w:r>
          </w:p>
        </w:tc>
        <w:tc>
          <w:tcPr>
            <w:tcW w:w="540" w:type="dxa"/>
            <w:vAlign w:val="bottom"/>
          </w:tcPr>
          <w:p>
            <w:pPr>
              <w:spacing w:after="0"/>
              <w:rPr>
                <w:sz w:val="18"/>
                <w:szCs w:val="18"/>
                <w:color w:val="auto"/>
              </w:rPr>
            </w:pPr>
          </w:p>
        </w:tc>
        <w:tc>
          <w:tcPr>
            <w:tcW w:w="5440" w:type="dxa"/>
            <w:vAlign w:val="bottom"/>
          </w:tcPr>
          <w:p>
            <w:pPr>
              <w:ind w:left="1560"/>
              <w:spacing w:after="0"/>
              <w:rPr>
                <w:sz w:val="20"/>
                <w:szCs w:val="20"/>
                <w:color w:val="auto"/>
              </w:rPr>
            </w:pPr>
            <w:r>
              <w:rPr>
                <w:rFonts w:ascii="Arial" w:cs="Arial" w:eastAsia="Arial" w:hAnsi="Arial"/>
                <w:sz w:val="17"/>
                <w:szCs w:val="17"/>
                <w:color w:val="auto"/>
              </w:rPr>
              <w:t>September 20, 2013</w:t>
            </w:r>
          </w:p>
        </w:tc>
      </w:tr>
      <w:tr>
        <w:trPr>
          <w:trHeight w:val="446"/>
        </w:trPr>
        <w:tc>
          <w:tcPr>
            <w:tcW w:w="114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7"/>
                <w:szCs w:val="17"/>
                <w:color w:val="auto"/>
              </w:rPr>
              <w:t>*By:</w:t>
            </w:r>
          </w:p>
        </w:tc>
        <w:tc>
          <w:tcPr>
            <w:tcW w:w="3580" w:type="dxa"/>
            <w:vAlign w:val="bottom"/>
          </w:tcPr>
          <w:p>
            <w:pPr>
              <w:jc w:val="center"/>
              <w:ind w:left="435"/>
              <w:spacing w:after="0"/>
              <w:rPr>
                <w:sz w:val="20"/>
                <w:szCs w:val="20"/>
                <w:color w:val="auto"/>
              </w:rPr>
            </w:pPr>
            <w:r>
              <w:rPr>
                <w:rFonts w:ascii="Arial" w:cs="Arial" w:eastAsia="Arial" w:hAnsi="Arial"/>
                <w:sz w:val="17"/>
                <w:szCs w:val="17"/>
                <w:color w:val="auto"/>
                <w:w w:val="97"/>
              </w:rPr>
              <w:t>/s/ CHIH-HSIANG (THOMPSON) LIN</w:t>
            </w:r>
          </w:p>
        </w:tc>
        <w:tc>
          <w:tcPr>
            <w:tcW w:w="5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r>
      <w:tr>
        <w:trPr>
          <w:trHeight w:val="273"/>
        </w:trPr>
        <w:tc>
          <w:tcPr>
            <w:tcW w:w="1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80" w:type="dxa"/>
            <w:vAlign w:val="bottom"/>
          </w:tcPr>
          <w:p>
            <w:pPr>
              <w:jc w:val="center"/>
              <w:ind w:left="455"/>
              <w:spacing w:after="0"/>
              <w:rPr>
                <w:sz w:val="20"/>
                <w:szCs w:val="20"/>
                <w:color w:val="auto"/>
              </w:rPr>
            </w:pPr>
            <w:r>
              <w:rPr>
                <w:rFonts w:ascii="Arial" w:cs="Arial" w:eastAsia="Arial" w:hAnsi="Arial"/>
                <w:sz w:val="17"/>
                <w:szCs w:val="17"/>
                <w:color w:val="auto"/>
                <w:w w:val="93"/>
              </w:rPr>
              <w:t>Chih-Hsiang (Thompson) Lin,</w:t>
            </w:r>
          </w:p>
        </w:tc>
        <w:tc>
          <w:tcPr>
            <w:tcW w:w="540" w:type="dxa"/>
            <w:vAlign w:val="bottom"/>
          </w:tcPr>
          <w:p>
            <w:pPr>
              <w:spacing w:after="0"/>
              <w:rPr>
                <w:sz w:val="23"/>
                <w:szCs w:val="23"/>
                <w:color w:val="auto"/>
              </w:rPr>
            </w:pPr>
          </w:p>
        </w:tc>
        <w:tc>
          <w:tcPr>
            <w:tcW w:w="544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80" w:type="dxa"/>
            <w:vAlign w:val="bottom"/>
          </w:tcPr>
          <w:p>
            <w:pPr>
              <w:jc w:val="center"/>
              <w:ind w:left="435"/>
              <w:spacing w:after="0"/>
              <w:rPr>
                <w:sz w:val="20"/>
                <w:szCs w:val="20"/>
                <w:color w:val="auto"/>
              </w:rPr>
            </w:pPr>
            <w:r>
              <w:rPr>
                <w:rFonts w:ascii="Arial" w:cs="Arial" w:eastAsia="Arial" w:hAnsi="Arial"/>
                <w:sz w:val="17"/>
                <w:szCs w:val="17"/>
                <w:i w:val="1"/>
                <w:iCs w:val="1"/>
                <w:color w:val="auto"/>
                <w:w w:val="94"/>
              </w:rPr>
              <w:t>Attorney-in Fact</w:t>
            </w:r>
          </w:p>
        </w:tc>
        <w:tc>
          <w:tcPr>
            <w:tcW w:w="540" w:type="dxa"/>
            <w:vAlign w:val="bottom"/>
          </w:tcPr>
          <w:p>
            <w:pPr>
              <w:spacing w:after="0"/>
              <w:rPr>
                <w:sz w:val="18"/>
                <w:szCs w:val="18"/>
                <w:color w:val="auto"/>
              </w:rPr>
            </w:pPr>
          </w:p>
        </w:tc>
        <w:tc>
          <w:tcPr>
            <w:tcW w:w="5440" w:type="dxa"/>
            <w:vAlign w:val="bottom"/>
          </w:tcPr>
          <w:p>
            <w:pPr>
              <w:spacing w:after="0"/>
              <w:rPr>
                <w:sz w:val="18"/>
                <w:szCs w:val="18"/>
                <w:color w:val="auto"/>
              </w:rPr>
            </w:pPr>
          </w:p>
        </w:tc>
      </w:tr>
      <w:tr>
        <w:trPr>
          <w:trHeight w:val="419"/>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980" w:type="dxa"/>
            <w:vAlign w:val="bottom"/>
            <w:gridSpan w:val="2"/>
          </w:tcPr>
          <w:p>
            <w:pPr>
              <w:ind w:left="140"/>
              <w:spacing w:after="0"/>
              <w:rPr>
                <w:sz w:val="20"/>
                <w:szCs w:val="20"/>
                <w:color w:val="auto"/>
              </w:rPr>
            </w:pPr>
            <w:r>
              <w:rPr>
                <w:rFonts w:ascii="Arial" w:cs="Arial" w:eastAsia="Arial" w:hAnsi="Arial"/>
                <w:sz w:val="17"/>
                <w:szCs w:val="17"/>
                <w:color w:val="auto"/>
              </w:rPr>
              <w:t>II-6</w:t>
            </w:r>
          </w:p>
        </w:tc>
      </w:tr>
      <w:tr>
        <w:trPr>
          <w:trHeight w:val="222"/>
        </w:trPr>
        <w:tc>
          <w:tcPr>
            <w:tcW w:w="1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EXHIBIT INDEX</w:t>
      </w:r>
    </w:p>
    <w:p>
      <w:pPr>
        <w:spacing w:after="0" w:line="224" w:lineRule="exact"/>
        <w:rPr>
          <w:sz w:val="20"/>
          <w:szCs w:val="20"/>
          <w:color w:val="auto"/>
        </w:rPr>
      </w:pPr>
    </w:p>
    <w:p>
      <w:pPr>
        <w:ind w:left="140"/>
        <w:spacing w:after="0"/>
        <w:tabs>
          <w:tab w:leader="none" w:pos="590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520"/>
        <w:spacing w:after="0"/>
        <w:tabs>
          <w:tab w:leader="none" w:pos="10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21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Certificate of Incorporation of the registrant, as currently in effect</w:t>
      </w:r>
    </w:p>
    <w:p>
      <w:pPr>
        <w:spacing w:after="0" w:line="224"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Certificate of Amendment to the Certificate of Incorporation of the registrant, as filed on August 20, 2013</w:t>
      </w:r>
    </w:p>
    <w:p>
      <w:pPr>
        <w:spacing w:after="0" w:line="224" w:lineRule="exact"/>
        <w:rPr>
          <w:sz w:val="20"/>
          <w:szCs w:val="20"/>
          <w:color w:val="auto"/>
        </w:rPr>
      </w:pPr>
    </w:p>
    <w:p>
      <w:pPr>
        <w:ind w:left="1060" w:right="160" w:hanging="527"/>
        <w:spacing w:after="0" w:line="282" w:lineRule="auto"/>
        <w:tabs>
          <w:tab w:leader="none" w:pos="1040" w:val="left"/>
        </w:tabs>
        <w:rPr>
          <w:sz w:val="20"/>
          <w:szCs w:val="20"/>
          <w:color w:val="auto"/>
        </w:rPr>
      </w:pPr>
      <w:r>
        <w:rPr>
          <w:rFonts w:ascii="Arial" w:cs="Arial" w:eastAsia="Arial" w:hAnsi="Arial"/>
          <w:sz w:val="17"/>
          <w:szCs w:val="17"/>
          <w:color w:val="auto"/>
        </w:rPr>
        <w:t>3.2†</w:t>
        <w:tab/>
        <w:t>Form of Amended and Restated Certificate of Incorporation of the registrant, to be filed immediately prior to the closing of this offering with the Delaware Secretary of State</w:t>
      </w:r>
    </w:p>
    <w:p>
      <w:pPr>
        <w:spacing w:after="0" w:line="17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Bylaws of the registrant, as currently in effect</w:t>
      </w:r>
    </w:p>
    <w:p>
      <w:pPr>
        <w:spacing w:after="0" w:line="22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Form of Amended and Restated Bylaws of the registrant, to be in effect immediately prior to the closing of this offering</w:t>
      </w:r>
    </w:p>
    <w:p>
      <w:pPr>
        <w:spacing w:after="0" w:line="22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Registration Rights Agreement</w:t>
      </w:r>
    </w:p>
    <w:p>
      <w:pPr>
        <w:spacing w:after="0" w:line="22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Form of Stockholders' Agreement</w:t>
      </w:r>
    </w:p>
    <w:p>
      <w:pPr>
        <w:spacing w:after="0" w:line="22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Opinion of DLA Piper LLP (US)</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Indemnification Agreement between the registrant each of its Directors and certain of its Executive Officers</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1998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5"/>
          <w:szCs w:val="15"/>
          <w:color w:val="auto"/>
        </w:rPr>
        <w:t>Form of Stock Option Agreement under 1998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5"/>
          <w:szCs w:val="15"/>
          <w:color w:val="auto"/>
        </w:rPr>
        <w:t>Form of Stock Option Agreement under 1998 Incentive Share Plan</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2000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5"/>
          <w:szCs w:val="15"/>
          <w:color w:val="auto"/>
        </w:rPr>
        <w:t>Form of Stock Option Agreement under 2000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5"/>
          <w:szCs w:val="15"/>
          <w:color w:val="auto"/>
        </w:rPr>
        <w:t>Form of Stock Option Agreement under 2000 Incentive Share Plan</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2004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5"/>
          <w:szCs w:val="15"/>
          <w:color w:val="auto"/>
        </w:rPr>
        <w:t>Form of Stock Option Agreement under 2004 Incentive Share Plan</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5"/>
          <w:szCs w:val="15"/>
          <w:color w:val="auto"/>
        </w:rPr>
        <w:t>2006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10.5.1††</w:t>
      </w:r>
      <w:r>
        <w:rPr>
          <w:sz w:val="20"/>
          <w:szCs w:val="20"/>
          <w:color w:val="auto"/>
        </w:rPr>
        <w:tab/>
      </w:r>
      <w:r>
        <w:rPr>
          <w:rFonts w:ascii="Arial" w:cs="Arial" w:eastAsia="Arial" w:hAnsi="Arial"/>
          <w:sz w:val="15"/>
          <w:szCs w:val="15"/>
          <w:color w:val="auto"/>
        </w:rPr>
        <w:t>First Amendment to 2006 Incentive Share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10.5.2†</w:t>
      </w:r>
      <w:r>
        <w:rPr>
          <w:sz w:val="20"/>
          <w:szCs w:val="20"/>
          <w:color w:val="auto"/>
        </w:rPr>
        <w:tab/>
      </w:r>
      <w:r>
        <w:rPr>
          <w:rFonts w:ascii="Arial" w:cs="Arial" w:eastAsia="Arial" w:hAnsi="Arial"/>
          <w:sz w:val="15"/>
          <w:szCs w:val="15"/>
          <w:color w:val="auto"/>
        </w:rPr>
        <w:t>Form of Stock Option Agreement under 2006 Incentive Share Plan</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2013 Equity Incentive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10.6.1†</w:t>
      </w:r>
      <w:r>
        <w:rPr>
          <w:sz w:val="20"/>
          <w:szCs w:val="20"/>
          <w:color w:val="auto"/>
        </w:rPr>
        <w:tab/>
      </w:r>
      <w:r>
        <w:rPr>
          <w:rFonts w:ascii="Arial" w:cs="Arial" w:eastAsia="Arial" w:hAnsi="Arial"/>
          <w:sz w:val="15"/>
          <w:szCs w:val="15"/>
          <w:color w:val="auto"/>
        </w:rPr>
        <w:t>Form of Restricted Stock Award Agreement under 2013 Equity Incentive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10.6.2†</w:t>
      </w:r>
      <w:r>
        <w:rPr>
          <w:sz w:val="20"/>
          <w:szCs w:val="20"/>
          <w:color w:val="auto"/>
        </w:rPr>
        <w:tab/>
      </w:r>
      <w:r>
        <w:rPr>
          <w:rFonts w:ascii="Arial" w:cs="Arial" w:eastAsia="Arial" w:hAnsi="Arial"/>
          <w:sz w:val="15"/>
          <w:szCs w:val="15"/>
          <w:color w:val="auto"/>
        </w:rPr>
        <w:t>Form of Restricted Stock Unit Award Agreement under 2013 Equity Incentive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10.6.3†</w:t>
      </w:r>
      <w:r>
        <w:rPr>
          <w:sz w:val="20"/>
          <w:szCs w:val="20"/>
          <w:color w:val="auto"/>
        </w:rPr>
        <w:tab/>
      </w:r>
      <w:r>
        <w:rPr>
          <w:rFonts w:ascii="Arial" w:cs="Arial" w:eastAsia="Arial" w:hAnsi="Arial"/>
          <w:sz w:val="15"/>
          <w:szCs w:val="15"/>
          <w:color w:val="auto"/>
        </w:rPr>
        <w:t>Form of Stock Appreciation Right Award Agreement under 2013 Equity Incentive Plan</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10.6.4†</w:t>
      </w:r>
      <w:r>
        <w:rPr>
          <w:sz w:val="20"/>
          <w:szCs w:val="20"/>
          <w:color w:val="auto"/>
        </w:rPr>
        <w:tab/>
      </w:r>
      <w:r>
        <w:rPr>
          <w:rFonts w:ascii="Arial" w:cs="Arial" w:eastAsia="Arial" w:hAnsi="Arial"/>
          <w:sz w:val="15"/>
          <w:szCs w:val="15"/>
          <w:color w:val="auto"/>
        </w:rPr>
        <w:t>Form of Notice of Stock Option Award and Stock Option Award Agreement under 2013 Equity Incentive Plan</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Lease Agreement effective May 1, 2012 between the registrant and 12808 W. Airport, LLC</w:t>
      </w:r>
    </w:p>
    <w:p>
      <w:pPr>
        <w:spacing w:after="0" w:line="22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7"/>
          <w:szCs w:val="17"/>
          <w:color w:val="auto"/>
        </w:rPr>
        <w:t>10.7.1†</w:t>
      </w:r>
      <w:r>
        <w:rPr>
          <w:sz w:val="20"/>
          <w:szCs w:val="20"/>
          <w:color w:val="auto"/>
        </w:rPr>
        <w:tab/>
      </w:r>
      <w:r>
        <w:rPr>
          <w:rFonts w:ascii="Arial" w:cs="Arial" w:eastAsia="Arial" w:hAnsi="Arial"/>
          <w:sz w:val="15"/>
          <w:szCs w:val="15"/>
          <w:color w:val="auto"/>
        </w:rPr>
        <w:t>First Amendment to Lease Agreement effective June 15, 2012 between the registrant and 12808 W. Airport, LLC</w:t>
      </w:r>
    </w:p>
    <w:p>
      <w:pPr>
        <w:spacing w:after="0" w:line="224" w:lineRule="exact"/>
        <w:rPr>
          <w:sz w:val="20"/>
          <w:szCs w:val="20"/>
          <w:color w:val="auto"/>
        </w:rPr>
      </w:pPr>
    </w:p>
    <w:p>
      <w:pPr>
        <w:ind w:left="1060" w:hanging="612"/>
        <w:spacing w:after="0" w:line="282" w:lineRule="auto"/>
        <w:tabs>
          <w:tab w:leader="none" w:pos="1040" w:val="left"/>
        </w:tabs>
        <w:rPr>
          <w:sz w:val="20"/>
          <w:szCs w:val="20"/>
          <w:color w:val="auto"/>
        </w:rPr>
      </w:pPr>
      <w:r>
        <w:rPr>
          <w:rFonts w:ascii="Arial" w:cs="Arial" w:eastAsia="Arial" w:hAnsi="Arial"/>
          <w:sz w:val="17"/>
          <w:szCs w:val="17"/>
          <w:color w:val="auto"/>
        </w:rPr>
        <w:t>10.8†</w:t>
        <w:tab/>
        <w:t>Translation of Chinese lease agreement dated January 10, 2012 between the registrant and Admiral Overseas Corporation for space on 4F, NO.700, Jhongjheng Rd., Jhonghe District, New Taipei City 23552, Taiwan (R.O.C.)</w:t>
      </w:r>
    </w:p>
    <w:p>
      <w:pPr>
        <w:spacing w:after="0" w:line="170" w:lineRule="exact"/>
        <w:rPr>
          <w:sz w:val="20"/>
          <w:szCs w:val="20"/>
          <w:color w:val="auto"/>
        </w:rPr>
      </w:pPr>
    </w:p>
    <w:p>
      <w:pPr>
        <w:ind w:left="1060" w:right="120" w:hanging="612"/>
        <w:spacing w:after="0" w:line="282" w:lineRule="auto"/>
        <w:tabs>
          <w:tab w:leader="none" w:pos="1040" w:val="left"/>
        </w:tabs>
        <w:rPr>
          <w:sz w:val="20"/>
          <w:szCs w:val="20"/>
          <w:color w:val="auto"/>
        </w:rPr>
      </w:pPr>
      <w:r>
        <w:rPr>
          <w:rFonts w:ascii="Arial" w:cs="Arial" w:eastAsia="Arial" w:hAnsi="Arial"/>
          <w:sz w:val="17"/>
          <w:szCs w:val="17"/>
          <w:color w:val="auto"/>
        </w:rPr>
        <w:t>10.9†</w:t>
        <w:tab/>
        <w:t>Translation of Chinese lease agreement dated April 1, 2012 between the registrant and Admiral Overseas Corporation for space on 6-7F, NO.700, Jhongjheng Rd., Jhonghe District, New Taipei City 23552, Taiwan (R.O.C.)</w:t>
      </w:r>
    </w:p>
    <w:p>
      <w:pPr>
        <w:spacing w:after="0" w:line="170"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5"/>
          <w:szCs w:val="15"/>
          <w:color w:val="auto"/>
        </w:rPr>
        <w:t>Amended and Restated Loan and Security Agreement effective May 20, 2009 between registrant and United Commercial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212090</wp:posOffset>
            </wp:positionV>
            <wp:extent cx="72548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left="140"/>
        <w:spacing w:after="0"/>
        <w:tabs>
          <w:tab w:leader="none" w:pos="590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504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ind w:left="1060" w:right="340" w:hanging="825"/>
        <w:spacing w:after="0" w:line="273" w:lineRule="auto"/>
        <w:tabs>
          <w:tab w:leader="none" w:pos="1040" w:val="left"/>
        </w:tabs>
        <w:rPr>
          <w:sz w:val="20"/>
          <w:szCs w:val="20"/>
          <w:color w:val="auto"/>
        </w:rPr>
      </w:pPr>
      <w:r>
        <w:rPr>
          <w:rFonts w:ascii="Arial" w:cs="Arial" w:eastAsia="Arial" w:hAnsi="Arial"/>
          <w:sz w:val="17"/>
          <w:szCs w:val="17"/>
          <w:color w:val="auto"/>
        </w:rPr>
        <w:t>10.10.1†</w:t>
        <w:tab/>
        <w:t>First Amendment to Amended and Restated Loan and Security Agreement effective May 3, 2010 between the registrant and East West Bank (as successor in interest to United Commercial Bank)</w:t>
      </w:r>
    </w:p>
    <w:p>
      <w:pPr>
        <w:spacing w:after="0" w:line="177"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10.10.2†</w:t>
      </w:r>
      <w:r>
        <w:rPr>
          <w:sz w:val="20"/>
          <w:szCs w:val="20"/>
          <w:color w:val="auto"/>
        </w:rPr>
        <w:tab/>
      </w:r>
      <w:r>
        <w:rPr>
          <w:rFonts w:ascii="Arial" w:cs="Arial" w:eastAsia="Arial" w:hAnsi="Arial"/>
          <w:sz w:val="15"/>
          <w:szCs w:val="15"/>
          <w:color w:val="auto"/>
        </w:rPr>
        <w:t>Second Amendment to Amended and Restated Loan and Security Agreement effective October 28, 2010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10.10.3†</w:t>
      </w:r>
      <w:r>
        <w:rPr>
          <w:sz w:val="20"/>
          <w:szCs w:val="20"/>
          <w:color w:val="auto"/>
        </w:rPr>
        <w:tab/>
      </w:r>
      <w:r>
        <w:rPr>
          <w:rFonts w:ascii="Arial" w:cs="Arial" w:eastAsia="Arial" w:hAnsi="Arial"/>
          <w:sz w:val="15"/>
          <w:szCs w:val="15"/>
          <w:color w:val="auto"/>
        </w:rPr>
        <w:t>Third Amendment to Amended and Restated Loan and Security Agreement effective December 6, 2010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10.10.4†</w:t>
      </w:r>
      <w:r>
        <w:rPr>
          <w:sz w:val="20"/>
          <w:szCs w:val="20"/>
          <w:color w:val="auto"/>
        </w:rPr>
        <w:tab/>
      </w:r>
      <w:r>
        <w:rPr>
          <w:rFonts w:ascii="Arial" w:cs="Arial" w:eastAsia="Arial" w:hAnsi="Arial"/>
          <w:sz w:val="15"/>
          <w:szCs w:val="15"/>
          <w:color w:val="auto"/>
        </w:rPr>
        <w:t>Fourth Amendment to Amended and Restated Loan and Security Agreement effective May 5, 2011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10.10.5†</w:t>
      </w:r>
      <w:r>
        <w:rPr>
          <w:sz w:val="20"/>
          <w:szCs w:val="20"/>
          <w:color w:val="auto"/>
        </w:rPr>
        <w:tab/>
      </w:r>
      <w:r>
        <w:rPr>
          <w:rFonts w:ascii="Arial" w:cs="Arial" w:eastAsia="Arial" w:hAnsi="Arial"/>
          <w:sz w:val="15"/>
          <w:szCs w:val="15"/>
          <w:color w:val="auto"/>
        </w:rPr>
        <w:t>Fifth Amendment to Amended and Restated Loan and Security Agreement effective November 30, 2011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10.10.6†</w:t>
      </w:r>
      <w:r>
        <w:rPr>
          <w:sz w:val="20"/>
          <w:szCs w:val="20"/>
          <w:color w:val="auto"/>
        </w:rPr>
        <w:tab/>
      </w:r>
      <w:r>
        <w:rPr>
          <w:rFonts w:ascii="Arial" w:cs="Arial" w:eastAsia="Arial" w:hAnsi="Arial"/>
          <w:sz w:val="15"/>
          <w:szCs w:val="15"/>
          <w:color w:val="auto"/>
        </w:rPr>
        <w:t>Sixth Amendment to Amended and Restated Loan and Security Agreement effective March 29, 2012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10.10.7†</w:t>
      </w:r>
      <w:r>
        <w:rPr>
          <w:sz w:val="20"/>
          <w:szCs w:val="20"/>
          <w:color w:val="auto"/>
        </w:rPr>
        <w:tab/>
      </w:r>
      <w:r>
        <w:rPr>
          <w:rFonts w:ascii="Arial" w:cs="Arial" w:eastAsia="Arial" w:hAnsi="Arial"/>
          <w:sz w:val="15"/>
          <w:szCs w:val="15"/>
          <w:color w:val="auto"/>
        </w:rPr>
        <w:t>Seventh Amendment to Amended and Restated Loan and Security Agreement effective June 29, 2012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10.10.8†</w:t>
      </w:r>
      <w:r>
        <w:rPr>
          <w:sz w:val="20"/>
          <w:szCs w:val="20"/>
          <w:color w:val="auto"/>
        </w:rPr>
        <w:tab/>
      </w:r>
      <w:r>
        <w:rPr>
          <w:rFonts w:ascii="Arial" w:cs="Arial" w:eastAsia="Arial" w:hAnsi="Arial"/>
          <w:sz w:val="15"/>
          <w:szCs w:val="15"/>
          <w:color w:val="auto"/>
        </w:rPr>
        <w:t>Eighth Amendment to Amended and Restated Loan and Security Agreement effective November 2, 2012 between the registrant and East West Bank</w:t>
      </w:r>
    </w:p>
    <w:p>
      <w:pPr>
        <w:spacing w:after="0" w:line="224"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7"/>
          <w:szCs w:val="17"/>
          <w:color w:val="auto"/>
        </w:rPr>
        <w:t>10.10.9†</w:t>
      </w:r>
      <w:r>
        <w:rPr>
          <w:sz w:val="20"/>
          <w:szCs w:val="20"/>
          <w:color w:val="auto"/>
        </w:rPr>
        <w:tab/>
      </w:r>
      <w:r>
        <w:rPr>
          <w:rFonts w:ascii="Arial" w:cs="Arial" w:eastAsia="Arial" w:hAnsi="Arial"/>
          <w:sz w:val="15"/>
          <w:szCs w:val="15"/>
          <w:color w:val="auto"/>
        </w:rPr>
        <w:t>Ninth Amendment to Amended and Restated Loan and Security Agreement effective April 11, 2013 between the registrant and East West Bank</w:t>
      </w:r>
    </w:p>
    <w:p>
      <w:pPr>
        <w:spacing w:after="0" w:line="224"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7"/>
          <w:szCs w:val="17"/>
          <w:color w:val="auto"/>
        </w:rPr>
        <w:t>10.10.10</w:t>
      </w:r>
      <w:r>
        <w:rPr>
          <w:sz w:val="20"/>
          <w:szCs w:val="20"/>
          <w:color w:val="auto"/>
        </w:rPr>
        <w:tab/>
      </w:r>
      <w:r>
        <w:rPr>
          <w:rFonts w:ascii="Arial" w:cs="Arial" w:eastAsia="Arial" w:hAnsi="Arial"/>
          <w:sz w:val="15"/>
          <w:szCs w:val="15"/>
          <w:color w:val="auto"/>
        </w:rPr>
        <w:t>Tenth Amendment to Amended and Restated Loan and Security Agreement effective September 10, 2013 between the registrant and East West Bank</w:t>
      </w:r>
    </w:p>
    <w:p>
      <w:pPr>
        <w:spacing w:after="0" w:line="22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5"/>
          <w:szCs w:val="15"/>
          <w:color w:val="auto"/>
        </w:rPr>
        <w:t>Translation of Chinese form of RMB Working Capital Loan Agreement between the Global Technology Inc. and China Construction Bank</w:t>
      </w:r>
    </w:p>
    <w:p>
      <w:pPr>
        <w:spacing w:after="0" w:line="224" w:lineRule="exact"/>
        <w:rPr>
          <w:sz w:val="20"/>
          <w:szCs w:val="20"/>
          <w:color w:val="auto"/>
        </w:rPr>
      </w:pPr>
    </w:p>
    <w:p>
      <w:pPr>
        <w:ind w:left="1060" w:right="420" w:hanging="697"/>
        <w:spacing w:after="0" w:line="282" w:lineRule="auto"/>
        <w:tabs>
          <w:tab w:leader="none" w:pos="1040" w:val="left"/>
        </w:tabs>
        <w:rPr>
          <w:sz w:val="20"/>
          <w:szCs w:val="20"/>
          <w:color w:val="auto"/>
        </w:rPr>
      </w:pPr>
      <w:r>
        <w:rPr>
          <w:rFonts w:ascii="Arial" w:cs="Arial" w:eastAsia="Arial" w:hAnsi="Arial"/>
          <w:sz w:val="17"/>
          <w:szCs w:val="17"/>
          <w:color w:val="auto"/>
        </w:rPr>
        <w:t>10.12†</w:t>
        <w:tab/>
        <w:t>Employment Agreement regarding Change of Control or Separation of Service between the registrant and Chih-Hsiang (Thompson) Lin, dated January 28, 2007</w:t>
      </w:r>
    </w:p>
    <w:p>
      <w:pPr>
        <w:spacing w:after="0" w:line="170" w:lineRule="exact"/>
        <w:rPr>
          <w:sz w:val="20"/>
          <w:szCs w:val="20"/>
          <w:color w:val="auto"/>
        </w:rPr>
      </w:pPr>
    </w:p>
    <w:p>
      <w:pPr>
        <w:ind w:left="1060" w:right="420" w:hanging="825"/>
        <w:spacing w:after="0" w:line="282" w:lineRule="auto"/>
        <w:tabs>
          <w:tab w:leader="none" w:pos="1040" w:val="left"/>
        </w:tabs>
        <w:rPr>
          <w:sz w:val="20"/>
          <w:szCs w:val="20"/>
          <w:color w:val="auto"/>
        </w:rPr>
      </w:pPr>
      <w:r>
        <w:rPr>
          <w:rFonts w:ascii="Arial" w:cs="Arial" w:eastAsia="Arial" w:hAnsi="Arial"/>
          <w:sz w:val="17"/>
          <w:szCs w:val="17"/>
          <w:color w:val="auto"/>
        </w:rPr>
        <w:t>10.12.1†</w:t>
        <w:tab/>
        <w:t>Amended and Restated Employment Agreement regarding Change of Control or Separation of Service between the registrant and Chih-Hsiang (Thompson) Lin, dated April 16, 2013</w:t>
      </w:r>
    </w:p>
    <w:p>
      <w:pPr>
        <w:spacing w:after="0" w:line="170"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5"/>
          <w:szCs w:val="15"/>
          <w:color w:val="auto"/>
        </w:rPr>
        <w:t>Employment Agreement regarding Change of Control or Separation of Service between the registrant and Stefan J. Murry, dated January 28, 2007</w:t>
      </w:r>
    </w:p>
    <w:p>
      <w:pPr>
        <w:spacing w:after="0" w:line="22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5"/>
          <w:szCs w:val="15"/>
          <w:color w:val="auto"/>
        </w:rPr>
        <w:t>Employment Agreement regarding Change of Control or Separation of Service between the registrant and Shu-Hua (Joshua) Yeh, dated June 1, 2012</w:t>
      </w:r>
    </w:p>
    <w:p>
      <w:pPr>
        <w:spacing w:after="0" w:line="22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Employment Agreement between the registrant and James L. Dunn, Jr., dated April 16, 2013</w:t>
      </w:r>
    </w:p>
    <w:p>
      <w:pPr>
        <w:spacing w:after="0" w:line="22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5"/>
          <w:szCs w:val="15"/>
          <w:color w:val="auto"/>
        </w:rPr>
        <w:t>Employment Agreement between the registrant and Hung-Lun (Fred) Chang, dated April 16, 2013</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Subsidiaries of the registrant</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Grant Thornton LLP</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Consent of DLA Piper LLP (US) (included in Exhibit 5.1)</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color w:val="auto"/>
        </w:rPr>
        <w:t>Consent of Ovum Limited</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5"/>
          <w:szCs w:val="15"/>
          <w:color w:val="auto"/>
        </w:rPr>
        <w:t>Consent of Adams Capital Inc.</w:t>
      </w:r>
    </w:p>
    <w:p>
      <w:pPr>
        <w:spacing w:after="0" w:line="224"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 of Attorney (see page II-5 to the original filing of this registration statement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6814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309" w:lineRule="exact"/>
        <w:rPr>
          <w:sz w:val="20"/>
          <w:szCs w:val="20"/>
          <w:color w:val="auto"/>
        </w:rPr>
      </w:pPr>
    </w:p>
    <w:p>
      <w:pPr>
        <w:ind w:left="520" w:hanging="515"/>
        <w:spacing w:after="0"/>
        <w:tabs>
          <w:tab w:leader="none" w:pos="5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Included with Registration Statement on Form S-1 filed on August 13, 2013.</w:t>
      </w:r>
    </w:p>
    <w:p>
      <w:pPr>
        <w:spacing w:after="0" w:line="126" w:lineRule="exact"/>
        <w:rPr>
          <w:sz w:val="20"/>
          <w:szCs w:val="20"/>
          <w:color w:val="auto"/>
        </w:rPr>
      </w:pPr>
    </w:p>
    <w:p>
      <w:pPr>
        <w:ind w:left="520" w:hanging="515"/>
        <w:spacing w:after="0"/>
        <w:tabs>
          <w:tab w:leader="none" w:pos="5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Included with Amendment No. 1 to the Registration Statement on Form S-1 filed on August 27, 2013.</w:t>
      </w:r>
    </w:p>
    <w:p>
      <w:pPr>
        <w:spacing w:after="0" w:line="126" w:lineRule="exact"/>
        <w:rPr>
          <w:sz w:val="20"/>
          <w:szCs w:val="20"/>
          <w:color w:val="auto"/>
        </w:rPr>
      </w:pPr>
    </w:p>
    <w:p>
      <w:pPr>
        <w:ind w:left="520" w:hanging="515"/>
        <w:spacing w:after="0"/>
        <w:tabs>
          <w:tab w:leader="none" w:pos="52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Included with Amendment No. 2 to the Registration Statement on Form S-1 filed on September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04" w:name="page205"/>
    <w:bookmarkEnd w:id="2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5" w:name="page206"/>
    <w:bookmarkEnd w:id="205"/>
    <w:p>
      <w:pPr>
        <w:ind w:left="10600"/>
        <w:spacing w:after="0"/>
        <w:rPr>
          <w:sz w:val="20"/>
          <w:szCs w:val="20"/>
          <w:color w:val="auto"/>
        </w:rPr>
      </w:pPr>
      <w:r>
        <w:rPr>
          <w:rFonts w:ascii="Arial" w:cs="Arial" w:eastAsia="Arial" w:hAnsi="Arial"/>
          <w:sz w:val="16"/>
          <w:szCs w:val="16"/>
          <w:b w:val="1"/>
          <w:bCs w:val="1"/>
          <w:color w:val="auto"/>
        </w:rPr>
        <w:t>Exhibit 1.1</w:t>
      </w:r>
    </w:p>
    <w:p>
      <w:pPr>
        <w:spacing w:after="0" w:line="236"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Shares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APPLIED OPTOELECTRONICS, INC.</w:t>
      </w:r>
    </w:p>
    <w:p>
      <w:pPr>
        <w:spacing w:after="0" w:line="1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Common Stock</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UNDERWRITING AGREEMENT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St. Petersburg, Florida</w:t>
      </w:r>
    </w:p>
    <w:p>
      <w:pPr>
        <w:spacing w:after="0" w:line="26" w:lineRule="exact"/>
        <w:rPr>
          <w:sz w:val="20"/>
          <w:szCs w:val="20"/>
          <w:color w:val="auto"/>
        </w:rPr>
      </w:pPr>
    </w:p>
    <w:p>
      <w:pPr>
        <w:jc w:val="both"/>
        <w:ind w:left="9940"/>
        <w:spacing w:after="0"/>
        <w:tabs>
          <w:tab w:leader="none" w:pos="10960" w:val="left"/>
        </w:tabs>
        <w:rPr>
          <w:sz w:val="20"/>
          <w:szCs w:val="20"/>
          <w:color w:val="auto"/>
        </w:rPr>
      </w:pPr>
      <w:r>
        <w:rPr>
          <w:rFonts w:ascii="Arial" w:cs="Arial" w:eastAsia="Arial" w:hAnsi="Arial"/>
          <w:sz w:val="17"/>
          <w:szCs w:val="17"/>
          <w:color w:val="auto"/>
        </w:rPr>
        <w:t>September</w:t>
      </w:r>
      <w:r>
        <w:rPr>
          <w:sz w:val="20"/>
          <w:szCs w:val="20"/>
          <w:color w:val="auto"/>
        </w:rPr>
        <w:tab/>
      </w:r>
      <w:r>
        <w:rPr>
          <w:rFonts w:ascii="Arial" w:cs="Arial" w:eastAsia="Arial" w:hAnsi="Arial"/>
          <w:sz w:val="17"/>
          <w:szCs w:val="17"/>
          <w:color w:val="auto"/>
        </w:rPr>
        <w:t>, 2013</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Raymond James &amp; Associates,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of the Several Underwriters</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listed on Schedule I hereto</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Raymond James &amp; Associates,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880 Carillon Parkway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Petersburg, Florida 33716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Piper Jaffray &amp; Co.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8000 Nicollet Mall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 55402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20" w:firstLine="453"/>
        <w:spacing w:after="0" w:line="281" w:lineRule="auto"/>
        <w:rPr>
          <w:sz w:val="20"/>
          <w:szCs w:val="20"/>
          <w:color w:val="auto"/>
        </w:rPr>
      </w:pPr>
      <w:r>
        <w:rPr>
          <w:rFonts w:ascii="Arial" w:cs="Arial" w:eastAsia="Arial" w:hAnsi="Arial"/>
          <w:sz w:val="16"/>
          <w:szCs w:val="16"/>
          <w:color w:val="auto"/>
        </w:rPr>
        <w:t>Applied Optoelectronics,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subject to the terms and conditions stated herein, to issue and sell to the several Underwriters named in Schedule I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and certain stockholders of the Company named in Schedule II hereto (the “</w:t>
      </w:r>
      <w:r>
        <w:rPr>
          <w:rFonts w:ascii="Arial" w:cs="Arial" w:eastAsia="Arial" w:hAnsi="Arial"/>
          <w:sz w:val="16"/>
          <w:szCs w:val="16"/>
          <w:b w:val="1"/>
          <w:bCs w:val="1"/>
          <w:i w:val="1"/>
          <w:iCs w:val="1"/>
          <w:color w:val="auto"/>
        </w:rPr>
        <w:t>Selling</w:t>
      </w:r>
    </w:p>
    <w:p>
      <w:pPr>
        <w:spacing w:after="0" w:line="1"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 severally and not jointly propose, subject to the terms and conditions stated herein, to sell to the Underwriters, an aggregate of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all of which are to be issued and sold by the Company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addition, the Selling Stockholders have agreed to sell to the Underwriters, upon the terms and conditions stated herein, up to an additional shares of Common Stock (the “</w:t>
      </w:r>
      <w:r>
        <w:rPr>
          <w:rFonts w:ascii="Arial" w:cs="Arial" w:eastAsia="Arial" w:hAnsi="Arial"/>
          <w:sz w:val="17"/>
          <w:szCs w:val="17"/>
          <w:b w:val="1"/>
          <w:bCs w:val="1"/>
          <w:i w:val="1"/>
          <w:iCs w:val="1"/>
          <w:color w:val="auto"/>
        </w:rPr>
        <w:t>Additional Shares</w:t>
      </w:r>
      <w:r>
        <w:rPr>
          <w:rFonts w:ascii="Arial" w:cs="Arial" w:eastAsia="Arial" w:hAnsi="Arial"/>
          <w:sz w:val="17"/>
          <w:szCs w:val="17"/>
          <w:color w:val="auto"/>
        </w:rPr>
        <w:t>”) to cover over-allotments by the Underwriters, if any, with each Selling Stockholder selling up to the number of shares set forth opposite such Selling Stockholder’s name in Schedule II hereto. The Firm Shares and the Additional Shares are collectively referred to in this Agreement as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Raymond James &amp; Associates, Inc. and Piper Jaffray &amp; Co. are acting as the representatives of the several Underwriters and in such capacity are referred to in this Agreement as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w:t>
      </w:r>
    </w:p>
    <w:p>
      <w:pPr>
        <w:spacing w:after="0" w:line="184" w:lineRule="exact"/>
        <w:rPr>
          <w:sz w:val="20"/>
          <w:szCs w:val="20"/>
          <w:color w:val="auto"/>
        </w:rPr>
      </w:pPr>
    </w:p>
    <w:p>
      <w:pPr>
        <w:ind w:right="160" w:firstLine="453"/>
        <w:spacing w:after="0" w:line="289" w:lineRule="auto"/>
        <w:rPr>
          <w:sz w:val="20"/>
          <w:szCs w:val="20"/>
          <w:color w:val="auto"/>
        </w:rPr>
      </w:pPr>
      <w:r>
        <w:rPr>
          <w:rFonts w:ascii="Arial" w:cs="Arial" w:eastAsia="Arial" w:hAnsi="Arial"/>
          <w:sz w:val="17"/>
          <w:szCs w:val="17"/>
          <w:color w:val="auto"/>
        </w:rPr>
        <w:t>The Company wishes to confirm as follows its agreement with you and the other several Underwriters, on whose behalf you are acting, in connection with the several purchases of the Shares from the Company.</w:t>
      </w:r>
    </w:p>
    <w:p>
      <w:pPr>
        <w:spacing w:after="0" w:line="158" w:lineRule="exact"/>
        <w:rPr>
          <w:sz w:val="20"/>
          <w:szCs w:val="20"/>
          <w:color w:val="auto"/>
        </w:rPr>
      </w:pPr>
    </w:p>
    <w:p>
      <w:pPr>
        <w:ind w:left="1280" w:hanging="612"/>
        <w:spacing w:after="0"/>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w:t>
      </w:r>
      <w:r>
        <w:rPr>
          <w:rFonts w:ascii="Arial" w:cs="Arial" w:eastAsia="Arial" w:hAnsi="Arial"/>
          <w:sz w:val="17"/>
          <w:szCs w:val="17"/>
          <w:color w:val="auto"/>
        </w:rPr>
        <w:t>. The Company has prepared and submitted to the Securities and Exchange Commission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accordance with the provisions of the Securities Act of 1933, as amended,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 registration statement on Form S-1 (File No. 333-190591), including a prospectus subject to completion, relating to the Shares. Such registration statement, as amended, including the financial statements, exhibits and schedules thereto, at the time when it becomes effective and as thereafter amended by any post-effective amendment, is referred to in this Agreement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in the form included in the Registration Statement or, if the prospectus included in the Registration Statement omits certain information in reliance upon Rule 430A under the Act and such information is thereafter included in a prospectus filed with the Commission pursuant to Rule 424(b) under the Act or as part of a post-effective amendment to the Registration Statement after the Registration Statement becomes effective, the prospectus as so filed, is referred to in this Agreement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If the Company files another registration statement with the Commission to register a portion of the Shares pursuant to Rule 462(b) under the Act (the “</w:t>
      </w:r>
      <w:r>
        <w:rPr>
          <w:rFonts w:ascii="Arial" w:cs="Arial" w:eastAsia="Arial" w:hAnsi="Arial"/>
          <w:sz w:val="16"/>
          <w:szCs w:val="16"/>
          <w:b w:val="1"/>
          <w:bCs w:val="1"/>
          <w:i w:val="1"/>
          <w:iCs w:val="1"/>
          <w:color w:val="auto"/>
        </w:rPr>
        <w:t>Rule 462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then any reference to “Registration Statement” herein shall be deemed to include the registration statement on Form S-1 (File No. 333-190591) and the Rule 462 Registration Statement, as each such registration statement may be amended pursuant to the Act. The prospectus subject to completion in the form included in the Registration Statement at the time of the initial confidential submission of such Registration Statement to the Commission and as such prospectus is amended from time to time until the date of the Prospectus is referred to in this Agreement as the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For purposes of this Agreement, “</w:t>
      </w:r>
      <w:r>
        <w:rPr>
          <w:rFonts w:ascii="Arial" w:cs="Arial" w:eastAsia="Arial" w:hAnsi="Arial"/>
          <w:sz w:val="16"/>
          <w:szCs w:val="16"/>
          <w:b w:val="1"/>
          <w:bCs w:val="1"/>
          <w:i w:val="1"/>
          <w:iCs w:val="1"/>
          <w:color w:val="auto"/>
        </w:rPr>
        <w:t>free writing prospectus</w:t>
      </w:r>
      <w:r>
        <w:rPr>
          <w:rFonts w:ascii="Arial" w:cs="Arial" w:eastAsia="Arial" w:hAnsi="Arial"/>
          <w:sz w:val="16"/>
          <w:szCs w:val="16"/>
          <w:color w:val="auto"/>
        </w:rPr>
        <w:t>” has the meaning ascribed to it in Rule 405 under the Act, and “</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shall mean each free writing prospectus prepared by or on behalf of the Company or used or referred to by the Company in connection with the offering of the Common Stock. “</w:t>
      </w:r>
      <w:r>
        <w:rPr>
          <w:rFonts w:ascii="Arial" w:cs="Arial" w:eastAsia="Arial" w:hAnsi="Arial"/>
          <w:sz w:val="16"/>
          <w:szCs w:val="16"/>
          <w:b w:val="1"/>
          <w:bCs w:val="1"/>
          <w:i w:val="1"/>
          <w:iCs w:val="1"/>
          <w:color w:val="auto"/>
        </w:rPr>
        <w:t>Time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Sale Information</w:t>
      </w:r>
      <w:r>
        <w:rPr>
          <w:rFonts w:ascii="Arial" w:cs="Arial" w:eastAsia="Arial" w:hAnsi="Arial"/>
          <w:sz w:val="16"/>
          <w:szCs w:val="16"/>
          <w:color w:val="auto"/>
        </w:rPr>
        <w:t>” shall mean the Preliminary Prospectus together with the free writing prospectuses, if any, each identified in item (a) of Annex A hereto,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information set forth in item (b) of Annex A and (c) a pricing term sheet in substantially the form of Annex B. All references in this Agreement to the Registration Statement, the Rule 462 Registration Statement, a Preliminary Prospectus, the Prospectus or the Time of Sale Information, or any amendments or supplements to any of the foregoing, shall be deemed to refer to and include any documents incorporated by reference therein, and shall include any copy thereof filed with the Commission pursuant to its Electronic Data Gathering, Analysis and Retrieval System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w:t>
      </w:r>
    </w:p>
    <w:p>
      <w:pPr>
        <w:spacing w:after="0" w:line="177" w:lineRule="exact"/>
        <w:rPr>
          <w:sz w:val="20"/>
          <w:szCs w:val="20"/>
          <w:color w:val="auto"/>
        </w:rPr>
      </w:pPr>
    </w:p>
    <w:p>
      <w:pPr>
        <w:ind w:right="180" w:firstLine="668"/>
        <w:spacing w:after="0" w:line="300" w:lineRule="auto"/>
        <w:tabs>
          <w:tab w:leader="none" w:pos="1277"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Agreements to Sell and Purchase</w:t>
      </w:r>
      <w:r>
        <w:rPr>
          <w:rFonts w:ascii="Arial" w:cs="Arial" w:eastAsia="Arial" w:hAnsi="Arial"/>
          <w:sz w:val="15"/>
          <w:szCs w:val="15"/>
          <w:color w:val="auto"/>
        </w:rPr>
        <w:t>. Upon the terms and conditions set forth herein, the Company agrees to issue and sell the Firm Shares to the Underwriters. Upon the basis of the representations, warranties and agreements of the Company and the Selling Stockholders herein contained and subject to all</w:t>
      </w:r>
    </w:p>
    <w:p>
      <w:pPr>
        <w:ind w:right="140"/>
        <w:spacing w:after="0" w:line="275" w:lineRule="auto"/>
        <w:rPr>
          <w:sz w:val="20"/>
          <w:szCs w:val="20"/>
          <w:color w:val="auto"/>
        </w:rPr>
      </w:pPr>
      <w:r>
        <w:rPr>
          <w:rFonts w:ascii="Arial" w:cs="Arial" w:eastAsia="Arial" w:hAnsi="Arial"/>
          <w:sz w:val="17"/>
          <w:szCs w:val="17"/>
          <w:color w:val="auto"/>
        </w:rPr>
        <w:t>the terms and conditions set forth herein, each Underwriter agrees, severally and not jointly, to purchase from the Company at a purchase price of $ per Share (the “</w:t>
      </w:r>
      <w:r>
        <w:rPr>
          <w:rFonts w:ascii="Arial" w:cs="Arial" w:eastAsia="Arial" w:hAnsi="Arial"/>
          <w:sz w:val="17"/>
          <w:szCs w:val="17"/>
          <w:b w:val="1"/>
          <w:bCs w:val="1"/>
          <w:i w:val="1"/>
          <w:iCs w:val="1"/>
          <w:color w:val="auto"/>
        </w:rPr>
        <w:t>purchase price per Share</w:t>
      </w:r>
      <w:r>
        <w:rPr>
          <w:rFonts w:ascii="Arial" w:cs="Arial" w:eastAsia="Arial" w:hAnsi="Arial"/>
          <w:sz w:val="17"/>
          <w:szCs w:val="17"/>
          <w:color w:val="auto"/>
        </w:rPr>
        <w:t>”), the number of Firm Shares set forth opposite the name of such Underwriter in Schedule I hereto.</w:t>
      </w:r>
    </w:p>
    <w:p>
      <w:pPr>
        <w:spacing w:after="0" w:line="169"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It is further understood that approximately ten percent (10%) of the Firm Shares (the “</w:t>
      </w:r>
      <w:r>
        <w:rPr>
          <w:rFonts w:ascii="Arial" w:cs="Arial" w:eastAsia="Arial" w:hAnsi="Arial"/>
          <w:sz w:val="16"/>
          <w:szCs w:val="16"/>
          <w:b w:val="1"/>
          <w:bCs w:val="1"/>
          <w:i w:val="1"/>
          <w:iCs w:val="1"/>
          <w:color w:val="auto"/>
        </w:rPr>
        <w:t>Directed Shares</w:t>
      </w:r>
      <w:r>
        <w:rPr>
          <w:rFonts w:ascii="Arial" w:cs="Arial" w:eastAsia="Arial" w:hAnsi="Arial"/>
          <w:sz w:val="16"/>
          <w:szCs w:val="16"/>
          <w:color w:val="auto"/>
        </w:rPr>
        <w:t>”) will initially be reserved by Raymond James &amp; Associates, Inc. (“</w:t>
      </w:r>
      <w:r>
        <w:rPr>
          <w:rFonts w:ascii="Arial" w:cs="Arial" w:eastAsia="Arial" w:hAnsi="Arial"/>
          <w:sz w:val="16"/>
          <w:szCs w:val="16"/>
          <w:b w:val="1"/>
          <w:bCs w:val="1"/>
          <w:i w:val="1"/>
          <w:iCs w:val="1"/>
          <w:color w:val="auto"/>
        </w:rPr>
        <w:t>Raymond James</w:t>
      </w:r>
      <w:r>
        <w:rPr>
          <w:rFonts w:ascii="Arial" w:cs="Arial" w:eastAsia="Arial" w:hAnsi="Arial"/>
          <w:sz w:val="16"/>
          <w:szCs w:val="16"/>
          <w:color w:val="auto"/>
        </w:rPr>
        <w:t>”) for offer and sale upon the terms and conditions to be set forth in the most recent Preliminary Prospectus and in accordance with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to certain directors, executive officers or employees of the Company and other individuals and entities specified by the Company (each such person a “</w:t>
      </w:r>
      <w:r>
        <w:rPr>
          <w:rFonts w:ascii="Arial" w:cs="Arial" w:eastAsia="Arial" w:hAnsi="Arial"/>
          <w:sz w:val="16"/>
          <w:szCs w:val="16"/>
          <w:b w:val="1"/>
          <w:bCs w:val="1"/>
          <w:i w:val="1"/>
          <w:iCs w:val="1"/>
          <w:color w:val="auto"/>
        </w:rPr>
        <w:t>Directed Share Participant</w:t>
      </w:r>
      <w:r>
        <w:rPr>
          <w:rFonts w:ascii="Arial" w:cs="Arial" w:eastAsia="Arial" w:hAnsi="Arial"/>
          <w:sz w:val="16"/>
          <w:szCs w:val="16"/>
          <w:color w:val="auto"/>
        </w:rPr>
        <w:t>”) who have heretofore delivered to Raymond James offers to purchase Firm Shares in form satisfactory to Raymond James (such program, the “</w:t>
      </w:r>
      <w:r>
        <w:rPr>
          <w:rFonts w:ascii="Arial" w:cs="Arial" w:eastAsia="Arial" w:hAnsi="Arial"/>
          <w:sz w:val="16"/>
          <w:szCs w:val="16"/>
          <w:b w:val="1"/>
          <w:bCs w:val="1"/>
          <w:i w:val="1"/>
          <w:iCs w:val="1"/>
          <w:color w:val="auto"/>
        </w:rPr>
        <w:t>Directed Shares Program</w:t>
      </w:r>
      <w:r>
        <w:rPr>
          <w:rFonts w:ascii="Arial" w:cs="Arial" w:eastAsia="Arial" w:hAnsi="Arial"/>
          <w:sz w:val="16"/>
          <w:szCs w:val="16"/>
          <w:color w:val="auto"/>
        </w:rPr>
        <w:t>”) and</w:t>
      </w:r>
    </w:p>
    <w:p>
      <w:pPr>
        <w:sectPr>
          <w:pgSz w:w="11900" w:h="16838" w:orient="portrait"/>
          <w:cols w:equalWidth="0" w:num="1">
            <w:col w:w="11420"/>
          </w:cols>
          <w:pgMar w:left="240" w:top="357" w:right="239"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206" w:name="page207"/>
    <w:bookmarkEnd w:id="206"/>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that any allocation of such Firm Shares among such persons will be made in accordance with timely directions received by Raymond James from the Company; provided that under no circumstances will Raymond James be liable to the Company, the Selling Stockholders, or to any such person for any action taken or omitted in good faith in connection with such Directed Shares Program. It is further understood that any Directed Shares not affirmatively reconfirmed for purchase by any participant in the Directed Shares Program by 9:30 A.M., St. Petersburg, Florida time, on the first business day following the date hereof or otherwise are not purchased by such persons will be offered by Raymond James to the public upon the terms and conditions set forth in the Prospectus. The Company agrees to pay all fees and disbursements incurred by Raymond James (including, but not limited to, reasonable fees and expenses of legal counsel to Raymond James) in connection with the Directed Shares Program and any stamp duties or other taxes incurred by Raymond James in connection with the Directed Shares Program.</w:t>
      </w:r>
    </w:p>
    <w:p>
      <w:pPr>
        <w:spacing w:after="0" w:line="181" w:lineRule="exact"/>
        <w:rPr>
          <w:sz w:val="20"/>
          <w:szCs w:val="20"/>
          <w:color w:val="auto"/>
        </w:rPr>
      </w:pPr>
    </w:p>
    <w:p>
      <w:pPr>
        <w:ind w:firstLine="629"/>
        <w:spacing w:after="0" w:line="300" w:lineRule="auto"/>
        <w:rPr>
          <w:sz w:val="20"/>
          <w:szCs w:val="20"/>
          <w:color w:val="auto"/>
        </w:rPr>
      </w:pPr>
      <w:r>
        <w:rPr>
          <w:rFonts w:ascii="Arial" w:cs="Arial" w:eastAsia="Arial" w:hAnsi="Arial"/>
          <w:sz w:val="15"/>
          <w:szCs w:val="15"/>
          <w:color w:val="auto"/>
        </w:rPr>
        <w:t>The Selling Stockholders hereby agree to sell to the Underwriters, and, upon the basis of the representations, warranties and agreements of the Company and the Selling Stockholders herein contained and subject to all the terms and conditions set forth herein, the Underwriters shall have the right for 30 days from the</w:t>
      </w:r>
    </w:p>
    <w:p>
      <w:pPr>
        <w:ind w:right="120"/>
        <w:spacing w:after="0" w:line="299" w:lineRule="auto"/>
        <w:rPr>
          <w:sz w:val="20"/>
          <w:szCs w:val="20"/>
          <w:color w:val="auto"/>
        </w:rPr>
      </w:pPr>
      <w:r>
        <w:rPr>
          <w:rFonts w:ascii="Arial" w:cs="Arial" w:eastAsia="Arial" w:hAnsi="Arial"/>
          <w:sz w:val="15"/>
          <w:szCs w:val="15"/>
          <w:color w:val="auto"/>
        </w:rPr>
        <w:t>date of the Prospectus to purchase from the Selling Stockholders up to Additional Shares at the purchase price per Share for the Firm Shares. The Additional Shares may be purchased solely for the purpose of covering over-allotments, if any, made in connection with the offering of the Firm Shares. If any Additional Shares are to be purchased, each Underwriter, severally and not jointly, agrees to purchase the number of Additional Shares (subject to such adjustments as you may determine to avoid fractional shares) that bears the same proportion to the total number of Additional Shares to be purchased by the Underwriter as the number of Firm Shares set forth opposite the name of such Underwriter in Schedule I hereto bears to the total number of Firm Shares. If the Underwriters elect to purchase less than all of the Additional Shares, then any such purchase of Additional Shares shall be in proportion to the maximum number of Additional Shares to be sold by each of the Selling Stockholders as set forth in Schedule II hereto (subject to such adjustments as you may determine to avoid fractional shares). The option to purchase Additional Shares may be exercised at any time within 30 days after the date of the Prospectus, but no more than once.</w:t>
      </w:r>
    </w:p>
    <w:p>
      <w:pPr>
        <w:spacing w:after="0" w:line="157" w:lineRule="exact"/>
        <w:rPr>
          <w:sz w:val="20"/>
          <w:szCs w:val="20"/>
          <w:color w:val="auto"/>
        </w:rPr>
      </w:pPr>
    </w:p>
    <w:p>
      <w:pPr>
        <w:ind w:right="40" w:firstLine="668"/>
        <w:spacing w:after="0" w:line="273" w:lineRule="auto"/>
        <w:tabs>
          <w:tab w:leader="none" w:pos="124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Terms of Public Offering</w:t>
      </w:r>
      <w:r>
        <w:rPr>
          <w:rFonts w:ascii="Arial" w:cs="Arial" w:eastAsia="Arial" w:hAnsi="Arial"/>
          <w:sz w:val="17"/>
          <w:szCs w:val="17"/>
          <w:color w:val="auto"/>
        </w:rPr>
        <w:t>. The Company has been advised by you that the Underwriters propose to make a public offering of their respective portions of the Shares as soon after the Registration Statement and this Agreement have become effective as in your judgment is advisable and initially to offer the Shares upon the terms set forth in the Prospectus.</w:t>
      </w:r>
    </w:p>
    <w:p>
      <w:pPr>
        <w:spacing w:after="0" w:line="172" w:lineRule="exact"/>
        <w:rPr>
          <w:sz w:val="20"/>
          <w:szCs w:val="20"/>
          <w:color w:val="auto"/>
        </w:rPr>
      </w:pPr>
    </w:p>
    <w:p>
      <w:pPr>
        <w:ind w:right="360" w:firstLine="667"/>
        <w:spacing w:after="0" w:line="273" w:lineRule="auto"/>
        <w:rPr>
          <w:sz w:val="20"/>
          <w:szCs w:val="20"/>
          <w:color w:val="auto"/>
        </w:rPr>
      </w:pPr>
      <w:r>
        <w:rPr>
          <w:rFonts w:ascii="Arial" w:cs="Arial" w:eastAsia="Arial" w:hAnsi="Arial"/>
          <w:sz w:val="17"/>
          <w:szCs w:val="17"/>
          <w:color w:val="auto"/>
        </w:rPr>
        <w:t>Not later than 12:00 p.m. (noon) on the second business day following the date the Shares are released by the Underwriters for sale to the public, the Company shall deliver or cause to be delivered copies of the Prospectus in such quantities and at such places as the Representatives shall have reasonably requested by 5:00 p.m. on the date the Shares are released by the Underwriters for sale to the public.</w:t>
      </w:r>
    </w:p>
    <w:p>
      <w:pPr>
        <w:spacing w:after="0" w:line="172" w:lineRule="exact"/>
        <w:rPr>
          <w:sz w:val="20"/>
          <w:szCs w:val="20"/>
          <w:color w:val="auto"/>
        </w:rPr>
      </w:pPr>
    </w:p>
    <w:p>
      <w:pPr>
        <w:ind w:right="520" w:firstLine="634"/>
        <w:spacing w:after="0" w:line="322" w:lineRule="auto"/>
        <w:tabs>
          <w:tab w:leader="none" w:pos="128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Delivery of the Shares and Payment Therefor</w:t>
      </w:r>
      <w:r>
        <w:rPr>
          <w:rFonts w:ascii="Arial" w:cs="Arial" w:eastAsia="Arial" w:hAnsi="Arial"/>
          <w:sz w:val="16"/>
          <w:szCs w:val="16"/>
          <w:color w:val="auto"/>
        </w:rPr>
        <w:t>. Delivery to the Underwriters of the Firm Shares and payment therefor shall be made at the offices of Raymond James &amp; Associates, Inc., 880 Carillon Parkway, St. Petersburg, Florida at 10:00 a.m., St. Petersburg, Florida time, 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786"/>
        <w:spacing w:after="0" w:line="285" w:lineRule="auto"/>
        <w:rPr>
          <w:sz w:val="20"/>
          <w:szCs w:val="20"/>
          <w:color w:val="auto"/>
        </w:rPr>
      </w:pPr>
      <w:r>
        <w:rPr>
          <w:rFonts w:ascii="Arial" w:cs="Arial" w:eastAsia="Arial" w:hAnsi="Arial"/>
          <w:sz w:val="16"/>
          <w:szCs w:val="16"/>
          <w:color w:val="auto"/>
        </w:rPr>
        <w:t>, 2013, or such other place, time and date not later than 1:30 p.m., St. Petersburg, Florida time, on , 2013 as the Representatives shall designate by notice to the Company (the time and date of such closing are called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place of closing for the Firm Shares and the Closing Date may be varied by agreement between the Representatives and the Company. The Company hereby acknowledges that circumstances under which the Representatives may provide notice to postpone the Closing Date as originally scheduled include any determination by the Company or the Representatives to recirculate to the public copies of an amended or supplemented Prospectus or a delay as contemplated by the provisions of Section 11 hereof.</w:t>
      </w:r>
    </w:p>
    <w:p>
      <w:pPr>
        <w:spacing w:after="0" w:line="166" w:lineRule="exact"/>
        <w:rPr>
          <w:sz w:val="20"/>
          <w:szCs w:val="20"/>
          <w:color w:val="auto"/>
        </w:rPr>
      </w:pPr>
    </w:p>
    <w:p>
      <w:pPr>
        <w:ind w:right="20" w:firstLine="663"/>
        <w:spacing w:after="0" w:line="294" w:lineRule="auto"/>
        <w:rPr>
          <w:sz w:val="20"/>
          <w:szCs w:val="20"/>
          <w:color w:val="auto"/>
        </w:rPr>
      </w:pPr>
      <w:r>
        <w:rPr>
          <w:rFonts w:ascii="Arial" w:cs="Arial" w:eastAsia="Arial" w:hAnsi="Arial"/>
          <w:sz w:val="15"/>
          <w:szCs w:val="15"/>
          <w:color w:val="auto"/>
        </w:rPr>
        <w:t>Delivery to the Underwriters of and payment for any Additional Shares to be purchased by the Underwriters shall be made at the offices of Raymond James &amp; Associates, Inc., 880 Carillon Parkway, St. Petersburg, Florida, at 10:00 a.m., St. Petersburg, Florida time, on such date or dates (the “</w:t>
      </w:r>
      <w:r>
        <w:rPr>
          <w:rFonts w:ascii="Arial" w:cs="Arial" w:eastAsia="Arial" w:hAnsi="Arial"/>
          <w:sz w:val="15"/>
          <w:szCs w:val="15"/>
          <w:b w:val="1"/>
          <w:bCs w:val="1"/>
          <w:i w:val="1"/>
          <w:iCs w:val="1"/>
          <w:color w:val="auto"/>
        </w:rPr>
        <w:t>Additional Closing</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(which may be the same as the Closing Date, but shall in no event be earlier than the Closing Date nor earlier than three nor later than ten business days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after the giving of the notice hereinafter referred to) as shall be specified in a written notice, from the Representatives on behalf of the Underwriters to the Company of the Underwriters’ determination to purchase a number, specified in such notice, of Additional Shares. Such notice may be given at any time within 30 days after the date of the Prospectus and must set forth (i) the aggregate number of Additional Shares as to which the Underwriters are exercising the option and</w:t>
      </w:r>
    </w:p>
    <w:p>
      <w:pPr>
        <w:spacing w:after="0" w:line="3" w:lineRule="exact"/>
        <w:rPr>
          <w:sz w:val="20"/>
          <w:szCs w:val="20"/>
          <w:color w:val="auto"/>
        </w:rPr>
      </w:pPr>
    </w:p>
    <w:p>
      <w:pPr>
        <w:ind w:right="60" w:firstLine="5"/>
        <w:spacing w:after="0" w:line="275" w:lineRule="auto"/>
        <w:tabs>
          <w:tab w:leader="none" w:pos="25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names and denominations in which the certificates for which the Additional Shares are to be registered. The place of closing for the Additional Shares and the Additional Closing Date may be varied by agreement between you and the Company.</w:t>
      </w:r>
    </w:p>
    <w:p>
      <w:pPr>
        <w:spacing w:after="0" w:line="169"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Delivery of the Shares shall be made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unless the Representatives shall otherwise instruct. The certificates for the Shares, if any, will be made available for inspection and packaging by the Representatives at the office of DTC or its designated custodian not later than 9:30 A.M., St. Petersburg, Florida time, on the business day immediately preceding the Closing Date or the Additional Closing Date, as the case may be. Any such certificates evidencing the Firm Shares and any Additional Shares to be purchased hereunder shall be delivered to you on the Closing Date or the Additional Closing Date, as the case may be, against payment of the purchase price therefore by wire transfer of immediately available funds to an account or accounts specified in writing, not later than the close of business on the business day next preceding the Closing Date or the Additional Closing Date, as the case may be, by the Company (with respect to the payment to be made to the Company) or by the Custodian (with respect to the payment to be made to the Selling Stockholders). Payment for the Shares sold by the Company hereunder shall be delivered by the Representatives to the Company. Payment for the Shares sold by the Selling Stockholders hereunder shall be delivered by the Representatives to the Custodian (as defined herein).</w:t>
      </w:r>
    </w:p>
    <w:p>
      <w:pPr>
        <w:spacing w:after="0" w:line="173"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It is understood that the Representatives have been authorized, for their own respective account and the accounts of the several Underwriters, to accept delivery of and receipt for, and make payment of the purchase price per Share for the Firm Shares and the Additional Shares, if any, that the Underwriters have agreed to purchase. Each of Raymond James and Associates, Inc. and Piper Jaffray &amp; Co., individually and not as Representatives of the Underwriters, may, but shall not be obligated to, make payment for any Shares to be purchased by any Underwriter whose funds shall not have been received by the Representatives by the Closing Date or the Additional Closing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as the case may be, for the account of such Underwriter, but any such payment shall not relieve such Underwriter from any of its obligations under this Agreement.</w:t>
      </w:r>
    </w:p>
    <w:p>
      <w:pPr>
        <w:spacing w:after="0" w:line="247"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Each Selling Stockholder hereby agrees that (i) it will pay all stock transfer taxes, stamp duties and other similar taxes, if any, payable upon the sale or delivery of the Shares to be sold by such Selling Stockholder to the several Underwriters, or otherwise in connection with the performance of such Selling Stockholder’s obligations hereunder and (ii) the Custodian is authorized to deduct for such payment any such amounts from the proceeds to such Selling Stockholder hereunder and to hold such amounts for the account of such Selling Stockholder with the Custodian under the Custody Agreement (as defined herein).</w:t>
      </w:r>
    </w:p>
    <w:p>
      <w:pPr>
        <w:sectPr>
          <w:pgSz w:w="11900" w:h="16909" w:orient="portrait"/>
          <w:cols w:equalWidth="0" w:num="1">
            <w:col w:w="11420"/>
          </w:cols>
          <w:pgMar w:left="240" w:top="573" w:right="239" w:bottom="0" w:gutter="0" w:footer="0" w:header="0"/>
        </w:sectPr>
      </w:pPr>
    </w:p>
    <w:bookmarkStart w:id="207" w:name="page208"/>
    <w:bookmarkEnd w:id="207"/>
    <w:p>
      <w:pPr>
        <w:ind w:left="1240" w:hanging="606"/>
        <w:spacing w:after="0"/>
        <w:tabs>
          <w:tab w:leader="none" w:pos="124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Covenants and Agreements</w:t>
      </w:r>
      <w:r>
        <w:rPr>
          <w:rFonts w:ascii="Arial" w:cs="Arial" w:eastAsia="Arial" w:hAnsi="Arial"/>
          <w:sz w:val="17"/>
          <w:szCs w:val="17"/>
          <w:color w:val="auto"/>
        </w:rPr>
        <w:t>.</w:t>
      </w:r>
    </w:p>
    <w:p>
      <w:pPr>
        <w:spacing w:after="0" w:line="224"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u w:val="single" w:color="auto"/>
          <w:color w:val="auto"/>
        </w:rPr>
        <w:t>Of the Company</w:t>
      </w:r>
      <w:r>
        <w:rPr>
          <w:rFonts w:ascii="Arial" w:cs="Arial" w:eastAsia="Arial" w:hAnsi="Arial"/>
          <w:sz w:val="15"/>
          <w:szCs w:val="15"/>
          <w:color w:val="auto"/>
        </w:rPr>
        <w:t>. The Company covenants and agrees with the several Underwriters as follows:</w:t>
      </w:r>
    </w:p>
    <w:p>
      <w:pPr>
        <w:spacing w:after="0" w:line="224" w:lineRule="exact"/>
        <w:rPr>
          <w:sz w:val="20"/>
          <w:szCs w:val="20"/>
          <w:color w:val="auto"/>
        </w:rPr>
      </w:pPr>
    </w:p>
    <w:p>
      <w:pPr>
        <w:ind w:right="20" w:firstLine="1263"/>
        <w:spacing w:after="0" w:line="276" w:lineRule="auto"/>
        <w:tabs>
          <w:tab w:leader="none" w:pos="189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will use its best efforts to cause the Registration Statement and any amendments thereto to become effective, if it has not already become effective, and will advise you promptly and, if requested by you, will confirm such advice in writing (i) when the Registration Statement has become effective and the time and date of any filing of any post-effective Registration Statement or any amendment or supplement to any Preliminary Prospectus or the Prospectus and the time and date that any post-effective amendment to the Registration Statement becomes effective, (ii) if Rule 430A under the Act is employed, when the Prospectus has been timely filed pursuant to Rule 424(b) under the Act, (iii) of the receipt of any comments of the Commission, or any request by the Commission for amendments or supplements to the Registration Statement, any Preliminary Prospectus or the Prospectus or for additional information, (iv) of the issuance by the Commission of any stop order suspending the effectiveness of the Registration Statement or of the suspension of qualification of the Shares for offering or sale in any jurisdiction or the initiation of any proceeding for such purposes and (v) within the period of time referred to in Section 5.1(h) hereof, of any change in the Company’s condition (financial or other), business, prospects, properties, net worth or results of operations, or of any event that comes to the attention of the Company that makes any statement made in the Registration Statement or the Prospectus (as then amended or supplemented) untrue in any material respect or that requires the making of any additions thereto or changes therein in order to make the statements therein (in the case of the Prospectus, in light of the circumstances under which they were made) not misleading in any material respect, or of the necessity to amend or supplement the Prospectus (as then amended or supplemented) to comply with the Act or any other law. If at any time the Commission shall issue any stop order suspending the effectiveness of the Registration Statement, the Company will make every reasonable effort to obtain the withdrawal or lifting of such order at the earliest possible time. The Company will provide the Underwriters with copies of the form of Prospectus, in such number as the Underwriters may reasonably request, and file with the Commission such Prospectus in accordance with Rule 424(b) under the Act before the close of business on the first business day immediately following the date hereof.</w:t>
      </w:r>
    </w:p>
    <w:p>
      <w:pPr>
        <w:spacing w:after="0" w:line="178" w:lineRule="exact"/>
        <w:rPr>
          <w:rFonts w:ascii="Arial" w:cs="Arial" w:eastAsia="Arial" w:hAnsi="Arial"/>
          <w:sz w:val="16"/>
          <w:szCs w:val="16"/>
          <w:color w:val="auto"/>
        </w:rPr>
      </w:pPr>
    </w:p>
    <w:p>
      <w:pPr>
        <w:ind w:right="140" w:firstLine="1263"/>
        <w:spacing w:after="0" w:line="289" w:lineRule="auto"/>
        <w:tabs>
          <w:tab w:leader="none" w:pos="190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will furnish to you, without charge, two signed duplicate originals of the Registration Statement as originally filed with the Commission and of each amendment thereto, including financial statements and all exhibits thereto, and will also furnish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you, without charge, such number of conformed copies of the Registration Statement as originally filed and of each amendment thereto as you may reasonably request.</w:t>
      </w:r>
    </w:p>
    <w:p>
      <w:pPr>
        <w:spacing w:after="0" w:line="158" w:lineRule="exact"/>
        <w:rPr>
          <w:sz w:val="20"/>
          <w:szCs w:val="20"/>
          <w:color w:val="auto"/>
        </w:rPr>
      </w:pPr>
    </w:p>
    <w:p>
      <w:pPr>
        <w:ind w:right="220" w:firstLine="1263"/>
        <w:spacing w:after="0" w:line="289" w:lineRule="auto"/>
        <w:tabs>
          <w:tab w:leader="none" w:pos="186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will promptly file with the Commission any amendment or supplement to the Registration Statement or the Prospectus that may, in the judgment of the Company or the Representatives be required by the Act or requested by the Commission.</w:t>
      </w:r>
    </w:p>
    <w:p>
      <w:pPr>
        <w:spacing w:after="0" w:line="158" w:lineRule="exact"/>
        <w:rPr>
          <w:rFonts w:ascii="Arial" w:cs="Arial" w:eastAsia="Arial" w:hAnsi="Arial"/>
          <w:sz w:val="17"/>
          <w:szCs w:val="17"/>
          <w:color w:val="auto"/>
        </w:rPr>
      </w:pPr>
    </w:p>
    <w:p>
      <w:pPr>
        <w:ind w:firstLine="1263"/>
        <w:spacing w:after="0" w:line="273" w:lineRule="auto"/>
        <w:tabs>
          <w:tab w:leader="none" w:pos="187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 will furnish a copy of any amendment or supplement to the Registration Statement or to the Prospectus or any Issuer Free Writing Prospectus to you and counsel for Underwriters and obtain your consent prior to filing any of those with the Commission, which consent shall not be unreasonably withheld or delayed.</w:t>
      </w:r>
    </w:p>
    <w:p>
      <w:pPr>
        <w:spacing w:after="0" w:line="171" w:lineRule="exact"/>
        <w:rPr>
          <w:rFonts w:ascii="Arial" w:cs="Arial" w:eastAsia="Arial" w:hAnsi="Arial"/>
          <w:sz w:val="17"/>
          <w:szCs w:val="17"/>
          <w:color w:val="auto"/>
        </w:rPr>
      </w:pPr>
    </w:p>
    <w:p>
      <w:pPr>
        <w:ind w:left="1860" w:hanging="597"/>
        <w:spacing w:after="0"/>
        <w:tabs>
          <w:tab w:leader="none" w:pos="18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will not make any offer relating to the Common Stock that would constitute an Issuer Free Writing Prospectus without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your prior consent.</w:t>
      </w:r>
    </w:p>
    <w:p>
      <w:pPr>
        <w:spacing w:after="0" w:line="212" w:lineRule="exact"/>
        <w:rPr>
          <w:rFonts w:ascii="Arial" w:cs="Arial" w:eastAsia="Arial" w:hAnsi="Arial"/>
          <w:sz w:val="16"/>
          <w:szCs w:val="16"/>
          <w:color w:val="auto"/>
        </w:rPr>
      </w:pPr>
    </w:p>
    <w:p>
      <w:pPr>
        <w:ind w:firstLine="1263"/>
        <w:spacing w:after="0" w:line="303" w:lineRule="auto"/>
        <w:tabs>
          <w:tab w:leader="none" w:pos="187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Company will retain in accordance with the Act all Issuer Free Writing Prospectuses not required to be filed pursuant to the Act; and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you and, upon your request, to file such document and to prepare and furnish without charge to each Underwriter as many copies as they may from time to time reasonably request of an amended or supplemented Issuer Free Writing Prospectus that will correct such conflict, statement or omission or effect such compliance;</w:t>
      </w:r>
    </w:p>
    <w:p>
      <w:pPr>
        <w:spacing w:after="0" w:line="153" w:lineRule="exact"/>
        <w:rPr>
          <w:rFonts w:ascii="Arial" w:cs="Arial" w:eastAsia="Arial" w:hAnsi="Arial"/>
          <w:sz w:val="15"/>
          <w:szCs w:val="15"/>
          <w:color w:val="auto"/>
        </w:rPr>
      </w:pPr>
    </w:p>
    <w:p>
      <w:pPr>
        <w:ind w:right="20" w:firstLine="1263"/>
        <w:spacing w:after="0" w:line="314" w:lineRule="auto"/>
        <w:tabs>
          <w:tab w:leader="none" w:pos="187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Prior to the execution and delivery of this Agreement, the Company has delivered or will deliver to you, without charge, in such quantities as you have requested or may hereafter reasonably request, copies of each form of the Preliminary Prospectus. Consistent with the provisions of Section 5.1(h) hereof, the Company consents to the use, in accordance with the provisions of the Act and with the securities or Blue Sky laws of the jurisdictions in which the Shares are offered by the several Underwriters and by dealers, prior to the date of the Prospectus, of each Preliminary Prospectus so furnished by the Company.</w:t>
      </w:r>
    </w:p>
    <w:p>
      <w:pPr>
        <w:spacing w:after="0" w:line="146" w:lineRule="exact"/>
        <w:rPr>
          <w:sz w:val="20"/>
          <w:szCs w:val="20"/>
          <w:color w:val="auto"/>
        </w:rPr>
      </w:pPr>
    </w:p>
    <w:p>
      <w:pPr>
        <w:ind w:right="60" w:firstLine="1301"/>
        <w:spacing w:after="0" w:line="262" w:lineRule="auto"/>
        <w:tabs>
          <w:tab w:leader="none" w:pos="190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 soon after the execution and delivery of this Agreement as is practicable and thereafter from time to time for such period as in the reasonable opinion of counsel for the Underwriters a prospectus is required by the Act to be delivered in connection with sales by any Underwriter or a dealer (the “</w:t>
      </w:r>
      <w:r>
        <w:rPr>
          <w:rFonts w:ascii="Arial" w:cs="Arial" w:eastAsia="Arial" w:hAnsi="Arial"/>
          <w:sz w:val="17"/>
          <w:szCs w:val="17"/>
          <w:b w:val="1"/>
          <w:bCs w:val="1"/>
          <w:i w:val="1"/>
          <w:iCs w:val="1"/>
          <w:color w:val="auto"/>
        </w:rPr>
        <w:t>Prospectus Delivery Period</w:t>
      </w:r>
      <w:r>
        <w:rPr>
          <w:rFonts w:ascii="Arial" w:cs="Arial" w:eastAsia="Arial" w:hAnsi="Arial"/>
          <w:sz w:val="17"/>
          <w:szCs w:val="17"/>
          <w:color w:val="auto"/>
        </w:rPr>
        <w:t>”), and for so long a period as you may request for the distribution of the Shares, the Company will deliver to each Underwriter and each dealer, without charge, as many copies of the Prospectus and the Time of Sale Information (and of any amendment or supplement thereto) as they may reasonably request. The Company consents to the use of the Prospectus and the Time of Sale Information (and of any amendment or supplement thereto) in accordance with the provisions of the Act and with the securities or Blue Sky laws of the jurisdictions in which the Shares are offered by the several Underwriters and by all dealers to whom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Shares may be sold, both in connection with the offering and sale of the Shares and for such period of time thereafter as the Prospectus is required by the Act to be delivered in connection with sales by any Underwriter or dealer. If at any time prior to the later of (i) the completion of the distribution of the Shares pursuant to the offering contemplated by the Registration Statement or (ii) the expiration of prospectus delivery requirements with respect to the Shares under Section 4(3) of the Act and Rule 174 thereunder, any event shall occur that in the judgment of the Company or in the opinion of counsel for the Underwriters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to comply with the Act or any other law, the Company will forthwith prepare and, subject to Section 5.1(a) hereof, file with the Commission and use its best efforts to cause to become effective as promptly as possible an appropriate supplement or amendment thereto, and will furnish to each Underwriter who has previously requested Prospectuses, without charge, a reasonable number of copies thereof.</w:t>
      </w:r>
    </w:p>
    <w:p>
      <w:pPr>
        <w:sectPr>
          <w:pgSz w:w="11900" w:h="16838" w:orient="portrait"/>
          <w:cols w:equalWidth="0" w:num="1">
            <w:col w:w="11420"/>
          </w:cols>
          <w:pgMar w:left="240" w:top="337" w:right="239" w:bottom="0" w:gutter="0" w:footer="0" w:header="0"/>
        </w:sectPr>
      </w:pPr>
    </w:p>
    <w:bookmarkStart w:id="208" w:name="page209"/>
    <w:bookmarkEnd w:id="208"/>
    <w:p>
      <w:pPr>
        <w:spacing w:after="0" w:line="19" w:lineRule="exact"/>
        <w:rPr>
          <w:sz w:val="20"/>
          <w:szCs w:val="20"/>
          <w:color w:val="auto"/>
        </w:rPr>
      </w:pPr>
    </w:p>
    <w:p>
      <w:pPr>
        <w:ind w:firstLine="1303"/>
        <w:spacing w:after="0" w:line="281" w:lineRule="auto"/>
        <w:tabs>
          <w:tab w:leader="none" w:pos="190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will cooperate with you and counsel for the Underwriters in connection with the registration or qualification of the Shares for offering and sale by the several Underwriters and by dealers under the securities or Blue Sky laws of such jurisdictions as you may reasonably designate and will file such consents to service of process or other documents as may be reasonably necessary in order to effect and maintain such registration or qualification for so long as required to complete the distribution of the Shares; provided that in no event shall the Company be obligated to qualify to do business in any jurisdiction where it is not now so qualified or to take any action that would subject it to general service of process in suits, other than those arising out of the offering or sale of the Shares, as contemplated by this Agreement and the Prospectus, in any jurisdiction where it is not now so subject. In the event that the qualification of the Shares in any jurisdiction is suspended, the Company shall so advise you promptly in writing.</w:t>
      </w:r>
    </w:p>
    <w:p>
      <w:pPr>
        <w:spacing w:after="0" w:line="170" w:lineRule="exact"/>
        <w:rPr>
          <w:rFonts w:ascii="Arial" w:cs="Arial" w:eastAsia="Arial" w:hAnsi="Arial"/>
          <w:sz w:val="16"/>
          <w:szCs w:val="16"/>
          <w:color w:val="auto"/>
        </w:rPr>
      </w:pPr>
    </w:p>
    <w:p>
      <w:pPr>
        <w:ind w:right="320" w:firstLine="1303"/>
        <w:spacing w:after="0" w:line="268" w:lineRule="auto"/>
        <w:tabs>
          <w:tab w:leader="none" w:pos="190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will make generally available to its security holders a consolidated earnings statement (in form complying with the provisions of Rule 158), which need not be audited, covering a twelve-month period commencing after the effective date of the Registration Statement and the Rule 462 Registration Statement, if any, and ending not later than 15 months thereafter, as soon as practicable after the end of such period, which consolidated earnings statement shall satisfy the provisions of Section 11(a) of the Act.</w:t>
      </w:r>
    </w:p>
    <w:p>
      <w:pPr>
        <w:spacing w:after="0" w:line="175" w:lineRule="exact"/>
        <w:rPr>
          <w:rFonts w:ascii="Arial" w:cs="Arial" w:eastAsia="Arial" w:hAnsi="Arial"/>
          <w:sz w:val="17"/>
          <w:szCs w:val="17"/>
          <w:color w:val="auto"/>
        </w:rPr>
      </w:pPr>
    </w:p>
    <w:p>
      <w:pPr>
        <w:ind w:right="20" w:firstLine="1303"/>
        <w:spacing w:after="0" w:line="265" w:lineRule="auto"/>
        <w:tabs>
          <w:tab w:leader="none" w:pos="191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During the period ending three years from the date hereof, the Company will furnish to you and, upon your request, to each of the other Underwriters, (i) as soon as available, a copy of each proxy statement, quarterly or annual report or other similar public report of the Company mailed to stockholders or filed with the Commission, FINRA or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or any national securities exchange and (ii) from time to time such other public information concerning the Company as you may reasonably request. The Company shall be deemed to have furnished the required information if such information has been filed on EDGAR.</w:t>
      </w:r>
    </w:p>
    <w:p>
      <w:pPr>
        <w:spacing w:after="0" w:line="179" w:lineRule="exact"/>
        <w:rPr>
          <w:rFonts w:ascii="Arial" w:cs="Arial" w:eastAsia="Arial" w:hAnsi="Arial"/>
          <w:sz w:val="17"/>
          <w:szCs w:val="17"/>
          <w:color w:val="auto"/>
        </w:rPr>
      </w:pPr>
    </w:p>
    <w:p>
      <w:pPr>
        <w:ind w:right="380" w:firstLine="1303"/>
        <w:spacing w:after="0" w:line="273" w:lineRule="auto"/>
        <w:tabs>
          <w:tab w:leader="none" w:pos="190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this Agreement shall terminate or shall be terminated after execution pursuant to any provision hereof (except pursuant to a termination under Section 11 hereof) or if this Agreement shall be terminated by the Underwriters because of any inability, failure or refusal on the part of the Company to perform in all material respects any agreement herein or to comply in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material respects with any of the terms or provisions hereof or to fulfill in all material respects any of the conditions of this Agreement, the Company agrees to reimburse you and the other Underwriters for all out-of-pocket expenses (including travel expenses and reasonable fees and expenses of counsel for the Underwriters, but excluding wages and salaries paid by you or the other Underwriters) reasonably incurred by you in connection herewith.</w:t>
      </w:r>
    </w:p>
    <w:p>
      <w:pPr>
        <w:spacing w:after="0" w:line="154" w:lineRule="exact"/>
        <w:rPr>
          <w:sz w:val="20"/>
          <w:szCs w:val="20"/>
          <w:color w:val="auto"/>
        </w:rPr>
      </w:pPr>
    </w:p>
    <w:p>
      <w:pPr>
        <w:ind w:right="240" w:firstLine="1263"/>
        <w:spacing w:after="0" w:line="289" w:lineRule="auto"/>
        <w:tabs>
          <w:tab w:leader="none" w:pos="188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will apply the net proceeds from the sale of the Shares to be sold by it hereunder in accordance in all material respects with the statements under the caption “Use of Proceeds” in the Prospectus.</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firstLine="1263"/>
        <w:spacing w:after="0" w:line="295" w:lineRule="auto"/>
        <w:tabs>
          <w:tab w:leader="none" w:pos="190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For a period commencing on the date hereof and ending on the 180th day after the date of the Prospectus (the “</w:t>
      </w:r>
      <w:r>
        <w:rPr>
          <w:rFonts w:ascii="Arial" w:cs="Arial" w:eastAsia="Arial" w:hAnsi="Arial"/>
          <w:sz w:val="15"/>
          <w:szCs w:val="15"/>
          <w:b w:val="1"/>
          <w:bCs w:val="1"/>
          <w:i w:val="1"/>
          <w:iCs w:val="1"/>
          <w:color w:val="auto"/>
        </w:rPr>
        <w:t>Lock-Up Period</w:t>
      </w:r>
      <w:r>
        <w:rPr>
          <w:rFonts w:ascii="Arial" w:cs="Arial" w:eastAsia="Arial" w:hAnsi="Arial"/>
          <w:sz w:val="15"/>
          <w:szCs w:val="15"/>
          <w:color w:val="auto"/>
        </w:rPr>
        <w:t>”), the Company will not, directly or indirectly, (1) offer for sale, sell, pledge or otherwise dispose of (or enter into any transaction or device that is designed to, or could be expected to, result in the disposition by any person at any time in the future of) any shares of Common Stock or securities convertible into or exchangeable for Common Stock (other than the Common Stock issued pursuant to employee benefit plans, equity-based compensation plans or other employee compensation plans existing on the date hereof or pursuant to currently outstanding options, warrants or rights described in the Registration Statement), or sell or grant options, rights or warrants with respect to any shares of Common Stock or securities convertible into or exchangeable for Common Stock (other than the grant of options pursuant to option plans existing on the date hereof and described in the Registration Statement), (2) enter into any swap or other derivatives transaction that transfers to another, in whole or in part, any of the economic benefits or risks of ownership of such shares of Common Stock, whether any such transaction described in clause (1) or (2) above is to be settled by delivery of Common Stock or other securities, in cash or otherwise, (3) file or cause to be filed a registration statement, including any amendments, with respect to the registration of any shares of Common Stock or securities convertible, exercisable or exchangeable into Common Stock or any other securities of the Company (other than any registration statement on Form S-8 with respect to the Company’s existing equity-based compensation plans as described in the Registration Statement) or (4) publicly disclose the intention to do any of the foregoing, in each case without the prior written consent of the Representatives on behalf of the Underwriters. Notwithstanding the foregoing, if during any period that the Company is not an Emerging Growth Company and (1) during the last 17 days of the Lock-Up Period, the Company issues an earnings release or announces material news or a material event relating to the Company occurs or (2) prior to the expiration of the Lock-Up Period, the Company announces that it will release earnings results during the 16-day period beginning on the last day of the Lock-Up Period, then the restrictions imposed in the preceding paragraph shall continue to apply until the expiration of the 18-day period beginning on the date of issuance of the earnings release or the announcement of the material news or the occurrence of the material event, unless the Representatives, on behalf of the Underwriters, waive such extension in writing. Written notice of any extension of the Lock-Up Period pursuant to the previous sentence will be promptly delivered by the Company to the Representatives. The Representatives agree that proper written notice may be delivered by the Company by filing a Form 8-K disclosing an extension of the initial 180-day restriction period. Without the prior written consent of the Representatives, the Company shall not file any Form 8-K disclosing that the 180-day restricted period (or any extension thereof) has expired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unless required by law in the opinion of the Company’s legal counsel.</w:t>
      </w:r>
    </w:p>
    <w:p>
      <w:pPr>
        <w:spacing w:after="0" w:line="224" w:lineRule="exact"/>
        <w:rPr>
          <w:sz w:val="20"/>
          <w:szCs w:val="20"/>
          <w:color w:val="auto"/>
        </w:rPr>
      </w:pPr>
    </w:p>
    <w:p>
      <w:pPr>
        <w:ind w:right="160" w:firstLine="1303"/>
        <w:spacing w:after="0" w:line="268" w:lineRule="auto"/>
        <w:tabs>
          <w:tab w:leader="none" w:pos="191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the Representatives, in their sole discretion, agree to release or waive the restrictions set forth in Section 5.1(o) above or a Lock-Up Agreement in the form of Exhibit A attached hereto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in either case for an officer or director of the Company, the Company agrees to announce the impending release or waiver by a press release substantially in the form of Exhibit B attached hereto through a major news service at least two (2) business days before the effective date of the release or waiver.</w:t>
      </w:r>
    </w:p>
    <w:p>
      <w:pPr>
        <w:spacing w:after="0" w:line="175" w:lineRule="exact"/>
        <w:rPr>
          <w:rFonts w:ascii="Arial" w:cs="Arial" w:eastAsia="Arial" w:hAnsi="Arial"/>
          <w:sz w:val="17"/>
          <w:szCs w:val="17"/>
          <w:color w:val="auto"/>
        </w:rPr>
      </w:pPr>
    </w:p>
    <w:p>
      <w:pPr>
        <w:ind w:right="40" w:firstLine="1303"/>
        <w:spacing w:after="0" w:line="273" w:lineRule="auto"/>
        <w:tabs>
          <w:tab w:leader="none" w:pos="191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Prior to the Closing Date or the Additional Closing Date, as the case may be, the Company will furnish to you, as promptly as possible, copies of any unaudited interim consolidated financial statements of the Company and its subsidiaries for any period subsequent to the periods covered by the financial statements appearing in the Prospectus.</w:t>
      </w:r>
    </w:p>
    <w:p>
      <w:pPr>
        <w:spacing w:after="0" w:line="171" w:lineRule="exact"/>
        <w:rPr>
          <w:rFonts w:ascii="Arial" w:cs="Arial" w:eastAsia="Arial" w:hAnsi="Arial"/>
          <w:sz w:val="17"/>
          <w:szCs w:val="17"/>
          <w:color w:val="auto"/>
        </w:rPr>
      </w:pPr>
    </w:p>
    <w:p>
      <w:pPr>
        <w:ind w:left="1920" w:hanging="617"/>
        <w:spacing w:after="0"/>
        <w:tabs>
          <w:tab w:leader="none" w:pos="1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Company will comply with all provisions of any undertakings contained in the Registration Statement.</w:t>
      </w:r>
    </w:p>
    <w:p>
      <w:pPr>
        <w:spacing w:after="0" w:line="224" w:lineRule="exact"/>
        <w:rPr>
          <w:rFonts w:ascii="Arial" w:cs="Arial" w:eastAsia="Arial" w:hAnsi="Arial"/>
          <w:sz w:val="17"/>
          <w:szCs w:val="17"/>
          <w:color w:val="auto"/>
        </w:rPr>
      </w:pPr>
    </w:p>
    <w:p>
      <w:pPr>
        <w:ind w:right="140" w:firstLine="1303"/>
        <w:spacing w:after="0" w:line="273" w:lineRule="auto"/>
        <w:tabs>
          <w:tab w:leader="none" w:pos="192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Company will not at any time, directly or indirectly, take any action designed, or which might reasonably be expected to cause or result in, or which will constitute, stabilization or manipulation (in each case, within the meaning of the Act or the Exchange Act and the rules and regulations promulgated thereunder) of the price of the shares of Common Stock to facilitate the sale or resale of any of the Shares.</w:t>
      </w:r>
    </w:p>
    <w:p>
      <w:pPr>
        <w:sectPr>
          <w:pgSz w:w="11900" w:h="16857" w:orient="portrait"/>
          <w:cols w:equalWidth="0" w:num="1">
            <w:col w:w="11420"/>
          </w:cols>
          <w:pgMar w:left="240" w:top="127" w:right="239" w:bottom="0" w:gutter="0" w:footer="0" w:header="0"/>
        </w:sectPr>
      </w:pPr>
    </w:p>
    <w:bookmarkStart w:id="209" w:name="page210"/>
    <w:bookmarkEnd w:id="209"/>
    <w:p>
      <w:pPr>
        <w:ind w:right="20" w:firstLine="1303"/>
        <w:spacing w:after="0" w:line="289" w:lineRule="auto"/>
        <w:tabs>
          <w:tab w:leader="none" w:pos="190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will timely file with NASDAQ all documents and notices required by the NASDAQ of companies that have or will issue securities that are traded on the NASDAQ.</w:t>
      </w:r>
    </w:p>
    <w:p>
      <w:pPr>
        <w:spacing w:after="0" w:line="158" w:lineRule="exact"/>
        <w:rPr>
          <w:rFonts w:ascii="Arial" w:cs="Arial" w:eastAsia="Arial" w:hAnsi="Arial"/>
          <w:sz w:val="17"/>
          <w:szCs w:val="17"/>
          <w:color w:val="auto"/>
        </w:rPr>
      </w:pPr>
    </w:p>
    <w:p>
      <w:pPr>
        <w:ind w:right="140" w:firstLine="1303"/>
        <w:spacing w:after="0" w:line="273" w:lineRule="auto"/>
        <w:tabs>
          <w:tab w:leader="none" w:pos="191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Company shall engage and maintain, at its expense, a transfer agent and, if necessary under the jurisdiction of its incorporation or the rules of any national securities exchange on which the Common Stock will be listed, a registrar (which, if permitted by applicable laws and rules may be the same entity as the transfer agent) for the Common Stock.</w:t>
      </w:r>
    </w:p>
    <w:p>
      <w:pPr>
        <w:spacing w:after="0" w:line="171" w:lineRule="exact"/>
        <w:rPr>
          <w:rFonts w:ascii="Arial" w:cs="Arial" w:eastAsia="Arial" w:hAnsi="Arial"/>
          <w:sz w:val="17"/>
          <w:szCs w:val="17"/>
          <w:color w:val="auto"/>
        </w:rPr>
      </w:pPr>
    </w:p>
    <w:p>
      <w:pPr>
        <w:ind w:right="60" w:firstLine="1263"/>
        <w:spacing w:after="0" w:line="273" w:lineRule="auto"/>
        <w:tabs>
          <w:tab w:leader="none" w:pos="187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 will promptly notify the Representatives if the Company ceases to be an Emerging Growth Company at any time prior to the later of (a) completion of the distribution of the Shares within the meaning of the Act and (b) completion of the Lock-Up Period (including any extension thereof).</w:t>
      </w:r>
    </w:p>
    <w:p>
      <w:pPr>
        <w:spacing w:after="0" w:line="172" w:lineRule="exact"/>
        <w:rPr>
          <w:sz w:val="20"/>
          <w:szCs w:val="20"/>
          <w:color w:val="auto"/>
        </w:rPr>
      </w:pPr>
    </w:p>
    <w:p>
      <w:pPr>
        <w:ind w:right="120" w:firstLine="663"/>
        <w:spacing w:after="0" w:line="28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Of Each Selling Stockholder</w:t>
      </w:r>
      <w:r>
        <w:rPr>
          <w:rFonts w:ascii="Arial" w:cs="Arial" w:eastAsia="Arial" w:hAnsi="Arial"/>
          <w:sz w:val="17"/>
          <w:szCs w:val="17"/>
          <w:color w:val="auto"/>
        </w:rPr>
        <w:t>. Each Selling Stockholder, severally as to itself and not jointly, covenants and agrees with the several Underwriters as follows:</w:t>
      </w:r>
    </w:p>
    <w:p>
      <w:pPr>
        <w:spacing w:after="0" w:line="158" w:lineRule="exact"/>
        <w:rPr>
          <w:sz w:val="20"/>
          <w:szCs w:val="20"/>
          <w:color w:val="auto"/>
        </w:rPr>
      </w:pPr>
    </w:p>
    <w:p>
      <w:pPr>
        <w:ind w:left="1900" w:hanging="597"/>
        <w:spacing w:after="0"/>
        <w:tabs>
          <w:tab w:leader="none" w:pos="1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Such Selling Stockholder will execute and deliver a Lock-Up Agreement prior to the effectiveness of the Registration Statement.</w:t>
      </w:r>
    </w:p>
    <w:p>
      <w:pPr>
        <w:spacing w:after="0" w:line="235" w:lineRule="exact"/>
        <w:rPr>
          <w:rFonts w:ascii="Arial" w:cs="Arial" w:eastAsia="Arial" w:hAnsi="Arial"/>
          <w:sz w:val="16"/>
          <w:szCs w:val="16"/>
          <w:color w:val="auto"/>
        </w:rPr>
      </w:pPr>
    </w:p>
    <w:p>
      <w:pPr>
        <w:ind w:right="140" w:firstLine="1303"/>
        <w:spacing w:after="0" w:line="273" w:lineRule="auto"/>
        <w:tabs>
          <w:tab w:leader="none" w:pos="191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Such Selling Stockholder will review the Prospectus and will comply with all agreements and satisfy all conditions on its part to be complied with or satisfied pursuant to this Agreement on or prior to the Closing Date and will advise the Underwriters prior to the Closing Date if any statements to be made on behalf of such Selling Stockholder in the certificate contemplated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Section 9(p) hereof would be inaccurate if made as of the Closing Date.</w:t>
      </w:r>
    </w:p>
    <w:p>
      <w:pPr>
        <w:spacing w:after="0" w:line="224" w:lineRule="exact"/>
        <w:rPr>
          <w:sz w:val="20"/>
          <w:szCs w:val="20"/>
          <w:color w:val="auto"/>
        </w:rPr>
      </w:pPr>
    </w:p>
    <w:p>
      <w:pPr>
        <w:jc w:val="both"/>
        <w:ind w:right="40" w:firstLine="1263"/>
        <w:spacing w:after="0" w:line="273" w:lineRule="auto"/>
        <w:tabs>
          <w:tab w:leader="none" w:pos="189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On the Closing Date, all stock transfer and other taxes (other than income taxes) that are required to be paid in connection with the sale and transfer of the Firm Shares to be sold by such Selling Stockholder to the Underwriters hereunder will have been fully paid for by such Selling Stockholder and all laws imposing such taxes will have been fully complied with.</w:t>
      </w:r>
    </w:p>
    <w:p>
      <w:pPr>
        <w:spacing w:after="0" w:line="171" w:lineRule="exact"/>
        <w:rPr>
          <w:rFonts w:ascii="Arial" w:cs="Arial" w:eastAsia="Arial" w:hAnsi="Arial"/>
          <w:sz w:val="17"/>
          <w:szCs w:val="17"/>
          <w:color w:val="auto"/>
        </w:rPr>
      </w:pPr>
    </w:p>
    <w:p>
      <w:pPr>
        <w:ind w:right="160" w:firstLine="1263"/>
        <w:spacing w:after="0" w:line="268" w:lineRule="auto"/>
        <w:tabs>
          <w:tab w:leader="none" w:pos="187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In order to document the Underwriters’ compliance with the reporting and withholding provisions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the regulations promulgated thereunder, with respect to the transactions herein contemplated, such Selling Stockholder shall deliver to you at least two days prior to the Closing Date a properly completed and executed United States Treasury Department Substitute Form W-9 or an appropriate Form W-8, as applicable.</w:t>
      </w:r>
    </w:p>
    <w:p>
      <w:pPr>
        <w:spacing w:after="0" w:line="175" w:lineRule="exact"/>
        <w:rPr>
          <w:rFonts w:ascii="Arial" w:cs="Arial" w:eastAsia="Arial" w:hAnsi="Arial"/>
          <w:sz w:val="17"/>
          <w:szCs w:val="17"/>
          <w:color w:val="auto"/>
        </w:rPr>
      </w:pPr>
    </w:p>
    <w:p>
      <w:pPr>
        <w:ind w:left="1240" w:hanging="606"/>
        <w:spacing w:after="0"/>
        <w:tabs>
          <w:tab w:leader="none" w:pos="124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24" w:lineRule="exact"/>
        <w:rPr>
          <w:sz w:val="20"/>
          <w:szCs w:val="20"/>
          <w:color w:val="auto"/>
        </w:rPr>
      </w:pPr>
    </w:p>
    <w:p>
      <w:pPr>
        <w:ind w:right="260" w:firstLine="66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Of the Company</w:t>
      </w:r>
      <w:r>
        <w:rPr>
          <w:rFonts w:ascii="Arial" w:cs="Arial" w:eastAsia="Arial" w:hAnsi="Arial"/>
          <w:sz w:val="17"/>
          <w:szCs w:val="17"/>
          <w:color w:val="auto"/>
        </w:rPr>
        <w:t>. The Company hereby represents and warrants to each Underwriter on the date hereof, and shall be deemed to represent and warrant to each Underwriter on the Closing Date and the Additional Closing Date, as the case may be, that:</w:t>
      </w:r>
    </w:p>
    <w:p>
      <w:pPr>
        <w:spacing w:after="0" w:line="158" w:lineRule="exact"/>
        <w:rPr>
          <w:sz w:val="20"/>
          <w:szCs w:val="20"/>
          <w:color w:val="auto"/>
        </w:rPr>
      </w:pPr>
    </w:p>
    <w:p>
      <w:pPr>
        <w:ind w:right="120" w:firstLine="1263"/>
        <w:spacing w:after="0" w:line="273" w:lineRule="auto"/>
        <w:tabs>
          <w:tab w:leader="none" w:pos="186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Company was not at the time of initial filing of the Registration Statement and at the earliest time thereafter that the Company or another offering participant made a bona fide offer (within the meaning of Rule 164(h)(2) of the Act) of the Common Stock, is not on the date hereof and will not be on the applicable Delivery Date an “ineligible issuer” (as defined in Rule 405 under the Act).</w:t>
      </w:r>
    </w:p>
    <w:p>
      <w:pPr>
        <w:spacing w:after="0" w:line="171" w:lineRule="exact"/>
        <w:rPr>
          <w:rFonts w:ascii="Arial" w:cs="Arial" w:eastAsia="Arial" w:hAnsi="Arial"/>
          <w:sz w:val="17"/>
          <w:szCs w:val="17"/>
          <w:color w:val="auto"/>
        </w:rPr>
      </w:pPr>
    </w:p>
    <w:p>
      <w:pPr>
        <w:ind w:right="60" w:firstLine="1303"/>
        <w:spacing w:after="0" w:line="273" w:lineRule="auto"/>
        <w:tabs>
          <w:tab w:leader="none" w:pos="191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Registration Statement conformed, and any amendment to the Registration Statement filed after the date hereof will conform in all material respects when filed, to the requirements of the Act. The most recent Preliminary Prospectus conformed, and the Prospectus will conform, in all material respects to the requirements of the Act when filed with the Commission pursuant to Rule 424(b).</w:t>
      </w:r>
    </w:p>
    <w:p>
      <w:pPr>
        <w:spacing w:after="0" w:line="171" w:lineRule="exact"/>
        <w:rPr>
          <w:rFonts w:ascii="Arial" w:cs="Arial" w:eastAsia="Arial" w:hAnsi="Arial"/>
          <w:sz w:val="17"/>
          <w:szCs w:val="17"/>
          <w:color w:val="auto"/>
        </w:rPr>
      </w:pPr>
    </w:p>
    <w:p>
      <w:pPr>
        <w:ind w:right="120" w:firstLine="1303"/>
        <w:spacing w:after="0" w:line="265" w:lineRule="auto"/>
        <w:tabs>
          <w:tab w:leader="none" w:pos="19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The Registration Statement does not contain an untrue statement of a material fact or omit to state a material fact required to be stated therein or necessary to make the statements therein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it being understood and agreed that the only such information furnished by any Underwriter consists of the information described as such in Section 14 hereof.</w:t>
      </w:r>
    </w:p>
    <w:p>
      <w:pPr>
        <w:spacing w:after="0" w:line="179" w:lineRule="exact"/>
        <w:rPr>
          <w:rFonts w:ascii="Arial" w:cs="Arial" w:eastAsia="Arial" w:hAnsi="Arial"/>
          <w:sz w:val="17"/>
          <w:szCs w:val="17"/>
          <w:color w:val="auto"/>
        </w:rPr>
      </w:pPr>
    </w:p>
    <w:p>
      <w:pPr>
        <w:ind w:right="320" w:firstLine="1303"/>
        <w:spacing w:after="0" w:line="268" w:lineRule="auto"/>
        <w:tabs>
          <w:tab w:leader="none" w:pos="191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Prospectus will not contain an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Prospectus in reliance upon and in conformity with written information furnished to the Company through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Representatives by or on behalf of any Underwriter specifically for inclusion therein, it being understood and agreed that the only such information furnished by any Underwriter consists of the information described as such in Section 14 hereof.</w:t>
      </w:r>
    </w:p>
    <w:p>
      <w:pPr>
        <w:spacing w:after="0" w:line="158" w:lineRule="exact"/>
        <w:rPr>
          <w:sz w:val="20"/>
          <w:szCs w:val="20"/>
          <w:color w:val="auto"/>
        </w:rPr>
      </w:pPr>
    </w:p>
    <w:p>
      <w:pPr>
        <w:ind w:firstLine="1263"/>
        <w:spacing w:after="0" w:line="263" w:lineRule="auto"/>
        <w:tabs>
          <w:tab w:leader="none" w:pos="189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Time of Sale Information does not, and will not at the time of sale of the Shares, contain an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Time of Sale Information in reliance upon and in conformity with written information furnished to the Company through the Representatives by or on behalf of any Underwriter specifically for inclusion therein, it being understood and agreed that the only such information furnished by any Underwriter consists of the information described as such in Section 14 hereof.</w:t>
      </w:r>
    </w:p>
    <w:p>
      <w:pPr>
        <w:spacing w:after="0" w:line="183" w:lineRule="exact"/>
        <w:rPr>
          <w:rFonts w:ascii="Arial" w:cs="Arial" w:eastAsia="Arial" w:hAnsi="Arial"/>
          <w:sz w:val="17"/>
          <w:szCs w:val="17"/>
          <w:color w:val="auto"/>
        </w:rPr>
      </w:pPr>
    </w:p>
    <w:p>
      <w:pPr>
        <w:ind w:right="60" w:firstLine="1263"/>
        <w:spacing w:after="0" w:line="285" w:lineRule="auto"/>
        <w:tabs>
          <w:tab w:leader="none" w:pos="191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Issuer Free Writing Prospectus (including, without limitation, any road show that is a free writing prospectus under Rule 433 under the Act), when considered together with the Time of Sale Information at the time of sale of the Shares, did not contain an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Time of Sale Information in reliance upon and in conformity with written information furnished to the Company through the Representatives by or on behalf of any Underwriter specifically for</w:t>
      </w:r>
    </w:p>
    <w:p>
      <w:pPr>
        <w:sectPr>
          <w:pgSz w:w="11900" w:h="16838" w:orient="portrait"/>
          <w:cols w:equalWidth="0" w:num="1">
            <w:col w:w="11420"/>
          </w:cols>
          <w:pgMar w:left="240" w:top="337" w:right="239" w:bottom="0" w:gutter="0" w:footer="0" w:header="0"/>
        </w:sectPr>
      </w:pPr>
    </w:p>
    <w:bookmarkStart w:id="210" w:name="page211"/>
    <w:bookmarkEnd w:id="210"/>
    <w:p>
      <w:pPr>
        <w:spacing w:after="0" w:line="34"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inclusion therein, it being understood and agreed that the only such information furnished by any Underwriter consists of the information described as such in Section 14 hereof.</w:t>
      </w:r>
    </w:p>
    <w:p>
      <w:pPr>
        <w:spacing w:after="0" w:line="158" w:lineRule="exact"/>
        <w:rPr>
          <w:sz w:val="20"/>
          <w:szCs w:val="20"/>
          <w:color w:val="auto"/>
        </w:rPr>
      </w:pPr>
    </w:p>
    <w:p>
      <w:pPr>
        <w:ind w:right="40" w:firstLine="1263"/>
        <w:spacing w:after="0" w:line="263" w:lineRule="auto"/>
        <w:tabs>
          <w:tab w:leader="none" w:pos="190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Issuer Free Writing Prospectus conformed or will conform in all material respects to the requirements of the Act on the date of first use, and the Company has complied with all prospectus delivery and any filing requirements applicable to such Issuer Free Writing Prospectus pursuant to the Act. The Company has not made any offer relating to the Stock that would constitute an Issuer Free Writing Prospectus without the prior written consent of the Representatives. The Company has retained in accordance with the Act all Issuer Free Writing Prospectuses that were not required to be filed pursuant to the Act. The Company has taken all actions necessary so that any “road show” (as defined in Rule 433 under the Act) in connection with the offering of the Stock will not be required to be filed pursuant to the Act.</w:t>
      </w:r>
    </w:p>
    <w:p>
      <w:pPr>
        <w:spacing w:after="0" w:line="183" w:lineRule="exact"/>
        <w:rPr>
          <w:rFonts w:ascii="Arial" w:cs="Arial" w:eastAsia="Arial" w:hAnsi="Arial"/>
          <w:sz w:val="17"/>
          <w:szCs w:val="17"/>
          <w:color w:val="auto"/>
        </w:rPr>
      </w:pPr>
    </w:p>
    <w:p>
      <w:pPr>
        <w:ind w:right="160" w:firstLine="1263"/>
        <w:spacing w:after="0" w:line="290" w:lineRule="auto"/>
        <w:tabs>
          <w:tab w:leader="none" w:pos="190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Act (an “</w:t>
      </w:r>
      <w:r>
        <w:rPr>
          <w:rFonts w:ascii="Arial" w:cs="Arial" w:eastAsia="Arial" w:hAnsi="Arial"/>
          <w:sz w:val="16"/>
          <w:szCs w:val="16"/>
          <w:b w:val="1"/>
          <w:bCs w:val="1"/>
          <w:i w:val="1"/>
          <w:iCs w:val="1"/>
          <w:color w:val="auto"/>
        </w:rPr>
        <w:t>Emerging Growth Company</w:t>
      </w:r>
      <w:r>
        <w:rPr>
          <w:rFonts w:ascii="Arial" w:cs="Arial" w:eastAsia="Arial" w:hAnsi="Arial"/>
          <w:sz w:val="16"/>
          <w:szCs w:val="16"/>
          <w:color w:val="auto"/>
        </w:rPr>
        <w:t>”). “Testing-the-Waters Communication” means any oral or written communication with potential investors undertaken in reliance on Section 5(d) of the Act.</w:t>
      </w:r>
    </w:p>
    <w:p>
      <w:pPr>
        <w:spacing w:after="0" w:line="159" w:lineRule="exact"/>
        <w:rPr>
          <w:rFonts w:ascii="Arial" w:cs="Arial" w:eastAsia="Arial" w:hAnsi="Arial"/>
          <w:sz w:val="16"/>
          <w:szCs w:val="16"/>
          <w:color w:val="auto"/>
        </w:rPr>
      </w:pPr>
    </w:p>
    <w:p>
      <w:pPr>
        <w:ind w:right="280" w:firstLine="1263"/>
        <w:spacing w:after="0" w:line="289" w:lineRule="auto"/>
        <w:tabs>
          <w:tab w:leader="none" w:pos="190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Communications other than Testing-the-Waters Communications with the consent of the Representatives with entities that the Company believes are qualified institutional buyers within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meaning of Rule 144A under the Act or institutions that the Company believes are accredited investors within the meaning of Rule 501 under the Act and (ii) has not authorized anyone other than the Representatives to engage in Testing-the-Waters Communications. The Company reconfirms that the Representatives have been authorized to act on its behalf in undertaking Testing-the-Waters Communications. Except with the consent of the Representatives, the Company has not distributed or approved for distribution any Written Testing-the-Waters Communications. “Written Testing-the-Waters Communication” means any Testing-the-Waters Communication that is a written communication within the meaning of Rule 405 under the Act.</w:t>
      </w:r>
    </w:p>
    <w:p>
      <w:pPr>
        <w:spacing w:after="0" w:line="166" w:lineRule="exact"/>
        <w:rPr>
          <w:sz w:val="20"/>
          <w:szCs w:val="20"/>
          <w:color w:val="auto"/>
        </w:rPr>
      </w:pPr>
    </w:p>
    <w:p>
      <w:pPr>
        <w:ind w:firstLine="1263"/>
        <w:spacing w:after="0" w:line="290" w:lineRule="auto"/>
        <w:tabs>
          <w:tab w:leader="none" w:pos="190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individual Testing-the-Waters Communication does not conflict with the information contained in the Registration Statement, complied in all material respects with the applicable provisions of the Act, and when taken together with the Registration Statement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59" w:lineRule="exact"/>
        <w:rPr>
          <w:rFonts w:ascii="Arial" w:cs="Arial" w:eastAsia="Arial" w:hAnsi="Arial"/>
          <w:sz w:val="16"/>
          <w:szCs w:val="16"/>
          <w:color w:val="auto"/>
        </w:rPr>
      </w:pPr>
    </w:p>
    <w:p>
      <w:pPr>
        <w:ind w:right="20" w:firstLine="1263"/>
        <w:spacing w:after="0" w:line="260" w:lineRule="auto"/>
        <w:tabs>
          <w:tab w:leader="none" w:pos="190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capitalization of the Company is and will be as set forth in the Prospectus as of the date set forth therein. All the outstanding shares of Common Stock of the Company have been, and as of the Closing Date and the Additional Closing Date, as the case may be, will be, duly authorized and validly issued, are fully paid and non-assessable and are free of any preemptive or similar rights. Except as set forth in the Time of Sale Information and the Prospectus, the Company is not a party to or bound by any outstanding options, warrants or similar rights to subscribe for, or contractual obligations to issue, sell, transfer or acquire, any of its capital stock or any securities convertible into or exchangeable for any of such capital stock. The Shares to be issued and sold to the Underwriters by the Company hereunder have been duly authorized and, when issued and delivered to the Underwriters against full payment therefor in accordance with the terms hereof will be validly issued, fully paid and non-assessable and free of any preemptive or similar rights. The capital stock of the Company conforms to the description thereof in the Registration Statement, the Time of Sale Information and the Prospectus (or any amendment or supplement thereto). In the event Shares being sold by the Company pursuant to this Agreement are certificated, the delivery of certificates for such Shares against payment therefor pursuant to the terms of this Agreement will pass valid title to the Shares being sold by the Company, free and clear of any claim, encumbrance or defect in title, to the several Underwriters purchasing such shares in good faith and without notice of any lien, claim or encumbrance. To the extent the Shares are certificated, the certificates for the Shares being sold by the Company are in valid and sufficient form. To the extent the Shares are registered in book entry form, such book entries are valid.</w:t>
      </w:r>
    </w:p>
    <w:p>
      <w:pPr>
        <w:spacing w:after="0" w:line="183" w:lineRule="exact"/>
        <w:rPr>
          <w:rFonts w:ascii="Arial" w:cs="Arial" w:eastAsia="Arial" w:hAnsi="Arial"/>
          <w:sz w:val="17"/>
          <w:szCs w:val="17"/>
          <w:color w:val="auto"/>
        </w:rPr>
      </w:pPr>
    </w:p>
    <w:p>
      <w:pPr>
        <w:ind w:right="120" w:firstLine="1263"/>
        <w:spacing w:after="0" w:line="308" w:lineRule="auto"/>
        <w:tabs>
          <w:tab w:leader="none" w:pos="1906" w:val="left"/>
        </w:tabs>
        <w:numPr>
          <w:ilvl w:val="0"/>
          <w:numId w:val="147"/>
        </w:numPr>
        <w:rPr>
          <w:rFonts w:ascii="Arial" w:cs="Arial" w:eastAsia="Arial" w:hAnsi="Arial"/>
          <w:sz w:val="15"/>
          <w:szCs w:val="15"/>
          <w:color w:val="auto"/>
        </w:rPr>
      </w:pPr>
      <w:r>
        <w:rPr>
          <w:rFonts w:ascii="Arial" w:cs="Arial" w:eastAsia="Arial" w:hAnsi="Arial"/>
          <w:sz w:val="15"/>
          <w:szCs w:val="15"/>
          <w:color w:val="auto"/>
        </w:rPr>
        <w:t>Each of the Company and its subsidiaries is duly organized and validly existing as a corporation, limited liability company or other organization in good standing under the laws of the jurisdiction of its incorporation or organization with full corporate or organizational power and authority to own, lease and operate its properties and to conduct its business as presently conducted and as described in the Registration Statement, the Time of Sale Information and the Prospectus (and any amendment or supplement thereto) and is duly registered and qualified to conduct its business and is in good standing in each jurisdiction or place where the nature of its properties or the conduct of its business requires such registration or qualification, except where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failure to so register or qualify has not had or will not have a material adverse effect on the condition (financial or other), business, properties, net worth, results of operations or prospects of the Company and its subsidiaries, taken as a whole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w:t>
      </w:r>
    </w:p>
    <w:p>
      <w:pPr>
        <w:spacing w:after="0" w:line="158" w:lineRule="exact"/>
        <w:rPr>
          <w:sz w:val="20"/>
          <w:szCs w:val="20"/>
          <w:color w:val="auto"/>
        </w:rPr>
      </w:pPr>
    </w:p>
    <w:p>
      <w:pPr>
        <w:ind w:right="180" w:firstLine="1263"/>
        <w:spacing w:after="0" w:line="285" w:lineRule="auto"/>
        <w:tabs>
          <w:tab w:leader="none" w:pos="188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issued shares of capital stock of each of the Company’s subsidiaries have been duly authorized and validly issued, are fully paid and non-assessable and are owned by the Company free and clear of any security interests, liens, encumbrances, equities or claims, except those identified in the Registration Statement or the Prospectus. The Company does not have any subsidiaries and does not own a material interest in or control, directly or indirectly, any other corporation, partnership, joint venture, association, trust or other business organization, except as set forth in Exhibit 21 to the Registration Statement. As used in this Agreement, subsidiaries shall mean direct and indirect subsidiaries of the Company.</w:t>
      </w:r>
    </w:p>
    <w:p>
      <w:pPr>
        <w:spacing w:after="0" w:line="166" w:lineRule="exact"/>
        <w:rPr>
          <w:rFonts w:ascii="Arial" w:cs="Arial" w:eastAsia="Arial" w:hAnsi="Arial"/>
          <w:sz w:val="16"/>
          <w:szCs w:val="16"/>
          <w:color w:val="auto"/>
        </w:rPr>
      </w:pPr>
    </w:p>
    <w:p>
      <w:pPr>
        <w:ind w:right="80" w:firstLine="1263"/>
        <w:spacing w:after="0" w:line="298" w:lineRule="auto"/>
        <w:tabs>
          <w:tab w:leader="none" w:pos="1908"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There are no legal or governmental proceedings pending or, to the knowledge of the Company, threatened, against the Company or its subsidiaries or to which the Company or its subsidiaries or any of their properties are subject, that are required to be described in the Registration Statement or the Prospectus (or any amendment or supplement thereto) but are not described as required. There is no action, suit, inquiry, proceeding or investigation by or before any court or governmental or other regulatory or administrative agency or commission pending or, to the knowledge of the Company, threatened, against or involving the Company or its subsidiaries, that would reasonably be expected to individually or in the aggregate prevent or adversely affect the transactions contemplated by this Agreement or result in a Material Adverse Effect, nor to the Company’s knowledge, is there any basis for any such action, suit, inquiry, proceeding or investigation. There are no agreements, contracts, indentures, leases or other instruments that are required to be described in the Registration Statement, the Time of Sale Information or the Prospectus (or any amendment or supplement thereto) or to be filed as an exhibit to the Registration Statement that are not described, filed or incorporated by reference in the Registration Statement, the Time of Sale Information and the Prospectus as required by the Act. All such contracts to which the Company or any of its subsidiaries is a party have been duly authorized, executed and delivered by the Company or the applicable subsidiary, constitute valid and binding agreements of the Company or the applicable subsidiary and are enforceable against the Company or the applicable subsidiary in accordance with the terms thereof, except as enforceability thereof may be limited by (i) the application of bankruptcy, reorganization, insolvency</w:t>
      </w:r>
    </w:p>
    <w:p>
      <w:pPr>
        <w:sectPr>
          <w:pgSz w:w="11900" w:h="16872" w:orient="portrait"/>
          <w:cols w:equalWidth="0" w:num="1">
            <w:col w:w="11420"/>
          </w:cols>
          <w:pgMar w:left="240" w:top="127" w:right="239" w:bottom="0" w:gutter="0" w:footer="0" w:header="0"/>
        </w:sectPr>
      </w:pPr>
    </w:p>
    <w:bookmarkStart w:id="211" w:name="page212"/>
    <w:bookmarkEnd w:id="211"/>
    <w:p>
      <w:pPr>
        <w:ind w:right="80"/>
        <w:spacing w:after="0" w:line="273" w:lineRule="auto"/>
        <w:rPr>
          <w:sz w:val="20"/>
          <w:szCs w:val="20"/>
          <w:color w:val="auto"/>
        </w:rPr>
      </w:pPr>
      <w:r>
        <w:rPr>
          <w:rFonts w:ascii="Arial" w:cs="Arial" w:eastAsia="Arial" w:hAnsi="Arial"/>
          <w:sz w:val="17"/>
          <w:szCs w:val="17"/>
          <w:color w:val="auto"/>
        </w:rPr>
        <w:t>and other laws affecting creditors’ rights generally and (ii) equitable principles being applied at the discretion of a court before which any proceeding may be brought. Neither the Company nor the applicable subsidiary has received notice or been made aware that any other party is in breach of or default to the Company under any of such contracts.</w:t>
      </w:r>
    </w:p>
    <w:p>
      <w:pPr>
        <w:spacing w:after="0" w:line="172" w:lineRule="exact"/>
        <w:rPr>
          <w:sz w:val="20"/>
          <w:szCs w:val="20"/>
          <w:color w:val="auto"/>
        </w:rPr>
      </w:pPr>
    </w:p>
    <w:p>
      <w:pPr>
        <w:ind w:right="140" w:firstLine="1263"/>
        <w:spacing w:after="0" w:line="295" w:lineRule="auto"/>
        <w:tabs>
          <w:tab w:leader="none" w:pos="1908" w:val="left"/>
        </w:tabs>
        <w:numPr>
          <w:ilvl w:val="1"/>
          <w:numId w:val="149"/>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(i) in violation of (A) its certificate of incorporation or bylaws, or other organizational documents, (B) any federal, state or foreign law, ordinance, administrative or governmental rule or regulation applicable to the Company or any of its subsidiaries, the violation of which would have a Material Adverse Effect or (C) any decree of any federal, state or foreign court or governmental agency or body having jurisdiction over the Company or any of its subsidiaries; or (ii) in default in any material respect in the performance of any obligation, agreement or condition contained in (A) any bond, debenture, note or any other evidence of indebtedness or (B) any agreement, indenture, lease or other instrument (each of</w:t>
      </w:r>
    </w:p>
    <w:p>
      <w:pPr>
        <w:ind w:left="300" w:hanging="295"/>
        <w:spacing w:after="0"/>
        <w:tabs>
          <w:tab w:leader="none" w:pos="3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(B), an “</w:t>
      </w:r>
      <w:r>
        <w:rPr>
          <w:rFonts w:ascii="Arial" w:cs="Arial" w:eastAsia="Arial" w:hAnsi="Arial"/>
          <w:sz w:val="16"/>
          <w:szCs w:val="16"/>
          <w:b w:val="1"/>
          <w:bCs w:val="1"/>
          <w:i w:val="1"/>
          <w:iCs w:val="1"/>
          <w:color w:val="auto"/>
        </w:rPr>
        <w:t>Existing Instrument</w:t>
      </w:r>
      <w:r>
        <w:rPr>
          <w:rFonts w:ascii="Arial" w:cs="Arial" w:eastAsia="Arial" w:hAnsi="Arial"/>
          <w:sz w:val="16"/>
          <w:szCs w:val="16"/>
          <w:color w:val="auto"/>
        </w:rPr>
        <w:t>”) to which the Company or any of its subsidiaries is a party or by which any of their properties may be bound, which default would have a Material Adverse Effect; and there does not exist any state of facts that constitutes an event of default on the part of the Company or any of its subsidiaries as defined in such documents or that, with notice or lapse of time or both, would constitute such an event of default.</w:t>
      </w:r>
    </w:p>
    <w:p>
      <w:pPr>
        <w:spacing w:after="0" w:line="154" w:lineRule="exact"/>
        <w:rPr>
          <w:sz w:val="20"/>
          <w:szCs w:val="20"/>
          <w:color w:val="auto"/>
        </w:rPr>
      </w:pPr>
    </w:p>
    <w:p>
      <w:pPr>
        <w:ind w:firstLine="1263"/>
        <w:spacing w:after="0" w:line="263" w:lineRule="auto"/>
        <w:tabs>
          <w:tab w:leader="none" w:pos="190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Company’s execution and delivery of this Agreement and the performance by the Company of its obligations under this Agreement have been duly and validly authorized by the Company, this Agreement has been duly executed and delivered by the Company, and this Agreement constitutes a valid and legally binding agreement of the Company, enforceable against the Company in accordance with its terms, except to the extent enforceability may be limited by (i) the application of bankruptcy, reorganization, insolvency and other laws affecting creditors’ rights generally, (ii) equitable principles being applied at the discretion of a court before which any proceeding may be brought, and (iii) federal or state securities laws regarding rights to indemnity and contribution hereunder.</w:t>
      </w:r>
    </w:p>
    <w:p>
      <w:pPr>
        <w:spacing w:after="0" w:line="183" w:lineRule="exact"/>
        <w:rPr>
          <w:rFonts w:ascii="Arial" w:cs="Arial" w:eastAsia="Arial" w:hAnsi="Arial"/>
          <w:sz w:val="17"/>
          <w:szCs w:val="17"/>
          <w:color w:val="auto"/>
        </w:rPr>
      </w:pPr>
    </w:p>
    <w:p>
      <w:pPr>
        <w:ind w:right="20" w:firstLine="1263"/>
        <w:spacing w:after="0" w:line="277" w:lineRule="auto"/>
        <w:tabs>
          <w:tab w:leader="none" w:pos="190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None of the issuance and sale of the Shares by the Company, the execution, delivery or performance of this Agreement by the Company nor the consummation by the Company of the transactions contemplated hereby (i) requires any consent, approval, authorization or other order of or registration or filing with, any court, regulatory body, administrative agency or other governmental body, agency or official (except such as may be required for the registration of the Shares under the Act, the listing of the Shares for trading on the NASDAQ, the registration of the Common Stock under the Securities Exchange Act of 1934, as amended, and the rules and regulations of the Commission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compliance with the securities or Blue Sky laws of various jurisdictions, all of which will be, or have been, effected in accordance with this Agreement and except for FINRA’s clearance of the underwriting terms of the offering contemplated hereby as required under FINRA’s Rules of Fair Practice), (ii) conflicts with or will conflict with or constitutes or will constitute a breach of, or a default under, the Company’s certificate of incorporation or the Company’s bylaws or any agreement, indenture, lease or other instrument to which the Company or any of its subsidiaries is a party or by which any of its properties may be bound, (iii) violates any statute, law, regulation, ruling, filing, judgment, injunction, order or decree applicable to the Company or any of its subsidiaries or any of their properties, or (iv) results in a breach of, or default under, or results in the creation or imposition of any lien, charge or encumbrance upon any property or assets of the Company or any of its subsidiaries pursuant to, or requires the consent of any other party to, any Existing Instrument, except for such conflicts, breaches, defaults, liens, charges or encumbrances that will not, individually or in the aggregate, result in a Material Adverse Effect.</w:t>
      </w:r>
    </w:p>
    <w:p>
      <w:pPr>
        <w:spacing w:after="0" w:line="175" w:lineRule="exact"/>
        <w:rPr>
          <w:rFonts w:ascii="Arial" w:cs="Arial" w:eastAsia="Arial" w:hAnsi="Arial"/>
          <w:sz w:val="16"/>
          <w:szCs w:val="16"/>
          <w:color w:val="auto"/>
        </w:rPr>
      </w:pPr>
    </w:p>
    <w:p>
      <w:pPr>
        <w:ind w:right="40" w:firstLine="1263"/>
        <w:spacing w:after="0" w:line="308" w:lineRule="auto"/>
        <w:tabs>
          <w:tab w:leader="none" w:pos="1916" w:val="left"/>
        </w:tabs>
        <w:numPr>
          <w:ilvl w:val="0"/>
          <w:numId w:val="151"/>
        </w:numPr>
        <w:rPr>
          <w:rFonts w:ascii="Arial" w:cs="Arial" w:eastAsia="Arial" w:hAnsi="Arial"/>
          <w:sz w:val="15"/>
          <w:szCs w:val="15"/>
          <w:color w:val="auto"/>
        </w:rPr>
      </w:pPr>
      <w:r>
        <w:rPr>
          <w:rFonts w:ascii="Arial" w:cs="Arial" w:eastAsia="Arial" w:hAnsi="Arial"/>
          <w:sz w:val="15"/>
          <w:szCs w:val="15"/>
          <w:color w:val="auto"/>
        </w:rPr>
        <w:t>Except as described in the Time of Sale Information and the Prospectus, including the options to purchase capital stock issued pursuant to the Company’s 1998 Incentive Share Plan, 2000 Incentive Share Plan, 2004 Incentive Share Plan or 2006 Incentive Share Plan, neither the Company nor any of its subsidiaries has outstanding and at the Closing Date and the Additional Closing Date, as the case may be, will have outstanding any options to purchase, or any warrants to subscribe for, or any securities or obligations convertible into, or any contracts or commitments to issue or sell, any shares of Common Stock or any such warrants or convertible securities or obligations. No holder of securities of the Company has rights to the registration of 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securities of the Company, other than the Selling Stockholders with respect to the Shares included in the Registration Statement, as a result of or in connection with the filing of the Registration Statement or the consummation of the transactions contemplated hereby that have not been satisfied or heretofore waived in writing.</w:t>
      </w:r>
    </w:p>
    <w:p>
      <w:pPr>
        <w:spacing w:after="0" w:line="172" w:lineRule="exact"/>
        <w:rPr>
          <w:sz w:val="20"/>
          <w:szCs w:val="20"/>
          <w:color w:val="auto"/>
        </w:rPr>
      </w:pPr>
    </w:p>
    <w:p>
      <w:pPr>
        <w:ind w:right="280" w:firstLine="1263"/>
        <w:spacing w:after="0" w:line="273" w:lineRule="auto"/>
        <w:tabs>
          <w:tab w:leader="none" w:pos="192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Grant Thornton LLP, the certified public accountants who have certified the financial statements (including the related notes thereto and supporting schedules) filed as part of the Registration Statement and the Prospectus (or any amendment or supplement thereto), are independent public accountants as required by the Act.</w:t>
      </w:r>
    </w:p>
    <w:p>
      <w:pPr>
        <w:spacing w:after="0" w:line="171" w:lineRule="exact"/>
        <w:rPr>
          <w:rFonts w:ascii="Arial" w:cs="Arial" w:eastAsia="Arial" w:hAnsi="Arial"/>
          <w:sz w:val="17"/>
          <w:szCs w:val="17"/>
          <w:color w:val="auto"/>
        </w:rPr>
      </w:pPr>
    </w:p>
    <w:p>
      <w:pPr>
        <w:ind w:firstLine="1263"/>
        <w:spacing w:after="0" w:line="299" w:lineRule="auto"/>
        <w:tabs>
          <w:tab w:leader="none" w:pos="1906"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historical financial statements, together with related schedules and notes, included in the Registration Statement, the Time of Sale Information and the Prospectus (and any amendment or supplement thereto), present fairly in all material respects the financial condition, results of operations, cash flows and changes in financial position of the Company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historical financial information and financial data set forth in the Registration Statement and Prospectus (and any amendment or supplement thereto) is accurately presented and prepared on a basis consistent with such financial statements and the books and records of the Company. No other financial statements or schedules are required to be included in the Registration Statement. All disclosures contained in the Registration Statement, the Time of Sale Information and the Prospectus (and any amendment or supplement thereto) regarding “non-GAAP financial measures” (as such term is defined by the rules and regulations of the Commission) comply with Regulation G of the Exchange Act and Item 10(e) of Regulation S-K under the Act, to the extent applicable, and present fairly the information shown therein and the Company’s basis for using such measures.</w:t>
      </w:r>
    </w:p>
    <w:p>
      <w:pPr>
        <w:spacing w:after="0" w:line="158" w:lineRule="exact"/>
        <w:rPr>
          <w:rFonts w:ascii="Arial" w:cs="Arial" w:eastAsia="Arial" w:hAnsi="Arial"/>
          <w:sz w:val="15"/>
          <w:szCs w:val="15"/>
          <w:color w:val="auto"/>
        </w:rPr>
      </w:pPr>
    </w:p>
    <w:p>
      <w:pPr>
        <w:ind w:firstLine="1263"/>
        <w:spacing w:after="0" w:line="301" w:lineRule="auto"/>
        <w:tabs>
          <w:tab w:leader="none" w:pos="187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Time of Sale Information and the Prospectus (or any amendment or supplement thereto), (i) neither the Company nor any of its subsidiaries has incurred any liabilities or obligations, indirect, direct or contingent (including any off-balance sheet obligations), other than liabilities and obligations incurred in the ordinary course of business, or entered into any transaction that is not in the ordinary course of business, (ii) neither the Company nor any of its subsidiaries has sustained any material loss or interference with its business or properties from fire, flood, windstorm, accident or other calamity, whether or not covered by insurance, (iii) neither the Company nor any of its subsidiaries has paid or declared any dividends or other distributions with respect to its capital stock and the Company is not in default under the terms of any class of capital stock of the Company or any outstanding debt obligations, (iv) there has not been any change in the authorized or outstanding capital stock of the Company or any material change in the indebtedness of the Company (other than in the ordinary course of business) and (v) there has not been any material adverse change, or any development involving</w:t>
      </w:r>
    </w:p>
    <w:p>
      <w:pPr>
        <w:sectPr>
          <w:pgSz w:w="11900" w:h="16838" w:orient="portrait"/>
          <w:cols w:equalWidth="0" w:num="1">
            <w:col w:w="11420"/>
          </w:cols>
          <w:pgMar w:left="240" w:top="127" w:right="239" w:bottom="0" w:gutter="0" w:footer="0" w:header="0"/>
        </w:sectPr>
      </w:pPr>
    </w:p>
    <w:bookmarkStart w:id="212" w:name="page213"/>
    <w:bookmarkEnd w:id="212"/>
    <w:p>
      <w:pPr>
        <w:ind w:right="560"/>
        <w:spacing w:after="0" w:line="289" w:lineRule="auto"/>
        <w:rPr>
          <w:sz w:val="20"/>
          <w:szCs w:val="20"/>
          <w:color w:val="auto"/>
        </w:rPr>
      </w:pPr>
      <w:r>
        <w:rPr>
          <w:rFonts w:ascii="Arial" w:cs="Arial" w:eastAsia="Arial" w:hAnsi="Arial"/>
          <w:sz w:val="17"/>
          <w:szCs w:val="17"/>
          <w:color w:val="auto"/>
        </w:rPr>
        <w:t>or that may reasonably be expected to result in a Material Adverse Effect, in the condition (financial or otherwise), business, properties, net worth, result of operations or prospects of the Company.</w:t>
      </w:r>
    </w:p>
    <w:p>
      <w:pPr>
        <w:spacing w:after="0" w:line="158" w:lineRule="exact"/>
        <w:rPr>
          <w:sz w:val="20"/>
          <w:szCs w:val="20"/>
          <w:color w:val="auto"/>
        </w:rPr>
      </w:pPr>
    </w:p>
    <w:p>
      <w:pPr>
        <w:ind w:left="5620" w:right="4360" w:hanging="4357"/>
        <w:spacing w:after="0" w:line="547" w:lineRule="auto"/>
        <w:tabs>
          <w:tab w:leader="none" w:pos="186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 offers and sales of the Company’s capital stock and other debt or other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securities prior to the date hereof were made in compliance with or were the subject of an available exemption from the Act and all other applicable state and federal laws or regulations.</w:t>
      </w:r>
    </w:p>
    <w:p>
      <w:pPr>
        <w:spacing w:after="0" w:line="158" w:lineRule="exact"/>
        <w:rPr>
          <w:sz w:val="20"/>
          <w:szCs w:val="20"/>
          <w:color w:val="auto"/>
        </w:rPr>
      </w:pPr>
    </w:p>
    <w:p>
      <w:pPr>
        <w:jc w:val="both"/>
        <w:ind w:right="340" w:firstLine="1263"/>
        <w:spacing w:after="0" w:line="273" w:lineRule="auto"/>
        <w:tabs>
          <w:tab w:leader="none" w:pos="190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Shares have been approved for listing on the NASDAQ under the symbol “AAOI”, subject to official notice of issuance of the Shares being sold by the Company, and upon consummation of the offering contemplated hereby the Company will be in compliance with the designation and maintenance criteria applicable to NASDAQ issuers.</w:t>
      </w:r>
    </w:p>
    <w:p>
      <w:pPr>
        <w:spacing w:after="0" w:line="171" w:lineRule="exact"/>
        <w:rPr>
          <w:rFonts w:ascii="Arial" w:cs="Arial" w:eastAsia="Arial" w:hAnsi="Arial"/>
          <w:sz w:val="17"/>
          <w:szCs w:val="17"/>
          <w:color w:val="auto"/>
        </w:rPr>
      </w:pPr>
    </w:p>
    <w:p>
      <w:pPr>
        <w:jc w:val="both"/>
        <w:ind w:right="60" w:firstLine="1263"/>
        <w:spacing w:after="0" w:line="268" w:lineRule="auto"/>
        <w:tabs>
          <w:tab w:leader="none" w:pos="190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Company has not taken and will not take, directly or indirectly, any action that constituted, or any action designed to, or that might reasonably be expected to cause or result in or constitute, under the Act or otherwise, stabilization or manipulation (in each case, within the meaning of the Act or the Exchange Act and the rules and regulations promulgated thereunder) of the price of any security of the Company to facilitate the sale or resale of the Shares or for any other purpose.</w:t>
      </w:r>
    </w:p>
    <w:p>
      <w:pPr>
        <w:spacing w:after="0" w:line="175" w:lineRule="exact"/>
        <w:rPr>
          <w:rFonts w:ascii="Arial" w:cs="Arial" w:eastAsia="Arial" w:hAnsi="Arial"/>
          <w:sz w:val="17"/>
          <w:szCs w:val="17"/>
          <w:color w:val="auto"/>
        </w:rPr>
      </w:pPr>
    </w:p>
    <w:p>
      <w:pPr>
        <w:ind w:right="20" w:firstLine="1263"/>
        <w:spacing w:after="0" w:line="278" w:lineRule="auto"/>
        <w:tabs>
          <w:tab w:leader="none" w:pos="187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tax returns required to be filed (other than certain state or local tax returns, as to which the failure to file, individually or in the aggregate, would not have a Material Adverse Effect), which returns are complete and correct, and neither the Company nor any subsidiary is in default in the payment of any taxes that were payable pursuant to said returns or any assessments with respect thereto, other than those (i) that are being contested in good faith or (ii) that, if not paid, would not reasonably be expected to have a Material Adverse Effect. Except as disclosed in the Time of Sale Information and the Prospectus and other than those (i) that are being contested in good faith or (ii) that, if not paid, would not reasonably be expected to have a Material Adverse Effect, all deficiencies asserted as a result of any federal, state, local or foreign tax audits have been paid or finally settled and no issue has been raised in any such audit that, by application of the same or similar principles, reasonably could be expected to result in a proposed deficiency for any other period not so audited. There are no outstanding agreements or waivers extending the statutory period of limitation applicable to any federal, state, local or foreign tax return for any period. On the Closing Date and the Additional Closing Date, as the case may be, all stock transfer and other taxes that are required to be paid in connection with the sale of the shares to be sold by the Company to the Underwriters will have been fully paid by the Company and all laws imposing such taxes will have been complied with.</w:t>
      </w:r>
    </w:p>
    <w:p>
      <w:pPr>
        <w:spacing w:after="0" w:line="172" w:lineRule="exact"/>
        <w:rPr>
          <w:rFonts w:ascii="Arial" w:cs="Arial" w:eastAsia="Arial" w:hAnsi="Arial"/>
          <w:sz w:val="16"/>
          <w:szCs w:val="16"/>
          <w:color w:val="auto"/>
        </w:rPr>
      </w:pPr>
    </w:p>
    <w:p>
      <w:pPr>
        <w:ind w:firstLine="1263"/>
        <w:spacing w:after="0" w:line="265" w:lineRule="auto"/>
        <w:tabs>
          <w:tab w:leader="none" w:pos="186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Except as set forth in the Time of Sale Information and the Prospectus, there are no transactions with “affiliates” (as defined in Rule 405 under the Act) or any officer, director or security holder of the Company (whether or not an affiliate) that are required by the Act to be disclosed in the Registration Statement. Additionally, no relationship, direct or indirect, exists between the Company or any of its subsidiaries on the one hand, and the directors, officers, stockholders, customers or suppliers of the Company or any subsidiary on the other hand that is required by the Act to be disclosed in the Registration Statement, the Time of Sale Information and the Prospectus that is not so disclosed.</w:t>
      </w:r>
    </w:p>
    <w:p>
      <w:pPr>
        <w:spacing w:after="0" w:line="179" w:lineRule="exact"/>
        <w:rPr>
          <w:sz w:val="20"/>
          <w:szCs w:val="20"/>
          <w:color w:val="auto"/>
        </w:rPr>
      </w:pPr>
    </w:p>
    <w:p>
      <w:pPr>
        <w:ind w:right="60" w:firstLine="1263"/>
        <w:spacing w:after="0" w:line="289" w:lineRule="auto"/>
        <w:tabs>
          <w:tab w:leader="none" w:pos="190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Company is not an “investment company” or an “affiliated person” of, or “promoter” or “principal underwriter” for, an investment company within the meaning of the Investment Company Act of 1940,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1263"/>
        <w:spacing w:after="0" w:line="263" w:lineRule="auto"/>
        <w:tabs>
          <w:tab w:leader="none" w:pos="1921"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Each of the Company and its subsidiaries has good and valid title to all property (real and personal) described in the Time of Sale Information and the Prospectus as being owned by it, free and clear of all liens, claims, security interests or other encumbrances except (i) such as are described in the Time of Sale Information and the Prospectus or (ii) such as are not materially burdensome and do not have or will not result in a Material Adverse Effect to the use of the property or the conduct of the business of the Company. All property (real and personal) held under lease by the Company and its subsidiaries is held by it under valid, subsisting and enforceable leases with only such exceptions as in the aggregate are not materially burdensome and do not have or result in a Material Adverse Effect to the use of the property or the conduct of the business of the Company.</w:t>
      </w:r>
    </w:p>
    <w:p>
      <w:pPr>
        <w:spacing w:after="0" w:line="183" w:lineRule="exact"/>
        <w:rPr>
          <w:rFonts w:ascii="Arial" w:cs="Arial" w:eastAsia="Arial" w:hAnsi="Arial"/>
          <w:sz w:val="17"/>
          <w:szCs w:val="17"/>
          <w:color w:val="auto"/>
        </w:rPr>
      </w:pPr>
    </w:p>
    <w:p>
      <w:pPr>
        <w:ind w:right="40" w:firstLine="1263"/>
        <w:spacing w:after="0" w:line="261" w:lineRule="auto"/>
        <w:tabs>
          <w:tab w:leader="none" w:pos="1901"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Each of the Company and its subsidiaries has all permits, licenses, franchises, approvals, consents and authorizations of governmental or regulatory authorities (hereinafter “</w:t>
      </w:r>
      <w:r>
        <w:rPr>
          <w:rFonts w:ascii="Arial" w:cs="Arial" w:eastAsia="Arial" w:hAnsi="Arial"/>
          <w:sz w:val="17"/>
          <w:szCs w:val="17"/>
          <w:b w:val="1"/>
          <w:bCs w:val="1"/>
          <w:i w:val="1"/>
          <w:iCs w:val="1"/>
          <w:color w:val="auto"/>
        </w:rPr>
        <w:t>permit</w:t>
      </w:r>
      <w:r>
        <w:rPr>
          <w:rFonts w:ascii="Arial" w:cs="Arial" w:eastAsia="Arial" w:hAnsi="Arial"/>
          <w:sz w:val="17"/>
          <w:szCs w:val="17"/>
          <w:color w:val="auto"/>
        </w:rPr>
        <w:t>” or “</w:t>
      </w:r>
      <w:r>
        <w:rPr>
          <w:rFonts w:ascii="Arial" w:cs="Arial" w:eastAsia="Arial" w:hAnsi="Arial"/>
          <w:sz w:val="17"/>
          <w:szCs w:val="17"/>
          <w:b w:val="1"/>
          <w:bCs w:val="1"/>
          <w:i w:val="1"/>
          <w:iCs w:val="1"/>
          <w:color w:val="auto"/>
        </w:rPr>
        <w:t>permits</w:t>
      </w:r>
      <w:r>
        <w:rPr>
          <w:rFonts w:ascii="Arial" w:cs="Arial" w:eastAsia="Arial" w:hAnsi="Arial"/>
          <w:sz w:val="17"/>
          <w:szCs w:val="17"/>
          <w:color w:val="auto"/>
        </w:rPr>
        <w:t>”) as are necessary to own its properties and to conduct its business in the manner described in the Time of Sale Information and the Prospectus, subject to such qualifications as may be set forth in the Time of Sale Information and the Prospectus, except where the failure to have obtained any such permit has not had and would not reasonably be expected to have a Material Adverse Effect; each of the Company and its subsidiaries has operated and is operating its business in material compliance with and not in material violation of all of its obligations with respect to each such permit and no event has occurred that allows, or after notice or lapse of time would allow, revocation or termination of any such permit or result in any other material impairment of the rights of any such permit, subject in each case to such qualification as may be set forth in the Time of Sale Information and the Prospectus; and, except as described in the Time of Sale Information and the Prospectus, such permits contain no restrictions that are materially burdensome to the Company or any of its subsidiaries.</w:t>
      </w:r>
    </w:p>
    <w:p>
      <w:pPr>
        <w:spacing w:after="0" w:line="184" w:lineRule="exact"/>
        <w:rPr>
          <w:rFonts w:ascii="Arial" w:cs="Arial" w:eastAsia="Arial" w:hAnsi="Arial"/>
          <w:sz w:val="17"/>
          <w:szCs w:val="17"/>
          <w:color w:val="auto"/>
        </w:rPr>
      </w:pPr>
    </w:p>
    <w:p>
      <w:pPr>
        <w:ind w:left="1920" w:hanging="657"/>
        <w:spacing w:after="0"/>
        <w:tabs>
          <w:tab w:leader="none" w:pos="192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firstLine="1263"/>
        <w:spacing w:after="0" w:line="294" w:lineRule="auto"/>
        <w:tabs>
          <w:tab w:leader="none" w:pos="1864"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The Company and its subsidiaries maintain systems of “internal control over financial reporting” (as defined in Rule 13a-15(f) of the Exchange Act) that have been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authorizations and</w:t>
      </w:r>
    </w:p>
    <w:p>
      <w:pPr>
        <w:spacing w:after="0" w:line="1" w:lineRule="exact"/>
        <w:rPr>
          <w:rFonts w:ascii="Arial" w:cs="Arial" w:eastAsia="Arial" w:hAnsi="Arial"/>
          <w:sz w:val="15"/>
          <w:szCs w:val="15"/>
          <w:color w:val="auto"/>
        </w:rPr>
      </w:pPr>
    </w:p>
    <w:p>
      <w:pPr>
        <w:ind w:right="100" w:firstLine="5"/>
        <w:spacing w:after="0" w:line="309" w:lineRule="auto"/>
        <w:tabs>
          <w:tab w:leader="none" w:pos="29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 over financial reporting. The Company’s independent auditors and the Audit Committee of the Board of Directors of the Company have been advised of (i) all significant deficiencies and material weaknesses in the design or operation of internal control over financial reporting which could adversely affect the Company’s ability to</w:t>
      </w:r>
    </w:p>
    <w:p>
      <w:pPr>
        <w:sectPr>
          <w:pgSz w:w="11900" w:h="16838" w:orient="portrait"/>
          <w:cols w:equalWidth="0" w:num="1">
            <w:col w:w="11420"/>
          </w:cols>
          <w:pgMar w:left="240" w:top="127" w:right="239" w:bottom="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7" w:right="239" w:bottom="0" w:gutter="0" w:footer="0" w:header="0"/>
          <w:type w:val="continuous"/>
        </w:sectPr>
      </w:pPr>
    </w:p>
    <w:bookmarkStart w:id="213" w:name="page214"/>
    <w:bookmarkEnd w:id="213"/>
    <w:p>
      <w:pPr>
        <w:ind w:right="5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record, process, summarize, and report financial data and (ii) 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right="20" w:firstLine="1263"/>
        <w:spacing w:after="0" w:line="285" w:lineRule="auto"/>
        <w:tabs>
          <w:tab w:leader="none" w:pos="189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such term is defined in Rule 13a-15(e) of the Exchange Act) that complies with the requirements of the Exchange Act and that has been designed to ensure that information required to be disclosed by the Company, including its consolidated subsidiaries,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66" w:lineRule="exact"/>
        <w:rPr>
          <w:rFonts w:ascii="Arial" w:cs="Arial" w:eastAsia="Arial" w:hAnsi="Arial"/>
          <w:sz w:val="16"/>
          <w:szCs w:val="16"/>
          <w:color w:val="auto"/>
        </w:rPr>
      </w:pPr>
    </w:p>
    <w:p>
      <w:pPr>
        <w:ind w:right="320" w:firstLine="1263"/>
        <w:spacing w:after="0" w:line="283" w:lineRule="auto"/>
        <w:tabs>
          <w:tab w:leader="none" w:pos="192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 and its subsidiaries are, and the Company has taken all necessary actions to ensure that the Company’s directors and officers in their capacities as such are, each in compliance in all material respects with all applicable effective provisions of the Sarbanes-Oxley Act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the rules and regulations of the Commission and NASDAQ promulgated thereunder, subject to the exceptions permitted due to the Company’s status as an Emerging Growth Company. Without limiting the foregoing, the Company and, to the knowledge of the Company, the Company’s directors or officers, in their capacities as such, are each in compliance in all material respects with Section 402 of the Sarbanes-Oxley Act and the rules and regulations promulgated thereunder, subject to the exceptions permitted due to the Company’s status as an Emerging Growth Company.</w:t>
      </w:r>
    </w:p>
    <w:p>
      <w:pPr>
        <w:spacing w:after="0" w:line="166" w:lineRule="exact"/>
        <w:rPr>
          <w:rFonts w:ascii="Arial" w:cs="Arial" w:eastAsia="Arial" w:hAnsi="Arial"/>
          <w:sz w:val="16"/>
          <w:szCs w:val="16"/>
          <w:color w:val="auto"/>
        </w:rPr>
      </w:pPr>
    </w:p>
    <w:p>
      <w:pPr>
        <w:ind w:right="80" w:firstLine="1263"/>
        <w:spacing w:after="0" w:line="308" w:lineRule="auto"/>
        <w:tabs>
          <w:tab w:leader="none" w:pos="188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Company has not, prior to the date hereof, made any offer or sale of securities which could be “integrated” for purposes of the Act with the offer and sale of the Shares pursuant to the Registration Statement and the Prospectus; and except as disclosed in the Time of Sale Information and the Prospectus, the Company has not sold or issued any security during the 180-day period preceding the date of the Prospectus, including but not limited to any sales pursuant to Rule 144A or Regulation D or S under the Act, other than shares of Common Stock issued pursuant to employee benefit plans, qualified stock option plans or the employee compensation plans or pursuant to outstanding options, rights or warrants as described in the Time of Sale Information and the Prospectus;</w:t>
      </w:r>
    </w:p>
    <w:p>
      <w:pPr>
        <w:spacing w:after="0" w:line="151" w:lineRule="exact"/>
        <w:rPr>
          <w:rFonts w:ascii="Arial" w:cs="Arial" w:eastAsia="Arial" w:hAnsi="Arial"/>
          <w:sz w:val="15"/>
          <w:szCs w:val="15"/>
          <w:color w:val="auto"/>
        </w:rPr>
      </w:pPr>
    </w:p>
    <w:p>
      <w:pPr>
        <w:ind w:right="120" w:firstLine="1263"/>
        <w:spacing w:after="0" w:line="262" w:lineRule="auto"/>
        <w:tabs>
          <w:tab w:leader="none" w:pos="191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b w:val="1"/>
          <w:bCs w:val="1"/>
          <w:i w:val="1"/>
          <w:iCs w:val="1"/>
          <w:color w:val="auto"/>
        </w:rPr>
        <w:t>Foreign Corrupt Practices Act</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Foreign Corrupt Practices Act) or any foreign political party or official thereof or any candidate for foreign political office, in contravention of the Foreign Corrupt Practices Act; and the Company, its subsidiaries and, to the knowledge of the Company, its affiliates have conducted their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businesses in compliance in all material respects with the Foreign Corrupt Practices Act and have instituted and maintain policies and procedures designed to ensure, and which are reasonably expected to continue to ensure, continued compliance in all material respects therewith;</w:t>
      </w:r>
    </w:p>
    <w:p>
      <w:pPr>
        <w:spacing w:after="0" w:line="158" w:lineRule="exact"/>
        <w:rPr>
          <w:sz w:val="20"/>
          <w:szCs w:val="20"/>
          <w:color w:val="auto"/>
        </w:rPr>
      </w:pPr>
    </w:p>
    <w:p>
      <w:pPr>
        <w:ind w:right="40" w:firstLine="1263"/>
        <w:spacing w:after="0" w:line="285" w:lineRule="auto"/>
        <w:tabs>
          <w:tab w:leader="none" w:pos="18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neither the Company nor any of its subsidiaries nor,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66" w:lineRule="exact"/>
        <w:rPr>
          <w:rFonts w:ascii="Arial" w:cs="Arial" w:eastAsia="Arial" w:hAnsi="Arial"/>
          <w:sz w:val="16"/>
          <w:szCs w:val="16"/>
          <w:color w:val="auto"/>
        </w:rPr>
      </w:pPr>
    </w:p>
    <w:p>
      <w:pPr>
        <w:ind w:firstLine="1263"/>
        <w:spacing w:after="0" w:line="285" w:lineRule="auto"/>
        <w:tabs>
          <w:tab w:leader="none" w:pos="188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the operations of the Company and its subsidiaries are and have been conducted at all times in compliance in all material respects with applicable financial recordkeeping and reporting requirements of the Currency and Foreign Transactions Reporting Act of 1970, as amended, the “United and Strengthening America by Providing Appropriate Tools Required to Intercept and Obstruct Terrorism Act of 2001” (the “</w:t>
      </w:r>
      <w:r>
        <w:rPr>
          <w:rFonts w:ascii="Arial" w:cs="Arial" w:eastAsia="Arial" w:hAnsi="Arial"/>
          <w:sz w:val="16"/>
          <w:szCs w:val="16"/>
          <w:b w:val="1"/>
          <w:bCs w:val="1"/>
          <w:i w:val="1"/>
          <w:iCs w:val="1"/>
          <w:color w:val="auto"/>
        </w:rPr>
        <w:t>Patriot Act</w:t>
      </w:r>
      <w:r>
        <w:rPr>
          <w:rFonts w:ascii="Arial" w:cs="Arial" w:eastAsia="Arial" w:hAnsi="Arial"/>
          <w:sz w:val="16"/>
          <w:szCs w:val="16"/>
          <w:color w:val="auto"/>
        </w:rPr>
        <w:t>”) or the money laundering statutes of all jurisdictions, the rules and regulations thereunder and any related or similar rules, regulations or guidelines, issued, administered or enforced by any governmental agency;</w:t>
      </w:r>
    </w:p>
    <w:p>
      <w:pPr>
        <w:spacing w:after="0" w:line="166" w:lineRule="exact"/>
        <w:rPr>
          <w:rFonts w:ascii="Arial" w:cs="Arial" w:eastAsia="Arial" w:hAnsi="Arial"/>
          <w:sz w:val="16"/>
          <w:szCs w:val="16"/>
          <w:color w:val="auto"/>
        </w:rPr>
      </w:pPr>
    </w:p>
    <w:p>
      <w:pPr>
        <w:ind w:right="80" w:firstLine="1263"/>
        <w:spacing w:after="0" w:line="278" w:lineRule="auto"/>
        <w:tabs>
          <w:tab w:leader="none" w:pos="18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 labor problem or dispute with the employees of the Company or any of its subsidiaries exists, or, to the Company’s knowledge, is threatened or imminent, which would reasonably be expected to result in a Material Adverse Effect. The Company is not aware that any key employee or significant group of employees of the Company or any of its subsidiaries plans to terminate employment with the Company or any of its subsidiaries. Neither the Company nor any of its subsidiaries has engaged in any unfair labor practice, and except for matters which would not, individually or in the aggregate, result in a Material Adverse Effect, (i) there is (A) no unfair labor practice complaint pending or, to the Company’s knowledge, threatened against the Company or any of its subsidiaries before the National Labor Relations Board, and no grievance or arbitration proceeding arising out of or under collective bargaining agreements is pending or to the Company’s knowledge, threatened, (B) no strike, labor dispute, slowdown or stoppage pending or, to the Company’s knowledge, threatened against the Company or any of its subsidiaries and (C) no union representation dispute currently existing concerning the employees of the Company or any of its subsidiaries and (ii) to the Company’s knowledge, (A) no union organizing activities are currently taking place concerning the employees of the Company or any of its subsidiaries and (B) there has been no violation of any federal, state, local or foreign law relating to discrimination in the hiring, promotion or pay of employees, any applicable wage or hour laws or any provision of the Employee Retirement Income Security Act of 1974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or the rules and regulations promulgated thereunder concerning the employees of the Company or any of its subsidiaries.</w:t>
      </w:r>
    </w:p>
    <w:p>
      <w:pPr>
        <w:spacing w:after="0" w:line="169" w:lineRule="exact"/>
        <w:rPr>
          <w:rFonts w:ascii="Arial" w:cs="Arial" w:eastAsia="Arial" w:hAnsi="Arial"/>
          <w:sz w:val="16"/>
          <w:szCs w:val="16"/>
          <w:color w:val="auto"/>
        </w:rPr>
      </w:pPr>
    </w:p>
    <w:p>
      <w:pPr>
        <w:ind w:right="40" w:firstLine="1263"/>
        <w:spacing w:after="0" w:line="273" w:lineRule="auto"/>
        <w:tabs>
          <w:tab w:leader="none" w:pos="190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 and its subsidiaries are (i) in compliance with any and all applicable federal, state, local and foreign laws and regulations relating to the protection of human health and safety, the environment or hazardous or toxic substances or wastes, pollutants or contaminants (“</w:t>
      </w:r>
      <w:r>
        <w:rPr>
          <w:rFonts w:ascii="Arial" w:cs="Arial" w:eastAsia="Arial" w:hAnsi="Arial"/>
          <w:sz w:val="17"/>
          <w:szCs w:val="17"/>
          <w:b w:val="1"/>
          <w:bCs w:val="1"/>
          <w:i w:val="1"/>
          <w:iCs w:val="1"/>
          <w:color w:val="auto"/>
        </w:rPr>
        <w:t>Environmental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Laws</w:t>
      </w:r>
      <w:r>
        <w:rPr>
          <w:rFonts w:ascii="Arial" w:cs="Arial" w:eastAsia="Arial" w:hAnsi="Arial"/>
          <w:sz w:val="17"/>
          <w:szCs w:val="17"/>
          <w:color w:val="auto"/>
        </w:rPr>
        <w:t>”), (ii) have received all permits, licenses or other approvals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other approvals would not, individually or in the aggregate, have a Material Adverse Effect. Neither the Company nor any of its subsidiaries has been named as a “potentially responsible party” under the Comprehensive Environmental Response</w:t>
      </w:r>
    </w:p>
    <w:p>
      <w:pPr>
        <w:sectPr>
          <w:pgSz w:w="11900" w:h="16838" w:orient="portrait"/>
          <w:cols w:equalWidth="0" w:num="1">
            <w:col w:w="11420"/>
          </w:cols>
          <w:pgMar w:left="240" w:top="717" w:right="239" w:bottom="0" w:gutter="0" w:footer="0" w:header="0"/>
        </w:sectPr>
      </w:pPr>
    </w:p>
    <w:bookmarkStart w:id="214" w:name="page215"/>
    <w:bookmarkEnd w:id="214"/>
    <w:p>
      <w:pPr>
        <w:ind w:right="60"/>
        <w:spacing w:after="0" w:line="265" w:lineRule="auto"/>
        <w:rPr>
          <w:sz w:val="20"/>
          <w:szCs w:val="20"/>
          <w:color w:val="auto"/>
        </w:rPr>
      </w:pPr>
      <w:r>
        <w:rPr>
          <w:rFonts w:ascii="Arial" w:cs="Arial" w:eastAsia="Arial" w:hAnsi="Arial"/>
          <w:sz w:val="17"/>
          <w:szCs w:val="17"/>
          <w:color w:val="auto"/>
        </w:rPr>
        <w:t>Compensation and Liability Act of 1980, as amended. Neither the Company nor any of its subsidiaries owns, leases or occupies any property that appears on any list of hazardous sites compiled by any state or local governmental agency.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result in a Material Adverse Effect.</w:t>
      </w:r>
    </w:p>
    <w:p>
      <w:pPr>
        <w:spacing w:after="0" w:line="179" w:lineRule="exact"/>
        <w:rPr>
          <w:sz w:val="20"/>
          <w:szCs w:val="20"/>
          <w:color w:val="auto"/>
        </w:rPr>
      </w:pPr>
    </w:p>
    <w:p>
      <w:pPr>
        <w:ind w:right="40" w:firstLine="1263"/>
        <w:spacing w:after="0" w:line="280" w:lineRule="auto"/>
        <w:tabs>
          <w:tab w:leader="none" w:pos="192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of the Company and its subsidiaries owns and has full right, title and interest in and to, or has valid licenses to use, each material trade name, trademark, service mark, patent, copyright, approval, trade secret and other similar rights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under which the Company and its subsidiaries conduct all or any material part of its business, and the Company has not created any lien or encumbrance on, or granted any right or license with respect to, any such Intellectual Property except where the failure to own or obtain a license or right to use any such Intellectual Property has not and will not have a Material Adverse Effect. There is no claim pending against the Company or its subsidiaries with respect to any Intellectual Property and the Company and its subsidiaries have not received notice or otherwise become aware that any Intellectual Property that it uses or has used in the conduct of its business infringes upon or conflicts with the rights of any third party, in each case, that is required to be described in the Registration Statement or the Prospectus (or any amendment or supplement thereto) but is not described as required.</w:t>
      </w:r>
    </w:p>
    <w:p>
      <w:pPr>
        <w:spacing w:after="0" w:line="170" w:lineRule="exact"/>
        <w:rPr>
          <w:rFonts w:ascii="Arial" w:cs="Arial" w:eastAsia="Arial" w:hAnsi="Arial"/>
          <w:sz w:val="16"/>
          <w:szCs w:val="16"/>
          <w:color w:val="auto"/>
        </w:rPr>
      </w:pPr>
    </w:p>
    <w:p>
      <w:pPr>
        <w:ind w:left="1920" w:hanging="657"/>
        <w:spacing w:after="0"/>
        <w:tabs>
          <w:tab w:leader="none" w:pos="19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Company has procured Lock-Up Agreements, in the form of Exhibit A attached hereto, from each of the Company’s executive</w:t>
      </w:r>
    </w:p>
    <w:p>
      <w:pPr>
        <w:spacing w:after="0" w:line="38" w:lineRule="exact"/>
        <w:rPr>
          <w:sz w:val="20"/>
          <w:szCs w:val="20"/>
          <w:color w:val="auto"/>
        </w:rPr>
      </w:pPr>
    </w:p>
    <w:p>
      <w:pPr>
        <w:spacing w:after="0"/>
        <w:tabs>
          <w:tab w:leader="none" w:pos="7200" w:val="left"/>
          <w:tab w:leader="none" w:pos="8040" w:val="left"/>
        </w:tabs>
        <w:rPr>
          <w:sz w:val="20"/>
          <w:szCs w:val="20"/>
          <w:color w:val="auto"/>
        </w:rPr>
      </w:pPr>
      <w:r>
        <w:rPr>
          <w:rFonts w:ascii="Arial" w:cs="Arial" w:eastAsia="Arial" w:hAnsi="Arial"/>
          <w:sz w:val="17"/>
          <w:szCs w:val="17"/>
          <w:color w:val="auto"/>
        </w:rPr>
        <w:t>officers and directors, from each of the Selling Stockholders and from the holders of at least</w:t>
      </w:r>
      <w:r>
        <w:rPr>
          <w:sz w:val="20"/>
          <w:szCs w:val="20"/>
          <w:color w:val="auto"/>
        </w:rPr>
        <w:tab/>
      </w:r>
      <w:r>
        <w:rPr>
          <w:rFonts w:ascii="Arial" w:cs="Arial" w:eastAsia="Arial" w:hAnsi="Arial"/>
          <w:sz w:val="17"/>
          <w:szCs w:val="17"/>
          <w:color w:val="auto"/>
        </w:rPr>
        <w:t>percent (</w:t>
      </w:r>
      <w:r>
        <w:rPr>
          <w:sz w:val="20"/>
          <w:szCs w:val="20"/>
          <w:color w:val="auto"/>
        </w:rPr>
        <w:tab/>
      </w:r>
      <w:r>
        <w:rPr>
          <w:rFonts w:ascii="Arial" w:cs="Arial" w:eastAsia="Arial" w:hAnsi="Arial"/>
          <w:sz w:val="15"/>
          <w:szCs w:val="15"/>
          <w:color w:val="auto"/>
        </w:rPr>
        <w:t>%) of the Company’s outstanding securities.</w:t>
      </w:r>
    </w:p>
    <w:p>
      <w:pPr>
        <w:spacing w:after="0" w:line="212" w:lineRule="exact"/>
        <w:rPr>
          <w:sz w:val="20"/>
          <w:szCs w:val="20"/>
          <w:color w:val="auto"/>
        </w:rPr>
      </w:pPr>
    </w:p>
    <w:p>
      <w:pPr>
        <w:ind w:right="140" w:firstLine="1263"/>
        <w:spacing w:after="0" w:line="290" w:lineRule="auto"/>
        <w:tabs>
          <w:tab w:leader="none" w:pos="18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To the Company’s knowledge, there are no affiliations or associations between (i) any member of FINRA and (ii) the Company or any of the Company’s officers, directors, or, to the Company’s knowledge, 5% or greater security holders or any beneficial owner of the Company’s unregistered equity securities that were acquired at any time on or after the 180th day immediately preceding the date the Registration Statement was initially filed with the Commission, except as otherwise disclosed in the Registration Statement, the Time of Sale Information and the Prospectus.</w:t>
      </w:r>
    </w:p>
    <w:p>
      <w:pPr>
        <w:spacing w:after="0" w:line="159" w:lineRule="exact"/>
        <w:rPr>
          <w:rFonts w:ascii="Arial" w:cs="Arial" w:eastAsia="Arial" w:hAnsi="Arial"/>
          <w:sz w:val="16"/>
          <w:szCs w:val="16"/>
          <w:color w:val="auto"/>
        </w:rPr>
      </w:pPr>
    </w:p>
    <w:p>
      <w:pPr>
        <w:ind w:firstLine="1263"/>
        <w:spacing w:after="0" w:line="273" w:lineRule="auto"/>
        <w:tabs>
          <w:tab w:leader="none" w:pos="188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it is engaged; and neither the Company nor any of its subsidiaries has reason to believe that it will not be able to renew its existing insurance coverage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and when such coverage expires or to obtain similar coverage from similar insurers as may be necessary to continue its business at a comparable cost.</w:t>
      </w:r>
    </w:p>
    <w:p>
      <w:pPr>
        <w:spacing w:after="0" w:line="224" w:lineRule="exact"/>
        <w:rPr>
          <w:sz w:val="20"/>
          <w:szCs w:val="20"/>
          <w:color w:val="auto"/>
        </w:rPr>
      </w:pPr>
    </w:p>
    <w:p>
      <w:pPr>
        <w:ind w:firstLine="1263"/>
        <w:spacing w:after="0" w:line="278" w:lineRule="auto"/>
        <w:tabs>
          <w:tab w:leader="none" w:pos="189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the Company’s knowledge, the Company and its subsidiaries and any “employee benefit plan” (as defined under ERISA) established or maintained by the Company, its subsidiaries or their “ERISA Affiliates” (as defined below) are in compliance in all material respects with ERISA and all other applicable state and federal laws.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means, with respect to the Company or a subsidiary, any member of any group or organization described in Sections 414(b), (c), (m) or (o) of the Code of which the Company or such subsidiary is a member. No “reportable event” (as defined in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in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that would, individually or in the aggregate, have a Material Adverse Effect. Each “employee benefit plan” established or maintained by the Company, its subsidiaries or any of their ERISA Affiliates that is intended to be qualified under Section 401(a) of the Code is so qualified and nothing has occurred, whether by action or failure to act, that would cause the loss of such qualification.</w:t>
      </w:r>
    </w:p>
    <w:p>
      <w:pPr>
        <w:spacing w:after="0" w:line="172" w:lineRule="exact"/>
        <w:rPr>
          <w:rFonts w:ascii="Arial" w:cs="Arial" w:eastAsia="Arial" w:hAnsi="Arial"/>
          <w:sz w:val="16"/>
          <w:szCs w:val="16"/>
          <w:color w:val="auto"/>
        </w:rPr>
      </w:pPr>
    </w:p>
    <w:p>
      <w:pPr>
        <w:ind w:right="460" w:firstLine="1263"/>
        <w:spacing w:after="0" w:line="289" w:lineRule="auto"/>
        <w:tabs>
          <w:tab w:leader="none" w:pos="188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Company believes the statistical and market and industry-related data prepared by Ovum to the extent included in the Pricing Prospectus to be reliable and accurate, and the written consent to the use of such data from Ovum, Inc. has been obtained.</w:t>
      </w:r>
    </w:p>
    <w:p>
      <w:pPr>
        <w:spacing w:after="0" w:line="158" w:lineRule="exact"/>
        <w:rPr>
          <w:rFonts w:ascii="Arial" w:cs="Arial" w:eastAsia="Arial" w:hAnsi="Arial"/>
          <w:sz w:val="17"/>
          <w:szCs w:val="17"/>
          <w:color w:val="auto"/>
        </w:rPr>
      </w:pPr>
    </w:p>
    <w:p>
      <w:pPr>
        <w:ind w:firstLine="1263"/>
        <w:spacing w:after="0" w:line="263" w:lineRule="auto"/>
        <w:tabs>
          <w:tab w:leader="none" w:pos="18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Registration Statement, the Time of Sale Information and the Prospectus comply, and any amendments or supplements thereto will comply, with any applicable laws or regulations of foreign jurisdictions in which the Registration Statement, the Time of Sale Information and the Prospectus, as amended or supplemented, if applicable, are distributed in connection with the Directed Shares Program hereto. The Company has not offered, or caused Raymond James to offer, Shares to any person pursuant to the Directed Shares Program with the specific intent to unlawfully influence (i) a customer or supplier of the Company or its subsidiaries to alter the customer’s or supplier’s level or type of business with the Company or its subsidiaries, or (ii) a trade journalist or publication to write or publish favorable information about the Company or its subsidiaries or their industry.</w:t>
      </w:r>
    </w:p>
    <w:p>
      <w:pPr>
        <w:spacing w:after="0" w:line="183" w:lineRule="exact"/>
        <w:rPr>
          <w:sz w:val="20"/>
          <w:szCs w:val="20"/>
          <w:color w:val="auto"/>
        </w:rPr>
      </w:pPr>
    </w:p>
    <w:p>
      <w:pPr>
        <w:ind w:right="160" w:firstLine="629"/>
        <w:spacing w:after="0" w:line="32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Of the Selling Stockholders</w:t>
      </w:r>
      <w:r>
        <w:rPr>
          <w:rFonts w:ascii="Arial" w:cs="Arial" w:eastAsia="Arial" w:hAnsi="Arial"/>
          <w:sz w:val="16"/>
          <w:szCs w:val="16"/>
          <w:color w:val="auto"/>
        </w:rPr>
        <w:t>. Each Selling Stockholder hereby represents and warrants, severally as to itself and not jointly, to each Underwriter on the date hereof, and shall be deemed to represent and warrant to each Underwriter on the Closing Date and the Additional Closing Date, if applicable, that:</w:t>
      </w:r>
    </w:p>
    <w:p>
      <w:pPr>
        <w:spacing w:after="0" w:line="136" w:lineRule="exact"/>
        <w:rPr>
          <w:sz w:val="20"/>
          <w:szCs w:val="20"/>
          <w:color w:val="auto"/>
        </w:rPr>
      </w:pPr>
    </w:p>
    <w:p>
      <w:pPr>
        <w:ind w:right="340" w:firstLine="1263"/>
        <w:spacing w:after="0" w:line="273" w:lineRule="auto"/>
        <w:tabs>
          <w:tab w:leader="none" w:pos="189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Such Selling Stockholder has, and on the Closing Date and on the Additional Closing Date, if applicable, will have, full legal right, power and authority, and all authorization and approval required by law, to enter into (i) this Agreement, (ii) the Custody Agreement signed by such Selling Stockholder and Continental Stock Transfer &amp; Trust, as custodian (the “</w:t>
      </w:r>
      <w:r>
        <w:rPr>
          <w:rFonts w:ascii="Arial" w:cs="Arial" w:eastAsia="Arial" w:hAnsi="Arial"/>
          <w:sz w:val="17"/>
          <w:szCs w:val="17"/>
          <w:b w:val="1"/>
          <w:bCs w:val="1"/>
          <w:i w:val="1"/>
          <w:iCs w:val="1"/>
          <w:color w:val="auto"/>
        </w:rPr>
        <w:t>Custodian</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relating to the deposit of the Shares to be sold by such Selling Stockholder (the “</w:t>
      </w:r>
      <w:r>
        <w:rPr>
          <w:rFonts w:ascii="Arial" w:cs="Arial" w:eastAsia="Arial" w:hAnsi="Arial"/>
          <w:sz w:val="17"/>
          <w:szCs w:val="17"/>
          <w:b w:val="1"/>
          <w:bCs w:val="1"/>
          <w:i w:val="1"/>
          <w:iCs w:val="1"/>
          <w:color w:val="auto"/>
        </w:rPr>
        <w:t>Custody Agreement</w:t>
      </w:r>
      <w:r>
        <w:rPr>
          <w:rFonts w:ascii="Arial" w:cs="Arial" w:eastAsia="Arial" w:hAnsi="Arial"/>
          <w:sz w:val="17"/>
          <w:szCs w:val="17"/>
          <w:color w:val="auto"/>
        </w:rPr>
        <w:t>”) and (iii) the Power of Attorney appointing certain individuals named therein as such Selling Stockholder’s attorneys-in-fact (the “</w:t>
      </w:r>
      <w:r>
        <w:rPr>
          <w:rFonts w:ascii="Arial" w:cs="Arial" w:eastAsia="Arial" w:hAnsi="Arial"/>
          <w:sz w:val="17"/>
          <w:szCs w:val="17"/>
          <w:b w:val="1"/>
          <w:bCs w:val="1"/>
          <w:i w:val="1"/>
          <w:iCs w:val="1"/>
          <w:color w:val="auto"/>
        </w:rPr>
        <w:t>Attorneys</w:t>
      </w:r>
      <w:r>
        <w:rPr>
          <w:rFonts w:ascii="Arial" w:cs="Arial" w:eastAsia="Arial" w:hAnsi="Arial"/>
          <w:sz w:val="17"/>
          <w:szCs w:val="17"/>
          <w:color w:val="auto"/>
        </w:rPr>
        <w:t>”) to the extent set forth therein relating to the transactions contemplated hereby and by the Prospectus (the “</w:t>
      </w:r>
      <w:r>
        <w:rPr>
          <w:rFonts w:ascii="Arial" w:cs="Arial" w:eastAsia="Arial" w:hAnsi="Arial"/>
          <w:sz w:val="17"/>
          <w:szCs w:val="17"/>
          <w:b w:val="1"/>
          <w:bCs w:val="1"/>
          <w:i w:val="1"/>
          <w:iCs w:val="1"/>
          <w:color w:val="auto"/>
        </w:rPr>
        <w:t>Power of Attorney</w:t>
      </w:r>
      <w:r>
        <w:rPr>
          <w:rFonts w:ascii="Arial" w:cs="Arial" w:eastAsia="Arial" w:hAnsi="Arial"/>
          <w:sz w:val="17"/>
          <w:szCs w:val="17"/>
          <w:color w:val="auto"/>
        </w:rPr>
        <w:t>”) to sell, assign, transfer and deliver the Shares to be sold by such Selling Stockholder in the manner provided herein.</w:t>
      </w:r>
    </w:p>
    <w:p>
      <w:pPr>
        <w:spacing w:after="0" w:line="176" w:lineRule="exact"/>
        <w:rPr>
          <w:sz w:val="20"/>
          <w:szCs w:val="20"/>
          <w:color w:val="auto"/>
        </w:rPr>
      </w:pPr>
    </w:p>
    <w:p>
      <w:pPr>
        <w:ind w:right="40" w:firstLine="1263"/>
        <w:spacing w:after="0" w:line="280" w:lineRule="auto"/>
        <w:tabs>
          <w:tab w:leader="none" w:pos="190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the Agreement, the Custody Agreement and Power of Attorney of such Selling Stockholder has been duly authorized, executed and delivered by such Selling Stockholder and is a valid and binding agreement of such Selling Stockholder, enforceable as to such Selling Stockholder in accordance with its terms, except to the extent enforceability may be limited by (i) the application of bankruptcy, reorganization, insolvency and other laws affecting creditors’ rights generally, (ii) equitable principles being applied at the discretion of a court before which a proceeding may be brought and (iii) except as rights to indemnity and contribution hereunder may be limited by federal or state securities laws. Pursuant to such Power of Attorney, such Selling Stockholder has, among other things, authorized the Attorneys, or any one of them, to execute and deliver on such Selling Stockholder’s behalf this Agreement and any other document that they, or any one of them, may deem necessary or desirable in connection with the transactions contemplated hereby and thereby and to deliver the Shares to be sold by such Selling Stockholder pursuant to this Agreement.</w:t>
      </w:r>
    </w:p>
    <w:p>
      <w:pPr>
        <w:sectPr>
          <w:pgSz w:w="11900" w:h="16838" w:orient="portrait"/>
          <w:cols w:equalWidth="0" w:num="1">
            <w:col w:w="11420"/>
          </w:cols>
          <w:pgMar w:left="240" w:top="127" w:right="239" w:bottom="0" w:gutter="0" w:footer="0" w:header="0"/>
        </w:sectPr>
      </w:pPr>
    </w:p>
    <w:bookmarkStart w:id="215" w:name="page216"/>
    <w:bookmarkEnd w:id="215"/>
    <w:p>
      <w:pPr>
        <w:spacing w:after="0" w:line="31" w:lineRule="exact"/>
        <w:rPr>
          <w:sz w:val="20"/>
          <w:szCs w:val="20"/>
          <w:color w:val="auto"/>
        </w:rPr>
      </w:pPr>
    </w:p>
    <w:p>
      <w:pPr>
        <w:ind w:left="-5" w:right="80" w:firstLine="1263"/>
        <w:spacing w:after="0" w:line="278" w:lineRule="auto"/>
        <w:tabs>
          <w:tab w:leader="none" w:pos="189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None of the sale of the Shares by such Selling Stockholder, the execution, delivery or performance by such Selling Stockholder of this Agreement, the Custody Agreement and Power of Attorney of such Selling Stockholder by or on behalf of such Selling Stockholder, the compliance by such Selling Stockholder with all the provisions hereof and thereof nor the consummation by such Selling Stockholder of the transactions contemplated hereby and thereby (i) requires any consent, approval, authorization or other order of, or registration or filing with, any court, regulatory body or administrative agency or other governmental body, agency or official (except for registration under the Act for the Shares, the approval by FINRA or such as may be required under the securities or Blue Sky laws of the various states), (ii) conflicts with or will conflict with or constitutes or will constitute a breach of or a default under, the organizational documents of such Selling Stockholder, if such Selling Stockholder is not an individual, or any agreement, indenture, lease or other instrument to which such Selling Stockholder is a party or by which such Selling Stockholder or any property of such Selling Stockholder is bound or (iii) violates any statute, law, regulation, ruling, filing, judgment, injunction, order or decree applicable to such Selling Stockholder or any property of such Selling Stockholder; except in the case of clauses (ii) and (iii), for such conflicts, breaches, violations or defaults that would not, individually or in the aggregate, impair in any respect the fulfillment of such Selling Stockholder’s obligations hereunder.</w:t>
      </w:r>
    </w:p>
    <w:p>
      <w:pPr>
        <w:spacing w:after="0" w:line="172" w:lineRule="exact"/>
        <w:rPr>
          <w:rFonts w:ascii="Arial" w:cs="Arial" w:eastAsia="Arial" w:hAnsi="Arial"/>
          <w:sz w:val="16"/>
          <w:szCs w:val="16"/>
          <w:color w:val="auto"/>
        </w:rPr>
      </w:pPr>
    </w:p>
    <w:p>
      <w:pPr>
        <w:ind w:left="-5" w:right="60" w:firstLine="1263"/>
        <w:spacing w:after="0" w:line="268" w:lineRule="auto"/>
        <w:tabs>
          <w:tab w:leader="none" w:pos="190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information in the Prospectus under the caption “Selling Stockholders” (excluding percentages that appear in the table) that specifically relates to such Selling Stockholder (the “</w:t>
      </w:r>
      <w:r>
        <w:rPr>
          <w:rFonts w:ascii="Arial" w:cs="Arial" w:eastAsia="Arial" w:hAnsi="Arial"/>
          <w:sz w:val="17"/>
          <w:szCs w:val="17"/>
          <w:b w:val="1"/>
          <w:bCs w:val="1"/>
          <w:i w:val="1"/>
          <w:iCs w:val="1"/>
          <w:color w:val="auto"/>
        </w:rPr>
        <w:t>Selling Stockholder Information</w:t>
      </w:r>
      <w:r>
        <w:rPr>
          <w:rFonts w:ascii="Arial" w:cs="Arial" w:eastAsia="Arial" w:hAnsi="Arial"/>
          <w:sz w:val="17"/>
          <w:szCs w:val="17"/>
          <w:color w:val="auto"/>
        </w:rPr>
        <w:t>”) does not, and will not on Closing Date or the Additional Closing Date, if applicable, contain any untrue statement of a material fact or omit to state any material fact required to be stated therein or necessary to make the statements therein, in the light of the circumstances under which they were made, not misleading.</w:t>
      </w:r>
    </w:p>
    <w:p>
      <w:pPr>
        <w:spacing w:after="0" w:line="176"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 w:right="120" w:firstLine="1263"/>
        <w:spacing w:after="0" w:line="289" w:lineRule="auto"/>
        <w:tabs>
          <w:tab w:leader="none" w:pos="189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At any time prior to the Closing Date and the Additional Closing Date, if applicable, if there is any change in the information referred to in Section 6.2(e) hereof, such Selling Stockholder will immediately notify the Representatives of such change.</w:t>
      </w:r>
    </w:p>
    <w:p>
      <w:pPr>
        <w:spacing w:after="0" w:line="158" w:lineRule="exact"/>
        <w:rPr>
          <w:rFonts w:ascii="Arial" w:cs="Arial" w:eastAsia="Arial" w:hAnsi="Arial"/>
          <w:sz w:val="17"/>
          <w:szCs w:val="17"/>
          <w:color w:val="auto"/>
        </w:rPr>
      </w:pPr>
    </w:p>
    <w:p>
      <w:pPr>
        <w:ind w:left="-5" w:right="160" w:firstLine="1263"/>
        <w:spacing w:after="0" w:line="285" w:lineRule="auto"/>
        <w:tabs>
          <w:tab w:leader="none" w:pos="191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Other than the Registration Statement, the Preliminary Prospectus and the Prospectus, such Selling Stockholder (including its agents and representatives, other than the Underwriters in their capacity as such) has not prepared, used, authorized, approved or referred to and will not prepare, use, authorize, approve or refer to any Issuer Free Writing Prospectus or Written Testing-the-Waters Communication, other than (i) any document not constituting a prospectus pursuant to Section 2(a)(10)(a) of the Act or Rule 134 under the Act or (ii) the documents listed on Annex A or Annex C hereto, each electronic road show and any other written communications approved in writing in advance by the Company and the Representatives.</w:t>
      </w:r>
    </w:p>
    <w:p>
      <w:pPr>
        <w:spacing w:after="0" w:line="166" w:lineRule="exact"/>
        <w:rPr>
          <w:rFonts w:ascii="Arial" w:cs="Arial" w:eastAsia="Arial" w:hAnsi="Arial"/>
          <w:sz w:val="16"/>
          <w:szCs w:val="16"/>
          <w:color w:val="auto"/>
        </w:rPr>
      </w:pPr>
    </w:p>
    <w:p>
      <w:pPr>
        <w:jc w:val="both"/>
        <w:ind w:left="-5" w:firstLine="1263"/>
        <w:spacing w:after="0" w:line="273" w:lineRule="auto"/>
        <w:tabs>
          <w:tab w:leader="none" w:pos="190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Such Selling Stockholder has not taken and will not take, directly or indirectly, any action that constituted, or any action designed to, or that might reasonably be expected to cause or result in or constitute, under the Act or otherwise, stabilization or manipulation of the price of the Common Stock to facilitate the sale or resale of the Shares.</w:t>
      </w:r>
    </w:p>
    <w:p>
      <w:pPr>
        <w:spacing w:after="0" w:line="171" w:lineRule="exact"/>
        <w:rPr>
          <w:rFonts w:ascii="Arial" w:cs="Arial" w:eastAsia="Arial" w:hAnsi="Arial"/>
          <w:sz w:val="17"/>
          <w:szCs w:val="17"/>
          <w:color w:val="auto"/>
        </w:rPr>
      </w:pPr>
    </w:p>
    <w:p>
      <w:pPr>
        <w:ind w:left="-5" w:firstLine="1263"/>
        <w:spacing w:after="0" w:line="293" w:lineRule="auto"/>
        <w:tabs>
          <w:tab w:leader="none" w:pos="1866" w:val="left"/>
        </w:tabs>
        <w:numPr>
          <w:ilvl w:val="1"/>
          <w:numId w:val="166"/>
        </w:numPr>
        <w:rPr>
          <w:rFonts w:ascii="Arial" w:cs="Arial" w:eastAsia="Arial" w:hAnsi="Arial"/>
          <w:sz w:val="15"/>
          <w:szCs w:val="15"/>
          <w:color w:val="auto"/>
        </w:rPr>
      </w:pPr>
      <w:r>
        <w:rPr>
          <w:rFonts w:ascii="Arial" w:cs="Arial" w:eastAsia="Arial" w:hAnsi="Arial"/>
          <w:sz w:val="15"/>
          <w:szCs w:val="15"/>
          <w:color w:val="auto"/>
        </w:rPr>
        <w:t>Such Selling Stockholder has, and immediately prior to the Closing Date and the Additional Closing Date such Selling Stockholder will have, good and valid title to the Shares to be sold at the Additional Closing Date by such Selling Stockholder hereunder, free and clear of all liens, encumbrances, equities or adverse claims; such Selling Stockholder will have, immediately prior to the Closing Date and the Additional Closing Date, good and valid title to the Shares to be sold at the Additional Closing Date, by such Selling Stockholder, free and clear of all liens, encumbrances, equities or adverse claims. Upon delivery of the Shares to be sold by such Selling Stockholder pursuant to this Agreement, as directed by the Underwriters, to Cede &amp; Co. (“</w:t>
      </w:r>
      <w:r>
        <w:rPr>
          <w:rFonts w:ascii="Arial" w:cs="Arial" w:eastAsia="Arial" w:hAnsi="Arial"/>
          <w:sz w:val="15"/>
          <w:szCs w:val="15"/>
          <w:b w:val="1"/>
          <w:bCs w:val="1"/>
          <w:i w:val="1"/>
          <w:iCs w:val="1"/>
          <w:color w:val="auto"/>
        </w:rPr>
        <w:t>Cede</w:t>
      </w:r>
      <w:r>
        <w:rPr>
          <w:rFonts w:ascii="Arial" w:cs="Arial" w:eastAsia="Arial" w:hAnsi="Arial"/>
          <w:sz w:val="15"/>
          <w:szCs w:val="15"/>
          <w:color w:val="auto"/>
        </w:rPr>
        <w:t>”) or such other nominee as may be designated by DTC, registration of such Shares in the name of Cede or such other nominee and the crediting of such Shares on the books of DTC to the securities accounts of the Underwriters maintained at DTC and payment therefor pursuant hereto and assuming neither DTC nor any such Underwriter has notice of any “adverse claim” (within the meaning of Section 8-105 of the Uniform Commercial Code as in effect in the State of New York (the “</w:t>
      </w:r>
      <w:r>
        <w:rPr>
          <w:rFonts w:ascii="Arial" w:cs="Arial" w:eastAsia="Arial" w:hAnsi="Arial"/>
          <w:sz w:val="15"/>
          <w:szCs w:val="15"/>
          <w:b w:val="1"/>
          <w:bCs w:val="1"/>
          <w:i w:val="1"/>
          <w:iCs w:val="1"/>
          <w:color w:val="auto"/>
        </w:rPr>
        <w:t>UCC</w:t>
      </w:r>
      <w:r>
        <w:rPr>
          <w:rFonts w:ascii="Arial" w:cs="Arial" w:eastAsia="Arial" w:hAnsi="Arial"/>
          <w:sz w:val="15"/>
          <w:szCs w:val="15"/>
          <w:color w:val="auto"/>
        </w:rPr>
        <w:t>”)) to such Shares or any security entitlement in respect thereof, (i) DTC shall be a “protected purchaser” of such Shares within the meaning of Section 8-303 of the UCC, (ii) under Section 8-501 of the UCC, the Underwriters will acquire good and valid title and a valid security entitlement in respect of such Shares and (iii) no action based on any “adverse claim” (as defined in Section 8-102 of the UCC) to such Shares may be successfully asserted against the Underwriters with respect to such security entitlement; provided that, for purposes of this representation, such Selling Stockholder may assume that when such payment, delivery and crediting occur,</w:t>
      </w:r>
    </w:p>
    <w:p>
      <w:pPr>
        <w:spacing w:after="0" w:line="2" w:lineRule="exact"/>
        <w:rPr>
          <w:rFonts w:ascii="Arial" w:cs="Arial" w:eastAsia="Arial" w:hAnsi="Arial"/>
          <w:sz w:val="15"/>
          <w:szCs w:val="15"/>
          <w:color w:val="auto"/>
        </w:rPr>
      </w:pPr>
    </w:p>
    <w:p>
      <w:pPr>
        <w:ind w:left="-5" w:firstLine="5"/>
        <w:spacing w:after="0" w:line="284" w:lineRule="auto"/>
        <w:tabs>
          <w:tab w:leader="none" w:pos="24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 As used in this Section 6.2(i), the terms “delivery,” “securities account” and “security entitlement” have the meanings given them in Article 8 of the UCC.</w:t>
      </w:r>
    </w:p>
    <w:p>
      <w:pPr>
        <w:spacing w:after="0" w:line="166"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 w:right="40" w:firstLine="1263"/>
        <w:spacing w:after="0" w:line="268" w:lineRule="auto"/>
        <w:tabs>
          <w:tab w:leader="none" w:pos="1864" w:val="left"/>
        </w:tabs>
        <w:numPr>
          <w:ilvl w:val="1"/>
          <w:numId w:val="168"/>
        </w:numPr>
        <w:rPr>
          <w:rFonts w:ascii="Arial" w:cs="Arial" w:eastAsia="Arial" w:hAnsi="Arial"/>
          <w:sz w:val="17"/>
          <w:szCs w:val="17"/>
          <w:color w:val="auto"/>
        </w:rPr>
      </w:pPr>
      <w:r>
        <w:rPr>
          <w:rFonts w:ascii="Arial" w:cs="Arial" w:eastAsia="Arial" w:hAnsi="Arial"/>
          <w:sz w:val="17"/>
          <w:szCs w:val="17"/>
          <w:color w:val="auto"/>
        </w:rPr>
        <w:t>Such Selling Stockholder does not have any registration rights or other similar rights to have any equity or debt securities registered for sale by the Company under the Registration Statement or included in the offering contemplated by this Agreement, except for such rights as are set forth in the Registration Rights Agreement between the Company and such Selling Stockholder referenced in the Registration Statement and are being exercised in the offering through the sale of Shares as contemplated by this Agreement or such rights as have been duly waived.</w:t>
      </w:r>
    </w:p>
    <w:p>
      <w:pPr>
        <w:spacing w:after="0" w:line="175" w:lineRule="exact"/>
        <w:rPr>
          <w:rFonts w:ascii="Arial" w:cs="Arial" w:eastAsia="Arial" w:hAnsi="Arial"/>
          <w:sz w:val="17"/>
          <w:szCs w:val="17"/>
          <w:color w:val="auto"/>
        </w:rPr>
      </w:pPr>
    </w:p>
    <w:p>
      <w:pPr>
        <w:ind w:left="-5" w:firstLine="634"/>
        <w:spacing w:after="0" w:line="296" w:lineRule="auto"/>
        <w:tabs>
          <w:tab w:leader="none" w:pos="1275"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Whether or not the transactions contemplated hereby are consummated or this Agreement becomes effective or is terminated, the Company agrees to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and the Prospectus and amendments and supplements thereto and the mailing and delivering of copies thereof and of any Preliminary Prospectus to the Underwriters and dealers; (ii) the printing and delivery (including postage, air freight charges and charges for counting and packaging) of such copies of the Registration Statement, the Prospectus, each Preliminary Prospectus, the Time of Sale Information, the Blue Sky memoranda, the Master Agreement Among Underwriters, this Agreement, the Selected Dealers Agreement and all amendments or supplements to any of them as may be reasonably requested for use in connection with the offering and sale of the Shares; (iii) consistent with the provisions of Section 2, all fees and disbursements incurred by the Underwriters (including, but not limited to, reasonable fees and expenses of legal counsel to Raymond James) in connection with the Directed Shares Program and any stamp duties or other taxes incurred by Raymond James in connection with the Directed Shares Program; (iv) consistent with the provisions of Section 5.1(i), all expenses in connection with the qualification of the Shares for offering and sale under state securities laws or Blue Sky laws, including reasonable attorneys’ fees and out-of-pocket expenses of the counsel for the Underwriters in connection therewith; (v) the filing fees incident to securing any required review by FINRA of the fairness of the terms of the sale of the Shares and the reasonable fees and disbursements of the Underwriters’ counsel relating thereto (provided that the fees of Underwriter’s counsel in connection therewith and with clause (iii) and clause (iv) above shall not exceed an aggregate of $25,000); (vi) the fees and expenses associated with listing the Shares on the NASDAQ; (vii) the cost of preparing stock certificates; (viii) the costs and charges of any transfer agent or registrar; (ix) the cost of the tax stamps, if any, in connection with the issuance and delivery of the Shares to be sold by the Company to the respective Underwriters; (x) all other fees, costs and expenses referred to in Item 13 of the Registration Statement; and (xi) the transportation, lodging, graphics and other expenses incidental to the Company’s preparation for</w:t>
      </w:r>
    </w:p>
    <w:p>
      <w:pPr>
        <w:sectPr>
          <w:pgSz w:w="11900" w:h="16870" w:orient="portrait"/>
          <w:cols w:equalWidth="0" w:num="1">
            <w:col w:w="11375"/>
          </w:cols>
          <w:pgMar w:left="245" w:top="337" w:right="279" w:bottom="0" w:gutter="0" w:footer="0" w:header="0"/>
        </w:sectPr>
      </w:pPr>
    </w:p>
    <w:bookmarkStart w:id="216" w:name="page217"/>
    <w:bookmarkEnd w:id="216"/>
    <w:p>
      <w:pPr>
        <w:ind w:right="60"/>
        <w:spacing w:after="0" w:line="303" w:lineRule="auto"/>
        <w:rPr>
          <w:sz w:val="20"/>
          <w:szCs w:val="20"/>
          <w:color w:val="auto"/>
        </w:rPr>
      </w:pPr>
      <w:r>
        <w:rPr>
          <w:rFonts w:ascii="Arial" w:cs="Arial" w:eastAsia="Arial" w:hAnsi="Arial"/>
          <w:sz w:val="15"/>
          <w:szCs w:val="15"/>
          <w:color w:val="auto"/>
        </w:rPr>
        <w:t xml:space="preserve">and participation in the “roadshow” for the offering contemplated hereby;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Underwriters will pay for 50% of the costs and expenses of any chartered flight (i) on which there is a representative of the Representatives and (ii) a Managing Director or Principal of one of the Representatives has approved such chartered flight, and the Company will pay 100% of the costs and expenses of any other chartered flight. Each Selling Stockholder agrees that such Selling Stockholder will pay or cause to be paid all costs and expenses incident to the performance of such Selling Stockholder’s obligations hereunder which are not otherwise specifically provided for in this Section, including any fees and expenses of counsel for such Selling Stockholder and the cost of the tax stamps or transfer taxes, if any, in connection with the delivery of the Shares to be sold by such Selling Stockholder. Except as provided in this Section 7 and in Section 8 hereof, the Underwriters shall pay their own expenses, including the fees and disbursements of their counsel, any advertising expenses incurred by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Underwriters and the transportation and other expenses incurred by the Underwriters on their own behalf in connection with the Underwriters’ presentations to prospective purchasers of the Shares. In addition, in the event that the proposed offering is terminated for the reasons set forth in Section 5.1(l) hereof, the Company agrees to reimburse the Underwriters as provided in Section 5.1(l).</w:t>
      </w:r>
    </w:p>
    <w:p>
      <w:pPr>
        <w:spacing w:after="0" w:line="172" w:lineRule="exact"/>
        <w:rPr>
          <w:sz w:val="20"/>
          <w:szCs w:val="20"/>
          <w:color w:val="auto"/>
        </w:rPr>
      </w:pPr>
    </w:p>
    <w:p>
      <w:pPr>
        <w:ind w:left="1240" w:hanging="606"/>
        <w:spacing w:after="0"/>
        <w:tabs>
          <w:tab w:leader="none" w:pos="124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w:t>
      </w:r>
    </w:p>
    <w:p>
      <w:pPr>
        <w:spacing w:after="0" w:line="224" w:lineRule="exact"/>
        <w:rPr>
          <w:sz w:val="20"/>
          <w:szCs w:val="20"/>
          <w:color w:val="auto"/>
        </w:rPr>
      </w:pPr>
    </w:p>
    <w:p>
      <w:pPr>
        <w:ind w:right="20" w:firstLine="634"/>
        <w:spacing w:after="0" w:line="276" w:lineRule="auto"/>
        <w:tabs>
          <w:tab w:leader="none" w:pos="123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Subject to the limitations in this paragraph below, the Company agrees to indemnify and hold harmless you and each other Underwriter, the directors, officers, employees and agents of each Underwriter, and each person, if any, who controls any Underwriter within the meaning of Section 15 of the Act or Section 20 of the Exchange Act from and against any and all losses, claims, damages, liabilities and expenses, including reasonable costs of investigation and attorneys’ fees and expenses (collectively, “</w:t>
      </w:r>
      <w:r>
        <w:rPr>
          <w:rFonts w:ascii="Arial" w:cs="Arial" w:eastAsia="Arial" w:hAnsi="Arial"/>
          <w:sz w:val="16"/>
          <w:szCs w:val="16"/>
          <w:b w:val="1"/>
          <w:bCs w:val="1"/>
          <w:i w:val="1"/>
          <w:iCs w:val="1"/>
          <w:color w:val="auto"/>
        </w:rPr>
        <w:t>Damages</w:t>
      </w:r>
      <w:r>
        <w:rPr>
          <w:rFonts w:ascii="Arial" w:cs="Arial" w:eastAsia="Arial" w:hAnsi="Arial"/>
          <w:sz w:val="16"/>
          <w:szCs w:val="16"/>
          <w:color w:val="auto"/>
        </w:rPr>
        <w:t>”) arising out of or based upon (i) any untrue statement or alleged untrue statement of a material fact contained in any Preliminary Prospectus, in the Registration Statement, the Time of Sale Information, any Issuer Free Writing Prospectus, any Written Testing-the-Waters Communication or the Prospectus or in any amendment or supplement thereto, or any omission or alleged omission to state therein a material fact required to be stated therein or necessary to make the statements therein (in the case of the Preliminary Prospectus, the Time of Sale Information, any Issuer Free Writing Prospectus, any Written Testing-the-Waters Communication or the Prospectus, but not in the case of the Registration Statement, in light of the circumstances under which they were made) not misleading, except to the extent that any such Damages arise out of or are based upon an untrue statement or omission or alleged untrue statement or omission that has been made therein or omitted therefrom in reliance upon and in conformity with the information furnished in writing to the Company by or on behalf of any Underwriter through you, it being understood and agreed that the only such information furnished by any Underwriter consists of the information described as such in Section 14 hereof, or by or on behalf of the Selling Stockholders, as the case may be, expressly for use in connection therewith or (ii) any inaccuracy in or breach of the representations and warranties of the Company contained herein or any failure of the Company to perform its obligations hereunder or under law; provided, however, that with respect to any untrue statement or omission made in any Preliminary Prospectus, the indemnity agreement contained in this paragraph shall not inure to the benefit of any Underwriter (or to the benefit of any person controlling such Underwriter or to any officer, director, employee or agent of any Underwriter) from whom the person asserting any such Damages purchased the Shares concerned if both (A) a copy of the Time of Sale Information was not sent or given to such person at or prior to the written confirmation of the sale of such Shares to such person as required by the Act and (B) the untrue statement or omission in the Preliminary Prospectus was corrected in the Time of Sale Information. This indemnification shall be in addition to any liability that the Company may otherwise have.</w:t>
      </w:r>
    </w:p>
    <w:p>
      <w:pPr>
        <w:spacing w:after="0" w:line="174" w:lineRule="exact"/>
        <w:rPr>
          <w:rFonts w:ascii="Arial" w:cs="Arial" w:eastAsia="Arial" w:hAnsi="Arial"/>
          <w:sz w:val="16"/>
          <w:szCs w:val="16"/>
          <w:color w:val="auto"/>
        </w:rPr>
      </w:pPr>
    </w:p>
    <w:p>
      <w:pPr>
        <w:ind w:right="20" w:firstLine="668"/>
        <w:spacing w:after="0" w:line="277" w:lineRule="auto"/>
        <w:tabs>
          <w:tab w:leader="none" w:pos="1238" w:val="left"/>
        </w:tabs>
        <w:numPr>
          <w:ilvl w:val="2"/>
          <w:numId w:val="171"/>
        </w:numPr>
        <w:rPr>
          <w:rFonts w:ascii="Arial" w:cs="Arial" w:eastAsia="Arial" w:hAnsi="Arial"/>
          <w:sz w:val="16"/>
          <w:szCs w:val="16"/>
          <w:color w:val="auto"/>
        </w:rPr>
      </w:pPr>
      <w:r>
        <w:rPr>
          <w:rFonts w:ascii="Arial" w:cs="Arial" w:eastAsia="Arial" w:hAnsi="Arial"/>
          <w:sz w:val="16"/>
          <w:szCs w:val="16"/>
          <w:color w:val="auto"/>
        </w:rPr>
        <w:t>Subject to the limitations in this Section 8, each Selling Stockholder, severally and not jointly, agrees to indemnify and hold harmless (1) you and each other Underwriter, the directors, officers, employees and agents of each Underwriter, and each person, if any, who controls any Underwriter within the meaning of Section 15 of the Act or Section 20 of the Exchange Act, and (2) the Company, its directors, its officers and each person, if any, who controls the Company within the meaning of Section 15 of the Act or Section 20 of the Exchange Act, from and against any and all Damages arising out of or based upon</w:t>
      </w:r>
    </w:p>
    <w:p>
      <w:pPr>
        <w:spacing w:after="0" w:line="1" w:lineRule="exact"/>
        <w:rPr>
          <w:rFonts w:ascii="Arial" w:cs="Arial" w:eastAsia="Arial" w:hAnsi="Arial"/>
          <w:sz w:val="16"/>
          <w:szCs w:val="16"/>
          <w:color w:val="auto"/>
        </w:rPr>
      </w:pPr>
    </w:p>
    <w:p>
      <w:pPr>
        <w:ind w:left="220" w:hanging="215"/>
        <w:spacing w:after="0"/>
        <w:tabs>
          <w:tab w:leader="none" w:pos="2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any Preliminary Prospectus or in the Registration Statement, the Time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Sale Information, any free writing prospectus, any Written Testing-the-Waters Communication or the Prospectus or in any amendment or supplement thereto, or any omission or alleged omission to state therein a material fact required to be stated therein or necessary to make the statements therein (in the case of the Preliminary Prospectus, the Time of Sale Information, any Issuer Free Writing Prospectus, any Written Testing-the-Waters Communication or the Prospectus, but not in the case of the Registration Statement, in light of the circumstances under which they were made) not misleading, but only to the extent that such untrue statement or alleged untrue statement or omission or alleged omission was made in the Preliminary Prospectus, Registration Statement, the Time of Sale Information, any free writing prospectus, any Written Testing-the-Waters Communication or the Prospectus or in any amendment or supplement thereto in reliance upon and in conformity with the Selling Stockholder Information, (ii) any inaccuracy in or breach of the representations and warranties of each Selling Stockholder contained herein or (iii) any failure of such Selling Stockholder to perform its obligations hereunder or under law. The Selling Stockholders shall not be required to provide indemnification under the first sentence of this Section 8(b) with respect to any untrue statement or omission made in any Preliminary Prospectus, if both (A) a copy of the Time of Sale Information was not sent or given to such person at or prior to the written confirmation of the sale of such Shares to such person as required by the Act and (B) the untrue statement or omission in the Preliminary Prospectus was corrected in the Time of Sale Information. This indemnification shall be in addition to any liability that the Selling Stockholders or any Selling Stockholder may otherwise have. Notwithstanding the foregoing provisions or anything to the contrary in this Agreement, except in the event of fraud by a Selling Stockholder, the aggregate liability of any such Selling Stockholder pursuant to this subsection (b), the contribution provisions under subsection (e) and such Selling Stockholder’s representations and warranties contained herein and under any certificate delivered pursuant to this Agreement shall not exceed the net proceeds (after deducting underwriting discounts and commissions, but before expenses of such Selling Stockholder) received by such Selling Stockholder from the sale of the Shares sold by such Selling Stockholder hereunder (the “</w:t>
      </w:r>
      <w:r>
        <w:rPr>
          <w:rFonts w:ascii="Arial" w:cs="Arial" w:eastAsia="Arial" w:hAnsi="Arial"/>
          <w:sz w:val="16"/>
          <w:szCs w:val="16"/>
          <w:b w:val="1"/>
          <w:bCs w:val="1"/>
          <w:i w:val="1"/>
          <w:iCs w:val="1"/>
          <w:color w:val="auto"/>
        </w:rPr>
        <w:t>Net Proceeds</w:t>
      </w:r>
      <w:r>
        <w:rPr>
          <w:rFonts w:ascii="Arial" w:cs="Arial" w:eastAsia="Arial" w:hAnsi="Arial"/>
          <w:sz w:val="16"/>
          <w:szCs w:val="16"/>
          <w:color w:val="auto"/>
        </w:rPr>
        <w:t>”).</w:t>
      </w:r>
    </w:p>
    <w:p>
      <w:pPr>
        <w:spacing w:after="0" w:line="179" w:lineRule="exact"/>
        <w:rPr>
          <w:sz w:val="20"/>
          <w:szCs w:val="20"/>
          <w:color w:val="auto"/>
        </w:rPr>
      </w:pPr>
    </w:p>
    <w:p>
      <w:pPr>
        <w:ind w:right="20" w:firstLine="634"/>
        <w:spacing w:after="0" w:line="298" w:lineRule="auto"/>
        <w:tabs>
          <w:tab w:leader="none" w:pos="1231" w:val="left"/>
        </w:tabs>
        <w:numPr>
          <w:ilvl w:val="0"/>
          <w:numId w:val="173"/>
        </w:numPr>
        <w:rPr>
          <w:rFonts w:ascii="Arial" w:cs="Arial" w:eastAsia="Arial" w:hAnsi="Arial"/>
          <w:sz w:val="15"/>
          <w:szCs w:val="15"/>
          <w:color w:val="auto"/>
        </w:rPr>
      </w:pPr>
      <w:r>
        <w:rPr>
          <w:rFonts w:ascii="Arial" w:cs="Arial" w:eastAsia="Arial" w:hAnsi="Arial"/>
          <w:sz w:val="15"/>
          <w:szCs w:val="15"/>
          <w:color w:val="auto"/>
        </w:rPr>
        <w:t>In addition to their other obligations under this Section 8, each indemnifying party, severally and not jointly, agrees that, as an interim measure during the pendency of any claim, action, investigation, inquiry or other proceeding arising out of or based upon any statement or omission, or any inaccuracy in the applicable representations and warranties of the indemnifying party herein or failure to perform their respective obligations hereunder, all as set forth in this Section 8, the party against whom indemnification is being sought will reimburse each indemnified party on a monthly basis for all reasonable legal or other out-of-pocket expenses incurred in connection with investigating or defending any such claim, action, investigation, inquiry or other proceeding (to the extent documented by reasonably itemized invoices therefor), notwithstanding the absence of a judicial determination as to the propriety and enforceability of the obligation of the indemnifying party to reimburse each indemnified party for such expenses and the possibility that such payments might later be held to have been improper by a court of competent jurisdiction. To the extent that any such interim reimbursement payment is so held to have been improper, each indemnified party shall promptly return it to the person(s) from whom it was received. Any such interim reimbursement payments that are not made to the indemnified party within 30 days of a request for reimbursement shall bear interest compounded daily at a rate determined on the basis of the base lending rate announced from time to time by The Wall Street Journal from the date of such request. Notwithstanding the foregoing, it is understood and agreed that the Underwriters shall only</w:t>
      </w:r>
    </w:p>
    <w:p>
      <w:pPr>
        <w:sectPr>
          <w:pgSz w:w="11900" w:h="16838" w:orient="portrait"/>
          <w:cols w:equalWidth="0" w:num="1">
            <w:col w:w="11420"/>
          </w:cols>
          <w:pgMar w:left="240" w:top="127" w:right="239" w:bottom="0" w:gutter="0" w:footer="0" w:header="0"/>
        </w:sectPr>
      </w:pPr>
    </w:p>
    <w:bookmarkStart w:id="217" w:name="page218"/>
    <w:bookmarkEnd w:id="217"/>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be obligated to provide such interim reimbursement payments to the extent that the claim, action, investigation, inquiry or other proceeding pertains to alleged statements or omissions with respect to information furnished in writing by or on behalf of the Underwriters, it being understood and agreed that the only such information furnished by any Underwriter consists of the information described as such in Section 14 hereof.</w:t>
      </w:r>
    </w:p>
    <w:p>
      <w:pPr>
        <w:spacing w:after="0" w:line="172" w:lineRule="exact"/>
        <w:rPr>
          <w:sz w:val="20"/>
          <w:szCs w:val="20"/>
          <w:color w:val="auto"/>
        </w:rPr>
      </w:pPr>
    </w:p>
    <w:p>
      <w:pPr>
        <w:ind w:right="20" w:firstLine="668"/>
        <w:spacing w:after="0" w:line="276" w:lineRule="auto"/>
        <w:tabs>
          <w:tab w:leader="none" w:pos="123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any action or claim shall be brought against any Underwriter or any person controlling any Underwriter in respect of which indemnity may be sought jointly and severally against the Company and the Selling Stockholders, such Underwriter or such controlling person shall promptly notify in writing the party(s) against whom indemnification is being sought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or “</w:t>
      </w:r>
      <w:r>
        <w:rPr>
          <w:rFonts w:ascii="Arial" w:cs="Arial" w:eastAsia="Arial" w:hAnsi="Arial"/>
          <w:sz w:val="16"/>
          <w:szCs w:val="16"/>
          <w:b w:val="1"/>
          <w:bCs w:val="1"/>
          <w:i w:val="1"/>
          <w:iCs w:val="1"/>
          <w:color w:val="auto"/>
        </w:rPr>
        <w:t>indemnifying parties</w:t>
      </w:r>
      <w:r>
        <w:rPr>
          <w:rFonts w:ascii="Arial" w:cs="Arial" w:eastAsia="Arial" w:hAnsi="Arial"/>
          <w:sz w:val="16"/>
          <w:szCs w:val="16"/>
          <w:color w:val="auto"/>
        </w:rPr>
        <w:t>”), and such indemnifying party(s) shall assume the defense thereof, including the employment of counsel reasonably acceptable to such Underwriter or such controlling person and the payment of all reasonable fees of and expenses incurred by such counsel. Such Underwriter or any such controlling person shall have the right to employ separate counsel in any such action and participate in the defense thereof. In the event the Underwriter or any such controlling person employs separate counsel, the fees and expenses of such counsel shall be at the expense of such Underwriter or such controlling person, unless (i) the indemnifying party(s) has (have) agreed in writing to pay such fees and expenses, (ii) the indemnifying party(s) has (have) failed to assume the defense and employ counsel reasonably acceptable to the Underwriter or such controlling person or (iii) the named parties to any such action (including any impleaded parties) include both such Underwriter or such controlling person and the indemnifying party(s), and such Underwriter or such controlling person shall have been advised by its counsel that one or more legal defenses may be available to the Underwriter that may not be available to the Company or the Selling Stockholders, or that representation of such indemnified party and any indemnifying party(s) by the same counsel would be inappropriate under applicable standards of professional conduct (whether or not such representation by the same counsel has been proposed) due to actual or potential differing interests between them. In the event that the conditions of clause (iii) of the preceding sentence are satisfied, the indemnifying party(s) shall not have the right to assume the defense of such action on behalf of such Underwriter or such controlling person, and the Company and the Selling Stockholders, as applicable, shall not be liable for the fees and expenses of more than one counsel for the Underwriters and such controlling persons. The indemnifying party(s) shall not be liable for any settlement of any such action effected without its (their several) written consent, but if settled with such written consent, or if there be a final judgment for the plaintiff in any such action, the indemnifying party(s) agree(s) to indemnify and hold harmless any Underwriter and any such controlling person from and against any loss, claim, damage, liability or expense by reason of such settlement or judgment, but in the case of a judgment only to the extent stated in Section 8(a) and Section 8(b).</w:t>
      </w:r>
    </w:p>
    <w:p>
      <w:pPr>
        <w:spacing w:after="0" w:line="174" w:lineRule="exact"/>
        <w:rPr>
          <w:rFonts w:ascii="Arial" w:cs="Arial" w:eastAsia="Arial" w:hAnsi="Arial"/>
          <w:sz w:val="16"/>
          <w:szCs w:val="16"/>
          <w:color w:val="auto"/>
        </w:rPr>
      </w:pPr>
    </w:p>
    <w:p>
      <w:pPr>
        <w:ind w:right="40" w:firstLine="668"/>
        <w:spacing w:after="0" w:line="285" w:lineRule="auto"/>
        <w:tabs>
          <w:tab w:leader="none" w:pos="122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and the Selling Stockholders, their respective directors, their respective officers who sign the Registration Statement and any person who controls the Company or the Selling Stockholders within the meaning of Section 15 of the Act or Section 20 of the Exchange Act, to the same extent as the foregoing several indemnity from the Company and the Selling Stockholders to each Underwriter, but only with respect to information furnished in writing by or on behalf of such Underwriter through you expressly for use in the Registration Statement, the Prospectus, the Time of Sale Information, any Issuer Free Writing Prospectus, any Written Testing-the-Waters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Communication or any Preliminary Prospectus, or any amendment or supplement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is understood and agreed that the only such information furnished by any Underwriter consists of the information described as such in Section 14 hereof. If any action or claim shall be brought or asserted against the Company or the Selling Stockholders, any of their respective directors, any of their respective officers or any such controlling person based on the Registration Statement, the Prospectus, the Time of Sale Information, any Issuer Free Writing Prospectus, any Written Testing-the-Waters Communication or any Preliminary Prospectus, or any amendment or supplement thereto, and in respect of which indemnity may be sought against any Underwriter pursuant to this paragraph, such Underwriter shall have the rights and duties given to the Company and the Selling Stockholders by Section 8(d) (except that, if the Company and the Selling Stockholders shall have assumed the defense thereof, such Underwriter shall not be required to do so, but may employ separate counsel therein and participate in the defense thereof, but the fees and expenses of such counsel employed by the Underwriter shall be at such Underwriter’s expense), and the Company and the Selling Stockholders, their respective directors, their respective officers and any such controlling persons, shall have the rights and duties given to the Underwriters by Section 8(d).</w:t>
      </w:r>
    </w:p>
    <w:p>
      <w:pPr>
        <w:spacing w:after="0" w:line="181" w:lineRule="exact"/>
        <w:rPr>
          <w:sz w:val="20"/>
          <w:szCs w:val="20"/>
          <w:color w:val="auto"/>
        </w:rPr>
      </w:pPr>
    </w:p>
    <w:p>
      <w:pPr>
        <w:ind w:right="40" w:firstLine="634"/>
        <w:spacing w:after="0" w:line="265" w:lineRule="auto"/>
        <w:tabs>
          <w:tab w:leader="none" w:pos="124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any event, the indemnifying party will not, without the prior written consent of the indemnified party, settle or compromise or consent to the entry of any judgment in any proceeding or threatened claim, action, suit or proceeding in respect of which the indemnification may be sought hereunder (whether or not the Representatives or any person who controls the indemnified party within the meaning of Section 15 of the Act or Section 20 of the Exchange Act is a party to such claim, action, suit or proceeding) unless such settlement, compromise or consent includes an unconditional release of such indemnified party and such indemnified party’s controlling persons from all liability arising out of such claim, action, suit or proceeding.</w:t>
      </w:r>
    </w:p>
    <w:p>
      <w:pPr>
        <w:spacing w:after="0" w:line="179" w:lineRule="exact"/>
        <w:rPr>
          <w:rFonts w:ascii="Arial" w:cs="Arial" w:eastAsia="Arial" w:hAnsi="Arial"/>
          <w:sz w:val="17"/>
          <w:szCs w:val="17"/>
          <w:color w:val="auto"/>
        </w:rPr>
      </w:pPr>
    </w:p>
    <w:p>
      <w:pPr>
        <w:ind w:firstLine="634"/>
        <w:spacing w:after="0" w:line="277" w:lineRule="auto"/>
        <w:tabs>
          <w:tab w:leader="none" w:pos="124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or insufficient for any reason whatsoever to an indemnified party in respect of any Damages referred to herein, then an indemnifying party, in lieu of indemnifying such indemnified party, shall contribute to the amount paid or payable by such indemnified party as a result of such Damages (i) in such proportion as is appropriate to reflect the relative benefits received by the Company and the Selling Stockholders, respectively, on the one hand, and the Underwriters on the other hand, from the offering and sale of the Shares or (ii) if the allocation provided by clause (i) above is not permitted by applicable law, in such proportion as is appropriate to reflect not only the relative benefits referred to in clause (i) above but also the relative and several fault of the Company and the Selling Stockholders, respectively, on the one hand, and the Underwriters on the other hand, in connection with the statements or omissions that resulted in such Damages as well as any other relevant equitable considerations. The relative and several benefits received by the Company and the Selling Stockholders, respectively, on the one hand, and the Underwriters on the other hand, shall be deemed to be in the same proportion as the total net proceeds from the offering (after deducting underwriting discounts and commissions, but before deducting expenses) received by the Company and the Selling Stockholders, as applicable, bear to the total underwriting discounts and commissions received by the Underwriters, in each case as set forth in the table on the cover page of the Prospectus; provided that, in the event that the Underwriters shall have purchased any Additional Shares hereunder, any determination of the relative benefits received by the Company and the Selling Stockholders or the Underwriters from the offering of the Shares shall include the net proceeds (after deducting underwriting discounts and commissions, but before deducting expenses)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received by the Company and the Selling Stockholders, and the underwriting discounts and commissions received by the Underwriters, from the sale of such Additional Shares, in each case computed on the basis of the respective amounts set forth in the notes to the table on the cover page of the Prospectus. The relative fault of the Company and the Selling Stockholders, respectively,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the Selling Stockholders, on the one hand, or by the Underwriters on the other hand and the parties’ relative intent,</w:t>
      </w:r>
    </w:p>
    <w:p>
      <w:pPr>
        <w:sectPr>
          <w:pgSz w:w="11900" w:h="16943" w:orient="portrait"/>
          <w:cols w:equalWidth="0" w:num="1">
            <w:col w:w="11400"/>
          </w:cols>
          <w:pgMar w:left="240" w:top="127" w:right="259" w:bottom="0" w:gutter="0" w:footer="0" w:header="0"/>
        </w:sectPr>
      </w:pPr>
    </w:p>
    <w:bookmarkStart w:id="218" w:name="page219"/>
    <w:bookmarkEnd w:id="218"/>
    <w:p>
      <w:pPr>
        <w:ind w:right="120"/>
        <w:spacing w:after="0" w:line="285" w:lineRule="auto"/>
        <w:rPr>
          <w:sz w:val="20"/>
          <w:szCs w:val="20"/>
          <w:color w:val="auto"/>
        </w:rPr>
      </w:pPr>
      <w:r>
        <w:rPr>
          <w:rFonts w:ascii="Arial" w:cs="Arial" w:eastAsia="Arial" w:hAnsi="Arial"/>
          <w:sz w:val="16"/>
          <w:szCs w:val="16"/>
          <w:color w:val="auto"/>
        </w:rPr>
        <w:t>knowledge, access to information and opportunity to correct or prevent such statement or omission. Notwithstanding the provisions of this subsection (g), except in the event of fraud by a Selling Stockholder, such Selling Stockholder shall not be required to contribute any amount in excess of the amount by which (i) the Net Proceeds from the Shares sold by such Selling Stockholder pursuant to this Agreement exceeds (ii) the amount that such Selling Stockholder has been otherwise required to pay pursuant to subsection (b) above or otherwise as a result of such Selling Stockholder’s representations, warranties and indemnification obligations under this Agreement. Each Selling Stockholder’s obligations to contribute under this subsection (g) are several and not joint.</w:t>
      </w:r>
    </w:p>
    <w:p>
      <w:pPr>
        <w:spacing w:after="0" w:line="166" w:lineRule="exact"/>
        <w:rPr>
          <w:sz w:val="20"/>
          <w:szCs w:val="20"/>
          <w:color w:val="auto"/>
        </w:rPr>
      </w:pPr>
    </w:p>
    <w:p>
      <w:pPr>
        <w:ind w:firstLine="668"/>
        <w:spacing w:after="0" w:line="261" w:lineRule="auto"/>
        <w:tabs>
          <w:tab w:leader="none" w:pos="12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 the Selling Stockholders and the Underwriters agree that it would not be just and equitable if contribution pursuant to this Section 8 was determined by a pro rata allocation (even if the Underwriters were treated as one entity for such purpose) or by any other method of allocation that does not take into account the equitable considerations referred to in Section 8(g). The amount paid or payable by an indemnified party as a result of the Damages referred to in Section 8(g)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of the underwriting commissions received by such underwriter in connection with the Shares underwritten by it and distributed to the public. No person guilty of fraudulent misrepresentation (within the meaning of Section 11(f) of the Act) shall be entitled to contribution from any person who was not guilty of such fraudulent misrepresentation. The Underwriters’ obligations to contribute pursuant to this Section 8 are several in proportion to the respective numbers of Firm Shares set forth opposite their names in Schedule I hereto (or such numbers of Firm Shares increased as set forth in Section 10 hereof) and not joint.</w:t>
      </w:r>
    </w:p>
    <w:p>
      <w:pPr>
        <w:spacing w:after="0" w:line="181" w:lineRule="exact"/>
        <w:rPr>
          <w:rFonts w:ascii="Arial" w:cs="Arial" w:eastAsia="Arial" w:hAnsi="Arial"/>
          <w:sz w:val="17"/>
          <w:szCs w:val="17"/>
          <w:color w:val="auto"/>
        </w:rPr>
      </w:pPr>
    </w:p>
    <w:p>
      <w:pPr>
        <w:ind w:right="100" w:firstLine="668"/>
        <w:spacing w:after="0" w:line="281" w:lineRule="auto"/>
        <w:tabs>
          <w:tab w:leader="none" w:pos="123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Notwithstanding Section 8(c), any Damages for which an indemnified party is entitled to indemnification or contribution under this Section 8 shall be paid by the indemnifying party to the indemnified party as Damages are incurred after receipt of reasonably itemized invoices therefor. The indemnity, contribution and reimbursement agreements contained in this Section 8 and the several, and not joint, representations and warranties of the Company and the Selling Stockholders set forth in this Agreement shall remain operative and in full force and effect, regardless of (i) any investigation made by or on behalf of any Underwriter or any person controlling any Underwriter, the Company, the Selling Stockholders, their respective directors or officers or any person controlling the Company or the Selling Stockholders, (ii) acceptance of any Shares and payment therefor hereunder and (iii) any termination of this Agreement. A successor to any Underwriter or any person controlling any Underwriter, or to the Company or the Selling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Stockholders, their respective directors or officers or any person controlling the Company or the Selling Stockholders, shall be entitled to the benefits of the indemnity, contribution and reimbursement agreements contained in this Section 8.</w:t>
      </w:r>
    </w:p>
    <w:p>
      <w:pPr>
        <w:spacing w:after="0" w:line="158" w:lineRule="exact"/>
        <w:rPr>
          <w:sz w:val="20"/>
          <w:szCs w:val="20"/>
          <w:color w:val="auto"/>
        </w:rPr>
      </w:pPr>
    </w:p>
    <w:p>
      <w:pPr>
        <w:ind w:firstLine="634"/>
        <w:spacing w:after="0" w:line="278" w:lineRule="auto"/>
        <w:tabs>
          <w:tab w:leader="none" w:pos="12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Company and its subsidiaries shall indemnify and hold harmless Raymond James, its directors, officers, employees and agents, and each person, if any, who controls Raymond James within the meaning of Section 15 of the Act or Section 20 of the Exchange Act (the “</w:t>
      </w:r>
      <w:r>
        <w:rPr>
          <w:rFonts w:ascii="Arial" w:cs="Arial" w:eastAsia="Arial" w:hAnsi="Arial"/>
          <w:sz w:val="16"/>
          <w:szCs w:val="16"/>
          <w:b w:val="1"/>
          <w:bCs w:val="1"/>
          <w:i w:val="1"/>
          <w:iCs w:val="1"/>
          <w:color w:val="auto"/>
        </w:rPr>
        <w:t>Raymond James Parties</w:t>
      </w:r>
      <w:r>
        <w:rPr>
          <w:rFonts w:ascii="Arial" w:cs="Arial" w:eastAsia="Arial" w:hAnsi="Arial"/>
          <w:sz w:val="16"/>
          <w:szCs w:val="16"/>
          <w:color w:val="auto"/>
        </w:rPr>
        <w:t>”), from and against any Damages (i) arising out of or based upon any untrue statement or alleged untrue statement of a material fact contained in any material prepared by or with the approval of the Company and its subsidiaries for distribution to Directed Share Participants in connection with the Directed Shares Program or any omission or alleged omission to state therein a material fact necessary in order to make the statements therein not misleading, in light of the circumstances under which any such statements were made, except, with respect to such material, insofar as any such Damages arise out of or are based upon any untrue statement or alleged untrue statement of a material fact contained in, and in conformity with, information concerning an Underwriter furnished in writing by or on behalf of such Underwriter expressly for use in such material, it being understood and agreed that the only such information furnished by any Underwriter consists of the information described as such in Section 14 hereof, (ii) arising out of or based upon the failure of the Directed Share Participant to pay for and accept delivery of Directed Shares that the Directed Share Participant agreed to purchase or (iii) otherwise related to the Directed Shares Program. In the event that it is finally judicially determined that one or more of the Raymond James Parties was not entitled to receive payments for legal and other expenses pursuant to this Section 8(j), then such Raymond James Party will promptly return all sums that had been advanced pursuant thereto.</w:t>
      </w:r>
    </w:p>
    <w:p>
      <w:pPr>
        <w:spacing w:after="0" w:line="169" w:lineRule="exact"/>
        <w:rPr>
          <w:rFonts w:ascii="Arial" w:cs="Arial" w:eastAsia="Arial" w:hAnsi="Arial"/>
          <w:sz w:val="16"/>
          <w:szCs w:val="16"/>
          <w:color w:val="auto"/>
        </w:rPr>
      </w:pPr>
    </w:p>
    <w:p>
      <w:pPr>
        <w:ind w:right="240" w:firstLine="668"/>
        <w:spacing w:after="0" w:line="289" w:lineRule="auto"/>
        <w:tabs>
          <w:tab w:leader="none" w:pos="124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several obligations of the Underwriters to purchase the Firm Shares hereunder are subject to the following conditions:</w:t>
      </w:r>
    </w:p>
    <w:p>
      <w:pPr>
        <w:spacing w:after="0" w:line="158" w:lineRule="exact"/>
        <w:rPr>
          <w:rFonts w:ascii="Arial" w:cs="Arial" w:eastAsia="Arial" w:hAnsi="Arial"/>
          <w:sz w:val="17"/>
          <w:szCs w:val="17"/>
          <w:color w:val="auto"/>
        </w:rPr>
      </w:pPr>
    </w:p>
    <w:p>
      <w:pPr>
        <w:ind w:right="100" w:firstLine="1303"/>
        <w:spacing w:after="0" w:line="273" w:lineRule="auto"/>
        <w:tabs>
          <w:tab w:leader="none" w:pos="1900" w:val="left"/>
        </w:tabs>
        <w:numPr>
          <w:ilvl w:val="2"/>
          <w:numId w:val="177"/>
        </w:numPr>
        <w:rPr>
          <w:rFonts w:ascii="Arial" w:cs="Arial" w:eastAsia="Arial" w:hAnsi="Arial"/>
          <w:sz w:val="17"/>
          <w:szCs w:val="17"/>
          <w:color w:val="auto"/>
        </w:rPr>
      </w:pPr>
      <w:r>
        <w:rPr>
          <w:rFonts w:ascii="Arial" w:cs="Arial" w:eastAsia="Arial" w:hAnsi="Arial"/>
          <w:sz w:val="17"/>
          <w:szCs w:val="17"/>
          <w:color w:val="auto"/>
        </w:rPr>
        <w:t>The Registration Statement shall have become effective not later than 12:00 noon, New York City time, on the date hereof, or at such later date and time as shall be consented to in writing by the Representative, and all filings required by Rules 424(b), 430A and 462 under the Act shall have been timely made.</w:t>
      </w:r>
    </w:p>
    <w:p>
      <w:pPr>
        <w:spacing w:after="0" w:line="171" w:lineRule="exact"/>
        <w:rPr>
          <w:rFonts w:ascii="Arial" w:cs="Arial" w:eastAsia="Arial" w:hAnsi="Arial"/>
          <w:sz w:val="17"/>
          <w:szCs w:val="17"/>
          <w:color w:val="auto"/>
        </w:rPr>
      </w:pPr>
    </w:p>
    <w:p>
      <w:pPr>
        <w:ind w:firstLine="1303"/>
        <w:spacing w:after="0" w:line="301" w:lineRule="auto"/>
        <w:tabs>
          <w:tab w:leader="none" w:pos="1910" w:val="left"/>
        </w:tabs>
        <w:numPr>
          <w:ilvl w:val="2"/>
          <w:numId w:val="177"/>
        </w:numPr>
        <w:rPr>
          <w:rFonts w:ascii="Arial" w:cs="Arial" w:eastAsia="Arial" w:hAnsi="Arial"/>
          <w:sz w:val="15"/>
          <w:szCs w:val="15"/>
          <w:color w:val="auto"/>
        </w:rPr>
      </w:pPr>
      <w:r>
        <w:rPr>
          <w:rFonts w:ascii="Arial" w:cs="Arial" w:eastAsia="Arial" w:hAnsi="Arial"/>
          <w:sz w:val="15"/>
          <w:szCs w:val="15"/>
          <w:color w:val="auto"/>
        </w:rPr>
        <w:t>You shall be reasonably satisfied that since the respective dates as of which information is given in the Registration Statement, the Time of Sale Information and Prospectus, (i) there shall not have been any change in the capital stock of the Company or any material change in the indebtedness (other than in the ordinary course of business) of the Company, (ii) except as set forth or contemplated by the Registration Statement, the Time of Sale Information or the Prospectus, no material oral or written agreement or other transaction shall have been entered into by the Company that is not in the ordinary course of business or that could reasonably be expected to result in a material reduction in the future earnings of the Company, (iii) no loss or damage (whether or not insured) to the property of the Company shall have been sustained that had or could reasonably be expected to have a Material Adverse Effect, (iv) no legal or governmental action, suit or proceeding affecting the Company or any of its properties that is material to the Company or that affects or could reasonably be expected to affect the transactions contemplated by this Agreement shall have been instituted or threatened and (v) there shall not have been any material change in the condition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(financial or otherwise), business, management, results of operations or prospects of the Company or its subsidiaries that makes it impractical or inadvisable in your judgment to proceed with the public offering or purchase of the Shares as contemplated hereby.</w:t>
      </w:r>
    </w:p>
    <w:p>
      <w:pPr>
        <w:spacing w:after="0" w:line="158" w:lineRule="exact"/>
        <w:rPr>
          <w:sz w:val="20"/>
          <w:szCs w:val="20"/>
          <w:color w:val="auto"/>
        </w:rPr>
      </w:pPr>
    </w:p>
    <w:p>
      <w:pPr>
        <w:ind w:right="60" w:firstLine="1263"/>
        <w:spacing w:after="0" w:line="268" w:lineRule="auto"/>
        <w:tabs>
          <w:tab w:leader="none" w:pos="189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You shall have received on the Closing Date a written opinion of DLA Piper LLP (US), counsel to the Company, in a form acceptable to the Representatives. In rendering such opinion, counsel may rely, to the extent they deem such reliance proper, as to matters of fact upon certificates of officers of the Company and of government officials. Copies of all such certificates shall be furnished to you and your counsel on the Closing Date and the Additional Closing Date, as the case may be.</w:t>
      </w:r>
    </w:p>
    <w:p>
      <w:pPr>
        <w:spacing w:after="0" w:line="175" w:lineRule="exact"/>
        <w:rPr>
          <w:rFonts w:ascii="Arial" w:cs="Arial" w:eastAsia="Arial" w:hAnsi="Arial"/>
          <w:sz w:val="17"/>
          <w:szCs w:val="17"/>
          <w:color w:val="auto"/>
        </w:rPr>
      </w:pPr>
    </w:p>
    <w:p>
      <w:pPr>
        <w:jc w:val="both"/>
        <w:ind w:firstLine="1263"/>
        <w:spacing w:after="0" w:line="265" w:lineRule="auto"/>
        <w:tabs>
          <w:tab w:leader="none" w:pos="190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You shall have received on the Closing Date a written opinion of Zhong Lun Law Firm, counsel to the Company, with respect to Global Technologies, Inc. and in a form acceptable to the Representatives. In rendering such opinion, counsel may rely, to the extent they deem such reliance proper, as to matters of fact upon certificates of officers of the Company and of government officials, provided that counsel shall state their belief that they and you are justified in relying thereon. Copies of all such certificates shall be furnished to you and your counsel on the Closing Date and the Additional Closing Date, as the case may be.</w:t>
      </w:r>
    </w:p>
    <w:p>
      <w:pPr>
        <w:sectPr>
          <w:pgSz w:w="11900" w:h="16838" w:orient="portrait"/>
          <w:cols w:equalWidth="0" w:num="1">
            <w:col w:w="11420"/>
          </w:cols>
          <w:pgMar w:left="240" w:top="127" w:right="239" w:bottom="0" w:gutter="0" w:footer="0" w:header="0"/>
        </w:sectPr>
      </w:pPr>
    </w:p>
    <w:bookmarkStart w:id="219" w:name="page220"/>
    <w:bookmarkEnd w:id="219"/>
    <w:p>
      <w:pPr>
        <w:spacing w:after="0" w:line="32" w:lineRule="exact"/>
        <w:rPr>
          <w:sz w:val="20"/>
          <w:szCs w:val="20"/>
          <w:color w:val="auto"/>
        </w:rPr>
      </w:pPr>
    </w:p>
    <w:p>
      <w:pPr>
        <w:ind w:firstLine="1263"/>
        <w:spacing w:after="0" w:line="265" w:lineRule="auto"/>
        <w:tabs>
          <w:tab w:leader="none" w:pos="189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You shall have received on the Closing Date a written opinion of Travers Thorp Alberga, counsel to the Company, with respect to Prime World International Holdings Ltd. and in a form acceptable to the Representatives. In rendering such opinion, counsel may rely, to the extent they deem such reliance proper, as to matters of fact upon certificates of officers of the Company and of government officials, provided that counsel shall state their belief that they and you are justified in relying thereon. Copies of all such certificates shall be furnished to you and your counsel on the Closing Date and the Additional Closing Date, as the case may be.</w:t>
      </w:r>
    </w:p>
    <w:p>
      <w:pPr>
        <w:spacing w:after="0" w:line="179" w:lineRule="exact"/>
        <w:rPr>
          <w:rFonts w:ascii="Arial" w:cs="Arial" w:eastAsia="Arial" w:hAnsi="Arial"/>
          <w:sz w:val="17"/>
          <w:szCs w:val="17"/>
          <w:color w:val="auto"/>
        </w:rPr>
      </w:pPr>
    </w:p>
    <w:p>
      <w:pPr>
        <w:ind w:right="60" w:firstLine="1263"/>
        <w:spacing w:after="0" w:line="314" w:lineRule="auto"/>
        <w:tabs>
          <w:tab w:leader="none" w:pos="1916" w:val="left"/>
        </w:tabs>
        <w:numPr>
          <w:ilvl w:val="0"/>
          <w:numId w:val="179"/>
        </w:numPr>
        <w:rPr>
          <w:rFonts w:ascii="Arial" w:cs="Arial" w:eastAsia="Arial" w:hAnsi="Arial"/>
          <w:sz w:val="15"/>
          <w:szCs w:val="15"/>
          <w:color w:val="auto"/>
        </w:rPr>
      </w:pPr>
      <w:r>
        <w:rPr>
          <w:rFonts w:ascii="Arial" w:cs="Arial" w:eastAsia="Arial" w:hAnsi="Arial"/>
          <w:sz w:val="15"/>
          <w:szCs w:val="15"/>
          <w:color w:val="auto"/>
        </w:rPr>
        <w:t>You shall have received on the Additional Closing Date, if any, a written opinion of Whalen, L.L.P., counsel to the Selling Stockholders, or such other U.S.-based counsel to Selling Stockholders that is acceptable to the Representatives, with such written opinion being in a form acceptable to the Representatives. In rendering such opinion, counsel may rely, to the extent they deem such reliance proper, as to matters of fact upon certificates of officers of the Company and of government officials. Copies of all such certificates shall be furnished to you and your counsel on the Additional Closing Date.</w:t>
      </w:r>
    </w:p>
    <w:p>
      <w:pPr>
        <w:spacing w:after="0" w:line="146" w:lineRule="exact"/>
        <w:rPr>
          <w:rFonts w:ascii="Arial" w:cs="Arial" w:eastAsia="Arial" w:hAnsi="Arial"/>
          <w:sz w:val="15"/>
          <w:szCs w:val="15"/>
          <w:color w:val="auto"/>
        </w:rPr>
      </w:pPr>
    </w:p>
    <w:p>
      <w:pPr>
        <w:ind w:right="20" w:firstLine="1263"/>
        <w:spacing w:after="0" w:line="265" w:lineRule="auto"/>
        <w:tabs>
          <w:tab w:leader="none" w:pos="19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With respect to each Selling Stockholder that is an entity organized or formed in a jurisdiction outside of the United States of America (a “</w:t>
      </w:r>
      <w:r>
        <w:rPr>
          <w:rFonts w:ascii="Arial" w:cs="Arial" w:eastAsia="Arial" w:hAnsi="Arial"/>
          <w:sz w:val="17"/>
          <w:szCs w:val="17"/>
          <w:b w:val="1"/>
          <w:bCs w:val="1"/>
          <w:i w:val="1"/>
          <w:iCs w:val="1"/>
          <w:color w:val="auto"/>
        </w:rPr>
        <w:t>Non-U.S. Selling Stockholder</w:t>
      </w:r>
      <w:r>
        <w:rPr>
          <w:rFonts w:ascii="Arial" w:cs="Arial" w:eastAsia="Arial" w:hAnsi="Arial"/>
          <w:sz w:val="17"/>
          <w:szCs w:val="17"/>
          <w:color w:val="auto"/>
        </w:rPr>
        <w:t>”), you shall have received on the Additional Closing Date, if any, a written opinion of legal counsel to such Non-U.S. Selling Stockholder acceptable to the Representatives, which written opinion shall be in a form acceptable to the Representatives. In rendering such opinion, counsel may rely, to the extent they deem such reliance proper, as to matters of fact upon certificates of officers of the Company and of government officials. Copies of all such certificates shall be furnished to you and your counsel on the Additional Closing Date.</w:t>
      </w:r>
    </w:p>
    <w:p>
      <w:pPr>
        <w:spacing w:after="0" w:line="179" w:lineRule="exact"/>
        <w:rPr>
          <w:rFonts w:ascii="Arial" w:cs="Arial" w:eastAsia="Arial" w:hAnsi="Arial"/>
          <w:sz w:val="17"/>
          <w:szCs w:val="17"/>
          <w:color w:val="auto"/>
        </w:rPr>
      </w:pPr>
    </w:p>
    <w:p>
      <w:pPr>
        <w:ind w:right="520" w:firstLine="1263"/>
        <w:spacing w:after="0" w:line="289" w:lineRule="auto"/>
        <w:tabs>
          <w:tab w:leader="none" w:pos="19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You shall have received on the Closing Date (and the Additional Closing Date, if any) an opinion of Wilson Sonsini Goodrich &amp; Rosati, Professional Corporation, as counsel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for the Underwriters, dated on the Closing Date or the Additional Closing Date, as the case may be, with respect to the issuance and sale of the Shares, the Registration Statement and other related matters as you may reasonably request, and the Company and its counsel shall have furnished to your counsel such documents as they may reasonably request for the purpose of enabling them to pass upon such matters.</w:t>
      </w:r>
    </w:p>
    <w:p>
      <w:pPr>
        <w:spacing w:after="0" w:line="172" w:lineRule="exact"/>
        <w:rPr>
          <w:sz w:val="20"/>
          <w:szCs w:val="20"/>
          <w:color w:val="auto"/>
        </w:rPr>
      </w:pPr>
    </w:p>
    <w:p>
      <w:pPr>
        <w:ind w:right="160" w:firstLine="1263"/>
        <w:spacing w:after="0" w:line="265" w:lineRule="auto"/>
        <w:tabs>
          <w:tab w:leader="none" w:pos="1906" w:val="left"/>
        </w:tabs>
        <w:numPr>
          <w:ilvl w:val="1"/>
          <w:numId w:val="180"/>
        </w:numPr>
        <w:rPr>
          <w:rFonts w:ascii="Arial" w:cs="Arial" w:eastAsia="Arial" w:hAnsi="Arial"/>
          <w:sz w:val="17"/>
          <w:szCs w:val="17"/>
          <w:color w:val="auto"/>
        </w:rPr>
      </w:pPr>
      <w:r>
        <w:rPr>
          <w:rFonts w:ascii="Arial" w:cs="Arial" w:eastAsia="Arial" w:hAnsi="Arial"/>
          <w:sz w:val="17"/>
          <w:szCs w:val="17"/>
          <w:color w:val="auto"/>
        </w:rPr>
        <w:t>On the effective date of the Registration Statement and, if applicable, the most recently filed post-effective amendment to the Registration Statement, you shall have received letters dated as of the date of delivery thereof from (i) Grant Thornton LLP, in form and substance satisfactory to you, containing statements and information of the type customarily included in accountants’ “comfort letters” to underwriters with respect to the financial statements and certain financial information contained in the Registration Statement and the Prospectus, and (ii) certain officers of the Company, in the form heretofore approved by you.</w:t>
      </w:r>
    </w:p>
    <w:p>
      <w:pPr>
        <w:spacing w:after="0" w:line="179" w:lineRule="exact"/>
        <w:rPr>
          <w:rFonts w:ascii="Arial" w:cs="Arial" w:eastAsia="Arial" w:hAnsi="Arial"/>
          <w:sz w:val="17"/>
          <w:szCs w:val="17"/>
          <w:color w:val="auto"/>
        </w:rPr>
      </w:pPr>
    </w:p>
    <w:p>
      <w:pPr>
        <w:ind w:right="400" w:firstLine="1263"/>
        <w:spacing w:after="0" w:line="300" w:lineRule="auto"/>
        <w:tabs>
          <w:tab w:leader="none" w:pos="1869" w:val="left"/>
        </w:tabs>
        <w:numPr>
          <w:ilvl w:val="1"/>
          <w:numId w:val="180"/>
        </w:numPr>
        <w:rPr>
          <w:rFonts w:ascii="Arial" w:cs="Arial" w:eastAsia="Arial" w:hAnsi="Arial"/>
          <w:sz w:val="15"/>
          <w:szCs w:val="15"/>
          <w:color w:val="auto"/>
        </w:rPr>
      </w:pPr>
      <w:r>
        <w:rPr>
          <w:rFonts w:ascii="Arial" w:cs="Arial" w:eastAsia="Arial" w:hAnsi="Arial"/>
          <w:sz w:val="15"/>
          <w:szCs w:val="15"/>
          <w:color w:val="auto"/>
        </w:rPr>
        <w:t>On the Closing Date (and the Additional Closing Date, if any), you shall have received letters, dated on the Closing Date or the Additional Closing Date, as the case may be, to the effect that they reaffirm the statements made in the letter or letters furnished pursuant to Section 9(i) from</w:t>
      </w:r>
    </w:p>
    <w:p>
      <w:pPr>
        <w:ind w:right="340" w:firstLine="5"/>
        <w:spacing w:after="0" w:line="275" w:lineRule="auto"/>
        <w:tabs>
          <w:tab w:leader="none" w:pos="20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Grant Thornton LLP, except that the specified date referred to therein shall be a date not more than three (3) business days prior to the Closing Date or such Additional Closing Date, as the case may be, and (ii) certain officers of the Company.</w:t>
      </w:r>
    </w:p>
    <w:p>
      <w:pPr>
        <w:spacing w:after="0" w:line="169" w:lineRule="exact"/>
        <w:rPr>
          <w:rFonts w:ascii="Arial" w:cs="Arial" w:eastAsia="Arial" w:hAnsi="Arial"/>
          <w:sz w:val="17"/>
          <w:szCs w:val="17"/>
          <w:color w:val="auto"/>
        </w:rPr>
      </w:pPr>
    </w:p>
    <w:p>
      <w:pPr>
        <w:ind w:right="40" w:firstLine="1263"/>
        <w:spacing w:after="0" w:line="277" w:lineRule="auto"/>
        <w:tabs>
          <w:tab w:leader="none" w:pos="187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shall have been issued by the Commission and no proceedings for that purpose shall be pending or, to the knowledge of the Company, shall be threatened or contemplated by the Commission at or prior to the Closing Date or Additional Closing Date, as the case may be; (ii) no order suspending the effectiveness of the Registration Statement or the qualification or registration of the Shares under the securities or Blue Sky laws of any relevant jurisdiction shall be in effect and no proceeding for such purpose shall be pending or, to the knowledge of the Company, threatened or contemplated by the authorities of any relevant jurisdiction; (iii) any request for additional information on the part of the staff of the Commission or any such authorities shall have been complied with to the satisfaction of the staff of the Commission or such authorities; (iv) after the date hereof, no amendment or supplement to the Registration Statement or the Prospectus shall have been filed unless a copy thereof was first submitted to you and you did not object thereto in good faith; and (v) all of the representations and warranties of the Company contained in this Agreement shall be true and correct in all material respects (except for such representations and warranties qualified by materiality, which representations and warranties shall be true and correct in all respects) on and as of the date hereof and on and as of the Closing Date or Additional Closing Date, as the case may be, as if made on and as of the Closing Date or Additional Closing Date, as the case may be, and you shall have received a certificate, dated the Closing Date and signed by the chief executive officer and the chief financial officer of the Company (or such other officers as are acceptable to you) to the effect set forth in this Section 9(k) and in Sections 9(b) and 9(l) hereof.</w:t>
      </w:r>
    </w:p>
    <w:p>
      <w:pPr>
        <w:spacing w:after="0" w:line="175" w:lineRule="exact"/>
        <w:rPr>
          <w:rFonts w:ascii="Arial" w:cs="Arial" w:eastAsia="Arial" w:hAnsi="Arial"/>
          <w:sz w:val="16"/>
          <w:szCs w:val="16"/>
          <w:color w:val="auto"/>
        </w:rPr>
      </w:pPr>
    </w:p>
    <w:p>
      <w:pPr>
        <w:jc w:val="both"/>
        <w:ind w:right="220" w:firstLine="1263"/>
        <w:spacing w:after="0" w:line="273" w:lineRule="auto"/>
        <w:tabs>
          <w:tab w:leader="none" w:pos="1906"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Company shall not have failed in any material respect at or prior to the Closing Date or the Additional Closing Date, as the case may be, to have performed or complied with any of its agreements herein contained and required to be performed or complied with by it hereunder at or prior to the Closing Date or Additional Closing Date, as the case may be.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Company shall have furnished or caused to have been furnished to you such further certificates and documents as you shall have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reasonably requested.</w:t>
      </w:r>
    </w:p>
    <w:p>
      <w:pPr>
        <w:spacing w:after="0" w:line="212" w:lineRule="exact"/>
        <w:rPr>
          <w:rFonts w:ascii="Arial" w:cs="Arial" w:eastAsia="Arial" w:hAnsi="Arial"/>
          <w:sz w:val="16"/>
          <w:szCs w:val="16"/>
          <w:color w:val="auto"/>
        </w:rPr>
      </w:pPr>
    </w:p>
    <w:p>
      <w:pPr>
        <w:ind w:left="1920" w:hanging="657"/>
        <w:spacing w:after="0"/>
        <w:tabs>
          <w:tab w:leader="none" w:pos="19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At or prior to the Closing Date, you shall have received the written Lock-Up Agreements from each of the Company’s executive</w:t>
      </w:r>
    </w:p>
    <w:p>
      <w:pPr>
        <w:spacing w:after="0" w:line="38" w:lineRule="exact"/>
        <w:rPr>
          <w:sz w:val="20"/>
          <w:szCs w:val="20"/>
          <w:color w:val="auto"/>
        </w:rPr>
      </w:pPr>
    </w:p>
    <w:p>
      <w:pPr>
        <w:spacing w:after="0"/>
        <w:tabs>
          <w:tab w:leader="none" w:pos="5540" w:val="left"/>
          <w:tab w:leader="none" w:pos="6380" w:val="left"/>
        </w:tabs>
        <w:rPr>
          <w:sz w:val="20"/>
          <w:szCs w:val="20"/>
          <w:color w:val="auto"/>
        </w:rPr>
      </w:pPr>
      <w:r>
        <w:rPr>
          <w:rFonts w:ascii="Arial" w:cs="Arial" w:eastAsia="Arial" w:hAnsi="Arial"/>
          <w:sz w:val="17"/>
          <w:szCs w:val="17"/>
          <w:color w:val="auto"/>
        </w:rPr>
        <w:t>officers, directors, the Selling Stockholders and the holders of at least</w:t>
      </w:r>
      <w:r>
        <w:rPr>
          <w:sz w:val="20"/>
          <w:szCs w:val="20"/>
          <w:color w:val="auto"/>
        </w:rPr>
        <w:tab/>
      </w:r>
      <w:r>
        <w:rPr>
          <w:rFonts w:ascii="Arial" w:cs="Arial" w:eastAsia="Arial" w:hAnsi="Arial"/>
          <w:sz w:val="17"/>
          <w:szCs w:val="17"/>
          <w:color w:val="auto"/>
        </w:rPr>
        <w:t>percent (</w:t>
      </w:r>
      <w:r>
        <w:rPr>
          <w:sz w:val="20"/>
          <w:szCs w:val="20"/>
          <w:color w:val="auto"/>
        </w:rPr>
        <w:tab/>
      </w:r>
      <w:r>
        <w:rPr>
          <w:rFonts w:ascii="Arial" w:cs="Arial" w:eastAsia="Arial" w:hAnsi="Arial"/>
          <w:sz w:val="15"/>
          <w:szCs w:val="15"/>
          <w:color w:val="auto"/>
        </w:rPr>
        <w:t>%) of the Company’s outstanding securities.</w:t>
      </w:r>
    </w:p>
    <w:p>
      <w:pPr>
        <w:spacing w:after="0" w:line="212" w:lineRule="exact"/>
        <w:rPr>
          <w:sz w:val="20"/>
          <w:szCs w:val="20"/>
          <w:color w:val="auto"/>
        </w:rPr>
      </w:pPr>
    </w:p>
    <w:p>
      <w:pPr>
        <w:ind w:right="40" w:firstLine="1263"/>
        <w:spacing w:after="0" w:line="273" w:lineRule="auto"/>
        <w:tabs>
          <w:tab w:leader="none" w:pos="187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At or prior to the effective date of the Registration Statement, you shall have received a letter from the Corporate Financing Department of FINRA confirming that such Department has determined to raise no objections with respect to the fairness or reasonableness of the underwriting terms and arrangements of the offering contemplated hereby.</w:t>
      </w:r>
    </w:p>
    <w:p>
      <w:pPr>
        <w:spacing w:after="0" w:line="171" w:lineRule="exact"/>
        <w:rPr>
          <w:rFonts w:ascii="Arial" w:cs="Arial" w:eastAsia="Arial" w:hAnsi="Arial"/>
          <w:sz w:val="17"/>
          <w:szCs w:val="17"/>
          <w:color w:val="auto"/>
        </w:rPr>
      </w:pPr>
    </w:p>
    <w:p>
      <w:pPr>
        <w:ind w:right="40" w:firstLine="1263"/>
        <w:spacing w:after="0" w:line="268" w:lineRule="auto"/>
        <w:tabs>
          <w:tab w:leader="none" w:pos="190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You shall be satisfied that, and you shall have received a certificate dated the Additional Closing Date from each Selling Stockholder to the effect that, as of the Additional Closing Date: (i) the representations and warranties made by such Selling Stockholders herein are true and correct in all material respect on the Closing Date and (ii) such Selling Stockholder has complied with all obligations and satisfied all conditions that are required to be performed or satisfied on his or its part at or prior to the Additional Closing Date.</w:t>
      </w:r>
    </w:p>
    <w:p>
      <w:pPr>
        <w:spacing w:after="0" w:line="176" w:lineRule="exact"/>
        <w:rPr>
          <w:sz w:val="20"/>
          <w:szCs w:val="20"/>
          <w:color w:val="auto"/>
        </w:rPr>
      </w:pPr>
    </w:p>
    <w:p>
      <w:pPr>
        <w:ind w:right="300" w:firstLine="663"/>
        <w:spacing w:after="0" w:line="289" w:lineRule="auto"/>
        <w:rPr>
          <w:sz w:val="20"/>
          <w:szCs w:val="20"/>
          <w:color w:val="auto"/>
        </w:rPr>
      </w:pPr>
      <w:r>
        <w:rPr>
          <w:rFonts w:ascii="Arial" w:cs="Arial" w:eastAsia="Arial" w:hAnsi="Arial"/>
          <w:sz w:val="17"/>
          <w:szCs w:val="17"/>
          <w:color w:val="auto"/>
        </w:rPr>
        <w:t>All such opinions, certificates, letters and other documents will be in compliance with the provisions hereof only if they are reasonably satisfactory in form and substance to you and your counsel.</w:t>
      </w:r>
    </w:p>
    <w:p>
      <w:pPr>
        <w:sectPr>
          <w:pgSz w:w="11900" w:h="16871" w:orient="portrait"/>
          <w:cols w:equalWidth="0" w:num="1">
            <w:col w:w="11420"/>
          </w:cols>
          <w:pgMar w:left="240" w:top="128" w:right="239" w:bottom="0" w:gutter="0" w:footer="0" w:header="0"/>
        </w:sectPr>
      </w:pPr>
    </w:p>
    <w:bookmarkStart w:id="220" w:name="page221"/>
    <w:bookmarkEnd w:id="220"/>
    <w:p>
      <w:pPr>
        <w:ind w:right="80" w:firstLine="663"/>
        <w:spacing w:after="0" w:line="268" w:lineRule="auto"/>
        <w:rPr>
          <w:sz w:val="20"/>
          <w:szCs w:val="20"/>
          <w:color w:val="auto"/>
        </w:rPr>
      </w:pPr>
      <w:r>
        <w:rPr>
          <w:rFonts w:ascii="Arial" w:cs="Arial" w:eastAsia="Arial" w:hAnsi="Arial"/>
          <w:sz w:val="17"/>
          <w:szCs w:val="17"/>
          <w:color w:val="auto"/>
        </w:rPr>
        <w:t>The several obligations of the Underwriters to purchase Additional Shares hereunder are subject to the satisfaction on and as of the Additional Closing Date of the conditions set forth in this Section 9, except that, if the Additional Closing Date is other than the Closing Date, the certificates, opinions and letters referred to in this Section 9 shall be dated as of the Additional Closing Date and the opinions called for by paragraphs (f), (g) and (h) shall be revised to reflect the sale of Additional Shares.</w:t>
      </w:r>
    </w:p>
    <w:p>
      <w:pPr>
        <w:spacing w:after="0" w:line="176" w:lineRule="exact"/>
        <w:rPr>
          <w:sz w:val="20"/>
          <w:szCs w:val="20"/>
          <w:color w:val="auto"/>
        </w:rPr>
      </w:pPr>
    </w:p>
    <w:p>
      <w:pPr>
        <w:ind w:right="100" w:firstLine="663"/>
        <w:spacing w:after="0" w:line="273" w:lineRule="auto"/>
        <w:rPr>
          <w:sz w:val="20"/>
          <w:szCs w:val="20"/>
          <w:color w:val="auto"/>
        </w:rPr>
      </w:pPr>
      <w:r>
        <w:rPr>
          <w:rFonts w:ascii="Arial" w:cs="Arial" w:eastAsia="Arial" w:hAnsi="Arial"/>
          <w:sz w:val="17"/>
          <w:szCs w:val="17"/>
          <w:color w:val="auto"/>
        </w:rPr>
        <w:t>If any of the conditions hereinabove provided for in this Section 9 shall not have been satisfied when and as required by this Agreement, this Agreement may be terminated by you by notifying the Company of such termination in writing or by telegram at or prior to such Closing Date, but you shall be entitled to waive any of such conditions.</w:t>
      </w:r>
    </w:p>
    <w:p>
      <w:pPr>
        <w:spacing w:after="0" w:line="172" w:lineRule="exact"/>
        <w:rPr>
          <w:sz w:val="20"/>
          <w:szCs w:val="20"/>
          <w:color w:val="auto"/>
        </w:rPr>
      </w:pPr>
    </w:p>
    <w:p>
      <w:pPr>
        <w:ind w:right="80" w:firstLine="668"/>
        <w:spacing w:after="0" w:line="273" w:lineRule="auto"/>
        <w:tabs>
          <w:tab w:leader="none" w:pos="1216"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Effective Date of Agreement</w:t>
      </w:r>
      <w:r>
        <w:rPr>
          <w:rFonts w:ascii="Arial" w:cs="Arial" w:eastAsia="Arial" w:hAnsi="Arial"/>
          <w:sz w:val="17"/>
          <w:szCs w:val="17"/>
          <w:color w:val="auto"/>
        </w:rPr>
        <w:t>. This Agreement shall become effective upon the later of (a) the execution and delivery hereof by the parties hereto and (b) release of notification of the effectiveness of the Registration Statement by the Commission; provided, however, that the provisions of Sections 7 and 8 shall at all times be effective.</w:t>
      </w:r>
    </w:p>
    <w:p>
      <w:pPr>
        <w:spacing w:after="0" w:line="171" w:lineRule="exact"/>
        <w:rPr>
          <w:rFonts w:ascii="Arial" w:cs="Arial" w:eastAsia="Arial" w:hAnsi="Arial"/>
          <w:sz w:val="17"/>
          <w:szCs w:val="17"/>
          <w:color w:val="auto"/>
        </w:rPr>
      </w:pPr>
    </w:p>
    <w:p>
      <w:pPr>
        <w:ind w:right="360" w:firstLine="668"/>
        <w:spacing w:after="0" w:line="290" w:lineRule="auto"/>
        <w:tabs>
          <w:tab w:leader="none" w:pos="1209"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Defaulting Underwriters</w:t>
      </w:r>
      <w:r>
        <w:rPr>
          <w:rFonts w:ascii="Arial" w:cs="Arial" w:eastAsia="Arial" w:hAnsi="Arial"/>
          <w:sz w:val="16"/>
          <w:szCs w:val="16"/>
          <w:color w:val="auto"/>
        </w:rPr>
        <w:t>. If any one or more of the Underwriters shall fail or refuse to purchase Firm Shares that it or they have agreed to purchase hereunder, and the aggregate number of Firm Shares that such defaulting Underwriter or Underwriters agreed but failed or refused to purchase is not more than one-tenth of the aggregate number of the Firm Shares, each non-defaulting Underwriter shall be obligated, severally, in the proportion in which the number of Firm Shares set forth opposite its name in Schedule I hereto bears to the aggregate number of Firm Shares set forth</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opposite the names of all non-defaulting Underwriters or in such other proportion as you may specify in the Agreement Among Underwriters, to purchase the Firm Shares that such defaulting Underwriter or Underwriters agreed, but failed or refused to purchase. If any Underwriter or Underwriters shall fail or refuse to purchase Firm Shares and the aggregate number of Firm Shares with respect to which such default occurs is more than one-tenth of the aggregate number of Firm Shares and arrangements satisfactory to you and the Company for the purchase of such Firm Shares are not made within 48 hours after such default, this Agreement will terminate without liability on the part of any non-defaulting Underwriter or the Company. In any such case that does not result in termination of this Agreement, either you or the Company shall have the right to postpone the Closing Date, but in no event for longer than seven (7)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w:t>
      </w:r>
    </w:p>
    <w:p>
      <w:pPr>
        <w:spacing w:after="0" w:line="171" w:lineRule="exact"/>
        <w:rPr>
          <w:sz w:val="20"/>
          <w:szCs w:val="20"/>
          <w:color w:val="auto"/>
        </w:rPr>
      </w:pPr>
    </w:p>
    <w:p>
      <w:pPr>
        <w:ind w:firstLine="668"/>
        <w:spacing w:after="0" w:line="278" w:lineRule="auto"/>
        <w:tabs>
          <w:tab w:leader="none" w:pos="1216"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shall be subject to termination in the absolute discretion of the Representatives, without liability on the part of any Underwriter to the Company by notice to the Company, if prior to the Closing Date or the Additional Closing Date (if different from the Closing Date and then only as to the Additional Shares), as the case may be, in your sole judgment, (i) trading in the Company’s Common Stock shall have been suspended by the Commission or the NASDAQ, (ii) trading in securities generally on the NYSE or NASDAQ shall have been suspended or materially limited, or minimum or maximum prices shall have been generally established on such exchange, or additional material governmental restrictions, not in force on the date of this Agreement, shall have been imposed upon trading in securities generally by any such exchange or by order of the Commission or any court or other governmental authority, (iii) a general moratorium on commercial banking activities shall have been declared by either federal or New York State authorities, or (iv) there shall have occurred any outbreak or escalation of hostilities or other international or domestic calamity, crisis or change in political, financial or economic conditions or other material event the effect of which on the financial markets of the United States is such as to make it, in your judgment, impracticable or inadvisable to market the Shares or to enforce contracts for the sale of the Shares. Notice of such cancellation shall be promptly given to the Company and its counsel by telegraph, telecopy or telephone and shall be subsequently confirmed by letter.</w:t>
      </w:r>
    </w:p>
    <w:p>
      <w:pPr>
        <w:spacing w:after="0" w:line="172" w:lineRule="exact"/>
        <w:rPr>
          <w:rFonts w:ascii="Arial" w:cs="Arial" w:eastAsia="Arial" w:hAnsi="Arial"/>
          <w:sz w:val="16"/>
          <w:szCs w:val="16"/>
          <w:color w:val="auto"/>
        </w:rPr>
      </w:pPr>
    </w:p>
    <w:p>
      <w:pPr>
        <w:ind w:right="20" w:firstLine="634"/>
        <w:spacing w:after="0" w:line="301" w:lineRule="auto"/>
        <w:tabs>
          <w:tab w:leader="none" w:pos="1219"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Failure of One or More of the Selling Stockholders to Sell and Deliver the Shares</w:t>
      </w:r>
      <w:r>
        <w:rPr>
          <w:rFonts w:ascii="Arial" w:cs="Arial" w:eastAsia="Arial" w:hAnsi="Arial"/>
          <w:sz w:val="15"/>
          <w:szCs w:val="15"/>
          <w:color w:val="auto"/>
        </w:rPr>
        <w:t>. If one or more of the Selling Stockholders shall fail to sell and deliver to the Underwriters the Shares to be sold and delivered by such Selling Stockholders at the Closing Date pursuant to this Agreement, then the Underwriters may at their option, by written notice from the Representatives to the Company and the Selling Stockholders, either (i) terminate this Agreement without any liability on the part of any Underwriter or, except as provided in Sections 7 and 8 hereof, the Company or the Selling Stockholders or (ii) purchase the Shares that the Company and other Selling Stockholders have agreed to sell and deliver in accordance with the terms hereof. If one or more of the Selling Stockholders shall fail to sell and deliver to the Underwriters the Shares to be sold and delivered by such Selling Stockholders pursuant to this Agreement at the Additional Closing Date, then the Underwriters shall have the right, by written notice from the Representatives to the Company and the Selling Stockholders, to postpone the Additional Closing Date, but in no event for longer than seven days in order that the required changes, if any, to the Registration Statement and the Prospectus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any other documents or arrangements may be effected.</w:t>
      </w:r>
    </w:p>
    <w:p>
      <w:pPr>
        <w:spacing w:after="0" w:line="224" w:lineRule="exact"/>
        <w:rPr>
          <w:sz w:val="20"/>
          <w:szCs w:val="20"/>
          <w:color w:val="auto"/>
        </w:rPr>
      </w:pPr>
    </w:p>
    <w:p>
      <w:pPr>
        <w:ind w:right="100" w:firstLine="634"/>
        <w:spacing w:after="0" w:line="281" w:lineRule="auto"/>
        <w:tabs>
          <w:tab w:leader="none" w:pos="1219"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Underwriters</w:t>
      </w:r>
      <w:r>
        <w:rPr>
          <w:rFonts w:ascii="Arial" w:cs="Arial" w:eastAsia="Arial" w:hAnsi="Arial"/>
          <w:sz w:val="16"/>
          <w:szCs w:val="16"/>
          <w:color w:val="auto"/>
        </w:rPr>
        <w:t>. The Company acknowledges that (i) the list of Underwriters and their respective participation in the sale of Shares, (ii) the fourth paragraph, (iii) each paragraph under the sub-caption “Stabilization,” (iv) the paragraph under the sub-caption “Relationships,” and</w:t>
      </w:r>
    </w:p>
    <w:p>
      <w:pPr>
        <w:jc w:val="both"/>
        <w:ind w:right="500" w:firstLine="5"/>
        <w:spacing w:after="0" w:line="266" w:lineRule="auto"/>
        <w:tabs>
          <w:tab w:leader="none" w:pos="24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first paragraph under the sub-caption “Electronic Prospectus,” each under the caption “Underwriting” in the most recent Preliminary Prospectus and Prospectus, constitute the only information furnished by or on behalf of the Underwriters through you or on your behalf as such information is referred to in Sections 6.1(c), 6.1(d), 6.1(e), 6.1(f) and 8 hereof.</w:t>
      </w:r>
    </w:p>
    <w:p>
      <w:pPr>
        <w:spacing w:after="0" w:line="177" w:lineRule="exact"/>
        <w:rPr>
          <w:rFonts w:ascii="Arial" w:cs="Arial" w:eastAsia="Arial" w:hAnsi="Arial"/>
          <w:sz w:val="17"/>
          <w:szCs w:val="17"/>
          <w:color w:val="auto"/>
        </w:rPr>
      </w:pPr>
    </w:p>
    <w:p>
      <w:pPr>
        <w:ind w:right="80" w:firstLine="672"/>
        <w:spacing w:after="0" w:line="289" w:lineRule="auto"/>
        <w:tabs>
          <w:tab w:leader="none" w:pos="1256" w:val="left"/>
        </w:tabs>
        <w:numPr>
          <w:ilvl w:val="2"/>
          <w:numId w:val="18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Except as otherwise provided in Sections 5 and 12 hereof, notice given pursuant to any of the provisions of this Agreement shall be in writing and shall be delivered</w:t>
      </w:r>
    </w:p>
    <w:p>
      <w:pPr>
        <w:spacing w:after="0" w:line="158" w:lineRule="exact"/>
        <w:rPr>
          <w:sz w:val="20"/>
          <w:szCs w:val="20"/>
          <w:color w:val="auto"/>
        </w:rPr>
      </w:pPr>
    </w:p>
    <w:p>
      <w:pPr>
        <w:ind w:left="1880" w:hanging="582"/>
        <w:spacing w:after="0"/>
        <w:tabs>
          <w:tab w:leader="none" w:pos="18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to the Company:</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Applied Optoelectronics, Inc.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Sugar Land, Texas 77478</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with a copy to (which shall not constitute notice):</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DLA Piper LLP (US)</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1000 Louisiana Street</w:t>
      </w:r>
    </w:p>
    <w:p>
      <w:pPr>
        <w:sectPr>
          <w:pgSz w:w="11900" w:h="16838" w:orient="portrait"/>
          <w:cols w:equalWidth="0" w:num="1">
            <w:col w:w="11420"/>
          </w:cols>
          <w:pgMar w:left="240" w:top="337" w:right="239" w:bottom="0" w:gutter="0" w:footer="0" w:header="0"/>
        </w:sectPr>
      </w:pPr>
    </w:p>
    <w:bookmarkStart w:id="221" w:name="page222"/>
    <w:bookmarkEnd w:id="221"/>
    <w:p>
      <w:pPr>
        <w:ind w:left="1900"/>
        <w:spacing w:after="0"/>
        <w:rPr>
          <w:sz w:val="20"/>
          <w:szCs w:val="20"/>
          <w:color w:val="auto"/>
        </w:rPr>
      </w:pPr>
      <w:r>
        <w:rPr>
          <w:rFonts w:ascii="Arial" w:cs="Arial" w:eastAsia="Arial" w:hAnsi="Arial"/>
          <w:sz w:val="17"/>
          <w:szCs w:val="17"/>
          <w:color w:val="auto"/>
        </w:rPr>
        <w:t>Suite 2800</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Houston, Texas 77002</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Attention: Frank Wu</w:t>
      </w:r>
    </w:p>
    <w:p>
      <w:pPr>
        <w:spacing w:after="0" w:line="212" w:lineRule="exact"/>
        <w:rPr>
          <w:sz w:val="20"/>
          <w:szCs w:val="20"/>
          <w:color w:val="auto"/>
        </w:rPr>
      </w:pPr>
    </w:p>
    <w:p>
      <w:pPr>
        <w:ind w:left="1880" w:hanging="582"/>
        <w:spacing w:after="0"/>
        <w:tabs>
          <w:tab w:leader="none" w:pos="18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to the Underwriters:</w:t>
      </w:r>
    </w:p>
    <w:p>
      <w:pPr>
        <w:spacing w:after="0" w:line="224"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Raymond James &amp; Associates, Inc.</w:t>
      </w:r>
    </w:p>
    <w:p>
      <w:pPr>
        <w:spacing w:after="0" w:line="26"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880 Carillon Parkway</w:t>
      </w:r>
    </w:p>
    <w:p>
      <w:pPr>
        <w:spacing w:after="0" w:line="14" w:lineRule="exact"/>
        <w:rPr>
          <w:rFonts w:ascii="Arial" w:cs="Arial" w:eastAsia="Arial" w:hAnsi="Arial"/>
          <w:sz w:val="17"/>
          <w:szCs w:val="17"/>
          <w:color w:val="auto"/>
        </w:rPr>
      </w:pPr>
    </w:p>
    <w:p>
      <w:pPr>
        <w:ind w:left="1900" w:right="7440"/>
        <w:spacing w:after="0" w:line="343" w:lineRule="auto"/>
        <w:rPr>
          <w:rFonts w:ascii="Arial" w:cs="Arial" w:eastAsia="Arial" w:hAnsi="Arial"/>
          <w:sz w:val="17"/>
          <w:szCs w:val="17"/>
          <w:color w:val="auto"/>
        </w:rPr>
      </w:pPr>
      <w:r>
        <w:rPr>
          <w:rFonts w:ascii="Arial" w:cs="Arial" w:eastAsia="Arial" w:hAnsi="Arial"/>
          <w:sz w:val="15"/>
          <w:szCs w:val="15"/>
          <w:color w:val="auto"/>
        </w:rPr>
        <w:t>St. Petersburg, Florida 33716 Attention: Bob Flanagan</w:t>
      </w:r>
    </w:p>
    <w:p>
      <w:pPr>
        <w:spacing w:after="0" w:line="124"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Piper Jaffray &amp; Co.</w:t>
      </w:r>
    </w:p>
    <w:p>
      <w:pPr>
        <w:spacing w:after="0" w:line="26" w:lineRule="exact"/>
        <w:rPr>
          <w:rFonts w:ascii="Arial" w:cs="Arial" w:eastAsia="Arial" w:hAnsi="Arial"/>
          <w:sz w:val="17"/>
          <w:szCs w:val="17"/>
          <w:color w:val="auto"/>
        </w:rPr>
      </w:pPr>
    </w:p>
    <w:p>
      <w:pPr>
        <w:ind w:left="1900" w:right="7140"/>
        <w:spacing w:after="0" w:line="266" w:lineRule="auto"/>
        <w:rPr>
          <w:rFonts w:ascii="Arial" w:cs="Arial" w:eastAsia="Arial" w:hAnsi="Arial"/>
          <w:sz w:val="17"/>
          <w:szCs w:val="17"/>
          <w:color w:val="auto"/>
        </w:rPr>
      </w:pPr>
      <w:r>
        <w:rPr>
          <w:rFonts w:ascii="Arial" w:cs="Arial" w:eastAsia="Arial" w:hAnsi="Arial"/>
          <w:sz w:val="17"/>
          <w:szCs w:val="17"/>
          <w:color w:val="auto"/>
        </w:rPr>
        <w:t>8000 Nicollet Mall Minneapolis, Minnesota 55402 Attention: Equity Capital Markets</w:t>
      </w:r>
    </w:p>
    <w:p>
      <w:pPr>
        <w:spacing w:after="0" w:line="177"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Piper Jaffray &amp; Co.</w:t>
      </w:r>
    </w:p>
    <w:p>
      <w:pPr>
        <w:spacing w:after="0" w:line="26" w:lineRule="exact"/>
        <w:rPr>
          <w:rFonts w:ascii="Arial" w:cs="Arial" w:eastAsia="Arial" w:hAnsi="Arial"/>
          <w:sz w:val="17"/>
          <w:szCs w:val="17"/>
          <w:color w:val="auto"/>
        </w:rPr>
      </w:pPr>
    </w:p>
    <w:p>
      <w:pPr>
        <w:ind w:left="1900" w:right="6740"/>
        <w:spacing w:after="0" w:line="266" w:lineRule="auto"/>
        <w:rPr>
          <w:rFonts w:ascii="Arial" w:cs="Arial" w:eastAsia="Arial" w:hAnsi="Arial"/>
          <w:sz w:val="17"/>
          <w:szCs w:val="17"/>
          <w:color w:val="auto"/>
        </w:rPr>
      </w:pPr>
      <w:r>
        <w:rPr>
          <w:rFonts w:ascii="Arial" w:cs="Arial" w:eastAsia="Arial" w:hAnsi="Arial"/>
          <w:sz w:val="17"/>
          <w:szCs w:val="17"/>
          <w:color w:val="auto"/>
        </w:rPr>
        <w:t>8000 Nicollet Mall Minneapolis, Minnesota 55402 Attention: General Counsel Department</w:t>
      </w:r>
    </w:p>
    <w:p>
      <w:pPr>
        <w:spacing w:after="0" w:line="177"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with a copy to (which shall not constitute notice):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Wilson Sonsini Goodrich &amp; Rosati, Professional Corporation</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900 South Capital of Texas Highway</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Las Cimas IV, Fifth Floor</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Austin, Texas 78746</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Attention: J. Robert Suffoletta</w:t>
      </w:r>
    </w:p>
    <w:p>
      <w:pPr>
        <w:spacing w:after="0" w:line="212" w:lineRule="exact"/>
        <w:rPr>
          <w:sz w:val="20"/>
          <w:szCs w:val="20"/>
          <w:color w:val="auto"/>
        </w:rPr>
      </w:pPr>
    </w:p>
    <w:p>
      <w:pPr>
        <w:ind w:right="500" w:firstLine="663"/>
        <w:spacing w:after="0" w:line="289" w:lineRule="auto"/>
        <w:rPr>
          <w:sz w:val="20"/>
          <w:szCs w:val="20"/>
          <w:color w:val="auto"/>
        </w:rPr>
      </w:pPr>
      <w:r>
        <w:rPr>
          <w:rFonts w:ascii="Arial" w:cs="Arial" w:eastAsia="Arial" w:hAnsi="Arial"/>
          <w:sz w:val="17"/>
          <w:szCs w:val="17"/>
          <w:color w:val="auto"/>
        </w:rPr>
        <w:t>This Agreement has been and is made solely for the benefit of the several Underwriters, the Company and its directors and officers and the Selling Stockholders.</w:t>
      </w:r>
    </w:p>
    <w:p>
      <w:pPr>
        <w:spacing w:after="0" w:line="158" w:lineRule="exact"/>
        <w:rPr>
          <w:sz w:val="20"/>
          <w:szCs w:val="20"/>
          <w:color w:val="auto"/>
        </w:rPr>
      </w:pPr>
    </w:p>
    <w:p>
      <w:pPr>
        <w:ind w:right="80" w:firstLine="668"/>
        <w:spacing w:after="0" w:line="265" w:lineRule="auto"/>
        <w:tabs>
          <w:tab w:leader="none" w:pos="1253"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Applicable Law; Counterparts</w:t>
      </w:r>
      <w:r>
        <w:rPr>
          <w:rFonts w:ascii="Arial" w:cs="Arial" w:eastAsia="Arial" w:hAnsi="Arial"/>
          <w:sz w:val="17"/>
          <w:szCs w:val="17"/>
          <w:color w:val="auto"/>
        </w:rPr>
        <w:t>. This Agreement shall be governed by and construed in accordance with the laws of the State of New York without reference to choice of law principles thereunder. This Agreement may be signed in various counterparts, which together shall constitute one and the same instrument. This Agreement shall be effective when, but only when, at least one counterpart hereof shall have been executed on behalf of each party hereto. The Company, the Selling Stockholders and the Underwriters each hereby irrevocably waive any right they may have to a trial by jury in respect to any claim based upon or arising out of this Agreement or the transactions contemplated hereby.</w:t>
      </w:r>
    </w:p>
    <w:p>
      <w:pPr>
        <w:spacing w:after="0" w:line="179" w:lineRule="exact"/>
        <w:rPr>
          <w:rFonts w:ascii="Arial" w:cs="Arial" w:eastAsia="Arial" w:hAnsi="Arial"/>
          <w:sz w:val="17"/>
          <w:szCs w:val="17"/>
          <w:color w:val="auto"/>
        </w:rPr>
      </w:pPr>
    </w:p>
    <w:p>
      <w:pPr>
        <w:ind w:right="140" w:firstLine="634"/>
        <w:spacing w:after="0" w:line="261" w:lineRule="auto"/>
        <w:tabs>
          <w:tab w:leader="none" w:pos="1219"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Choice of Forum; Authorized Agent</w:t>
      </w:r>
      <w:r>
        <w:rPr>
          <w:rFonts w:ascii="Arial" w:cs="Arial" w:eastAsia="Arial" w:hAnsi="Arial"/>
          <w:sz w:val="17"/>
          <w:szCs w:val="17"/>
          <w:color w:val="auto"/>
        </w:rPr>
        <w:t>. The Company and each Selling Stockholder agrees that it, he or she will bring any suit, action, claim or proceeding arising out of or relating in any way to this Agreement, the Power of Attorney, the Custody Agreement, the Prospectus, the Registration Statement and/or the Offering exclusively in a state or federal court located in the Borough of Manhattan in the State of New York. The Company and each Selling Stockholder agrees to submit to and not challenge the personal jurisdiction of such court and irrevocably waives, to the fullest extent permitted by law, any objection which it, he or she may now or hereafter have to the laying of venue of any such suit, action, claim or proceeding brought in such a court, including but not limited to any argument that any such suit, action, claim or proceeding brought in such a court has been brought in an inconvenient forum. To the extent that the Selling Stockholder has or hereafter may acquire any immunity (on the grounds of sovereignty or otherwise) from the jurisdiction of any court or from any legal process with respect to itself or its property, the Selling Stockholder irrevocably waives, to the fullest extent permitted by law, such immunity in respect of any such suit, action, claim or proceeding.</w:t>
      </w:r>
    </w:p>
    <w:p>
      <w:pPr>
        <w:spacing w:after="0" w:line="184" w:lineRule="exact"/>
        <w:rPr>
          <w:sz w:val="20"/>
          <w:szCs w:val="20"/>
          <w:color w:val="auto"/>
        </w:rPr>
      </w:pPr>
    </w:p>
    <w:p>
      <w:pPr>
        <w:ind w:right="20" w:firstLine="629"/>
        <w:spacing w:after="0" w:line="303" w:lineRule="auto"/>
        <w:rPr>
          <w:sz w:val="20"/>
          <w:szCs w:val="20"/>
          <w:color w:val="auto"/>
        </w:rPr>
      </w:pPr>
      <w:r>
        <w:rPr>
          <w:rFonts w:ascii="Arial" w:cs="Arial" w:eastAsia="Arial" w:hAnsi="Arial"/>
          <w:sz w:val="15"/>
          <w:szCs w:val="15"/>
          <w:color w:val="auto"/>
        </w:rPr>
        <w:t>Each Selling Stockholder hereby irrevocably appoints Applied Optoelectronics, Inc., with offices at 13115 Jess Pirtle Blvd., Sugarland, Texas 77478 (the “</w:t>
      </w:r>
      <w:r>
        <w:rPr>
          <w:rFonts w:ascii="Arial" w:cs="Arial" w:eastAsia="Arial" w:hAnsi="Arial"/>
          <w:sz w:val="15"/>
          <w:szCs w:val="15"/>
          <w:b w:val="1"/>
          <w:bCs w:val="1"/>
          <w:i w:val="1"/>
          <w:iCs w:val="1"/>
          <w:color w:val="auto"/>
        </w:rPr>
        <w:t>Authorized Agent</w:t>
      </w:r>
      <w:r>
        <w:rPr>
          <w:rFonts w:ascii="Arial" w:cs="Arial" w:eastAsia="Arial" w:hAnsi="Arial"/>
          <w:sz w:val="15"/>
          <w:szCs w:val="15"/>
          <w:color w:val="auto"/>
        </w:rPr>
        <w:t>”), as its agent for service of process in connection with any suit, action, claim or proceeding described in the preceding paragraph and agrees that service of process may be made upon such Selling Stockholder by overnight mail to the office of such agent. Each Selling Stockholder waives, to the fullest extent permitted by law, any other requirements of or objections to personal jurisdiction or service of process with respect thereto. The Company agrees to serve as the Authorized Agent and act as each Selling Stockholder’s agent for service of process, and each Selling Stockholder agrees to take any and all action, including the filing of any and all documents and instruments, that may be necessary to continue such appointment in full force and effect. Each Selling Stockholder agrees that service of process upon its Authorized Agent shall be deemed, in every respect, effective service of process upon such Selling Stockholder.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9"/>
        <w:spacing w:after="0" w:line="297" w:lineRule="auto"/>
        <w:tabs>
          <w:tab w:leader="none" w:pos="1234"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No Fiduciary Duty</w:t>
      </w:r>
      <w:r>
        <w:rPr>
          <w:rFonts w:ascii="Arial" w:cs="Arial" w:eastAsia="Arial" w:hAnsi="Arial"/>
          <w:sz w:val="15"/>
          <w:szCs w:val="15"/>
          <w:color w:val="auto"/>
        </w:rPr>
        <w:t>. Notwithstanding any pre-existing relationship, advisory or otherwise, between the parties or any oral representations or assurances previously or subsequently made by any of the Underwriters, the Company acknowledges and agrees that (i) nothing herein shall create a fiduciary or agency relationship between the Company, on the one hand, and the Underwriters, on the other hand; (ii) the Underwriters have been retained solely to act as underwriters and are not acting as advisors, experts or otherwise, to either the Company in connection with this offering, the sale of the Shares or any other services the Underwriters may be deemed to be providing hereunder, including, without limitation, with respect to the public offering price of the Shares; (iii) the relationship between the Company, on the one hand, and the Underwriters, on the other hand, is entirely and solely commercial, and the price of the Shares was established by the Company and the Underwriters based on discussions and arms’ length negotiations and the Company understands and accepts the terms, risks and conditions of the transactions contemplated by this Agreement; (iv) any duties and obligations that the Underwriters may have to the Company shall be limited to those duties and obligations specifically stated herein; and (v) notwithstanding anything in this Agreement to the contrary, the Company acknowledges that the Underwriters may have financial interests in the success of the Offering that are not limited to the difference between the price to the public and the purchase price paid to the Company for the shares and such interests may differ from the interests of the Company, and the Underwriters have no obligation to disclose, or account to the Company for any benefit they may derive from such additional financial interests. The Company hereby waives and releases, to the fullest extent permitted by the applicable law, any claims it may have against the Underwriters with respect to any breach or alleged breach of fiduciary duty and agrees that the</w:t>
      </w:r>
    </w:p>
    <w:p>
      <w:pPr>
        <w:sectPr>
          <w:pgSz w:w="11900" w:h="16838" w:orient="portrait"/>
          <w:cols w:equalWidth="0" w:num="1">
            <w:col w:w="11420"/>
          </w:cols>
          <w:pgMar w:left="240" w:top="127" w:right="239" w:bottom="0" w:gutter="0" w:footer="0" w:header="0"/>
        </w:sectPr>
      </w:pPr>
    </w:p>
    <w:bookmarkStart w:id="222" w:name="page223"/>
    <w:bookmarkEnd w:id="222"/>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Underwriters shall have no liability (whether direct or indirect) to the Company in respect of such a fiduciary duty claim or to any person asserting a fiduciary duty claim on behalf of or in right of the Company or any of its shareholders, managers, employees or creditors.</w:t>
      </w:r>
    </w:p>
    <w:p>
      <w:pPr>
        <w:spacing w:after="0" w:line="158" w:lineRule="exact"/>
        <w:rPr>
          <w:sz w:val="20"/>
          <w:szCs w:val="20"/>
          <w:color w:val="auto"/>
        </w:rPr>
      </w:pPr>
    </w:p>
    <w:p>
      <w:pPr>
        <w:ind w:right="40" w:firstLine="649"/>
        <w:spacing w:after="0" w:line="300" w:lineRule="auto"/>
        <w:tabs>
          <w:tab w:leader="none" w:pos="1234" w:val="left"/>
        </w:tabs>
        <w:numPr>
          <w:ilvl w:val="1"/>
          <w:numId w:val="194"/>
        </w:numPr>
        <w:rPr>
          <w:rFonts w:ascii="Arial" w:cs="Arial" w:eastAsia="Arial" w:hAnsi="Arial"/>
          <w:sz w:val="15"/>
          <w:szCs w:val="15"/>
          <w:color w:val="auto"/>
        </w:rPr>
      </w:pPr>
      <w:r>
        <w:rPr>
          <w:rFonts w:ascii="Arial" w:cs="Arial" w:eastAsia="Arial" w:hAnsi="Arial"/>
          <w:sz w:val="15"/>
          <w:szCs w:val="15"/>
          <w:u w:val="single" w:color="auto"/>
          <w:color w:val="auto"/>
        </w:rPr>
        <w:t>Research Analyst Independence</w:t>
      </w:r>
      <w:r>
        <w:rPr>
          <w:rFonts w:ascii="Arial" w:cs="Arial" w:eastAsia="Arial" w:hAnsi="Arial"/>
          <w:sz w:val="15"/>
          <w:szCs w:val="15"/>
          <w:color w:val="auto"/>
        </w:rPr>
        <w:t>. The Company and Selling Shareholders acknowledge that (a) the Underwriters’ research analysts and research departments are required to be independent from their respective investment banking divisions and are subject to certain regulations and internal policies and</w:t>
      </w:r>
    </w:p>
    <w:p>
      <w:pPr>
        <w:ind w:right="160" w:firstLine="5"/>
        <w:spacing w:after="0" w:line="278" w:lineRule="auto"/>
        <w:tabs>
          <w:tab w:leader="none" w:pos="2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Underwriters’ research analysts may hold views and make statements or investment recommendations and/or publish research reports with respect to the Company, the value of the Common Stock and/or the offering that differ from the views of their respective investment banking divisions. The Company and Selling Shareholders hereby waives and releases, to the fullest extent permitted by law, any claims that it may have against the Underwriters with respect to any conflict of interest that may arise from the fact that the views expressed by the Underwriters’ independent research analysts and research departments may be different from or inconsistent with the views or advice communicated to the Company and/or Selling Shareholders by any Underwriter’s investment banking division. The Company and Selling Shareholders each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are the subject of the transactions contemplated by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 Signature page(s) follow.</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Please confirm that the foregoing correctly sets forth the agreement among the Company, the Selling Stockholders and the several Underwriters.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Applied Optoelectronics,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Thompson Lin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Selling Stockholders Named in Schedule II Hereto, Acting Severally</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9525</wp:posOffset>
            </wp:positionV>
            <wp:extent cx="31464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46425" cy="825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-123190</wp:posOffset>
            </wp:positionV>
            <wp:extent cx="31464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7"/>
          <w:szCs w:val="17"/>
          <w:color w:val="auto"/>
        </w:rPr>
        <w:t>Attorney-in-Fact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CONFIRMED as of the date first above mentioned, on behalf of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and the other several Underwriters named in Schedule I</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hereto.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RAYMOND JAMES &amp; ASSOCIATES,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17145</wp:posOffset>
            </wp:positionV>
            <wp:extent cx="29133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Authorized Representative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17145</wp:posOffset>
            </wp:positionV>
            <wp:extent cx="29133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Authorized Representative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8420" w:type="dxa"/>
            <w:vAlign w:val="bottom"/>
          </w:tcPr>
          <w:p>
            <w:pPr>
              <w:jc w:val="center"/>
              <w:ind w:right="2061"/>
              <w:spacing w:after="0"/>
              <w:rPr>
                <w:sz w:val="20"/>
                <w:szCs w:val="20"/>
                <w:color w:val="auto"/>
              </w:rPr>
            </w:pPr>
            <w:r>
              <w:rPr>
                <w:rFonts w:ascii="Arial" w:cs="Arial" w:eastAsia="Arial" w:hAnsi="Arial"/>
                <w:sz w:val="17"/>
                <w:szCs w:val="17"/>
                <w:b w:val="1"/>
                <w:bCs w:val="1"/>
                <w:color w:val="auto"/>
              </w:rPr>
              <w:t>SCHEDULE I</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8420" w:type="dxa"/>
            <w:vAlign w:val="bottom"/>
          </w:tcPr>
          <w:p>
            <w:pPr>
              <w:jc w:val="center"/>
              <w:ind w:right="2061"/>
              <w:spacing w:after="0"/>
              <w:rPr>
                <w:sz w:val="20"/>
                <w:szCs w:val="20"/>
                <w:color w:val="auto"/>
              </w:rPr>
            </w:pPr>
            <w:r>
              <w:rPr>
                <w:rFonts w:ascii="Arial" w:cs="Arial" w:eastAsia="Arial" w:hAnsi="Arial"/>
                <w:sz w:val="17"/>
                <w:szCs w:val="17"/>
                <w:color w:val="auto"/>
                <w:w w:val="94"/>
              </w:rPr>
              <w:t>Schedule of Underwriters</w:t>
            </w:r>
          </w:p>
        </w:tc>
        <w:tc>
          <w:tcPr>
            <w:tcW w:w="0" w:type="dxa"/>
            <w:vAlign w:val="bottom"/>
          </w:tcPr>
          <w:p>
            <w:pPr>
              <w:spacing w:after="0"/>
              <w:rPr>
                <w:sz w:val="1"/>
                <w:szCs w:val="1"/>
                <w:color w:val="auto"/>
              </w:rPr>
            </w:pPr>
          </w:p>
        </w:tc>
      </w:tr>
      <w:tr>
        <w:trPr>
          <w:trHeight w:val="332"/>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420" w:type="dxa"/>
            <w:vAlign w:val="bottom"/>
          </w:tcPr>
          <w:p>
            <w:pPr>
              <w:jc w:val="center"/>
              <w:ind w:left="7601"/>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1"/>
        </w:trPr>
        <w:tc>
          <w:tcPr>
            <w:tcW w:w="2580" w:type="dxa"/>
            <w:vAlign w:val="bottom"/>
            <w:vMerge w:val="continue"/>
          </w:tcPr>
          <w:p>
            <w:pPr>
              <w:spacing w:after="0"/>
              <w:rPr>
                <w:sz w:val="15"/>
                <w:szCs w:val="15"/>
                <w:color w:val="auto"/>
              </w:rPr>
            </w:pPr>
          </w:p>
        </w:tc>
        <w:tc>
          <w:tcPr>
            <w:tcW w:w="8420" w:type="dxa"/>
            <w:vAlign w:val="bottom"/>
          </w:tcPr>
          <w:p>
            <w:pPr>
              <w:jc w:val="center"/>
              <w:ind w:left="7601"/>
              <w:spacing w:after="0"/>
              <w:rPr>
                <w:sz w:val="20"/>
                <w:szCs w:val="20"/>
                <w:color w:val="auto"/>
              </w:rPr>
            </w:pPr>
            <w:r>
              <w:rPr>
                <w:rFonts w:ascii="Arial" w:cs="Arial" w:eastAsia="Arial" w:hAnsi="Arial"/>
                <w:sz w:val="14"/>
                <w:szCs w:val="14"/>
                <w:b w:val="1"/>
                <w:bCs w:val="1"/>
                <w:color w:val="auto"/>
                <w:w w:val="91"/>
              </w:rPr>
              <w:t>Firm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0430" cy="1416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1416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Raymond James &amp; Associates,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133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0430" cy="133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6313170</wp:posOffset>
            </wp:positionH>
            <wp:positionV relativeFrom="paragraph">
              <wp:posOffset>12700</wp:posOffset>
            </wp:positionV>
            <wp:extent cx="8737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73760" cy="8255"/>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29210</wp:posOffset>
            </wp:positionV>
            <wp:extent cx="8737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737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234950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II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of Selling Stockholders</w:t>
      </w:r>
    </w:p>
    <w:p>
      <w:pPr>
        <w:sectPr>
          <w:pgSz w:w="11900" w:h="16843" w:orient="portrait"/>
          <w:cols w:equalWidth="0" w:num="1">
            <w:col w:w="11420"/>
          </w:cols>
          <w:pgMar w:left="240" w:top="127" w:right="239" w:bottom="0" w:gutter="0" w:footer="0" w:header="0"/>
        </w:sectPr>
      </w:pPr>
    </w:p>
    <w:bookmarkStart w:id="223" w:name="page224"/>
    <w:bookmarkEnd w:id="223"/>
    <w:tbl>
      <w:tblPr>
        <w:tblLayout w:type="fixed"/>
        <w:tblInd w:w="116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4540" w:type="dxa"/>
            <w:vAlign w:val="bottom"/>
          </w:tcPr>
          <w:p>
            <w:pPr>
              <w:jc w:val="center"/>
              <w:ind w:left="3170"/>
              <w:spacing w:after="0"/>
              <w:rPr>
                <w:sz w:val="20"/>
                <w:szCs w:val="20"/>
                <w:color w:val="auto"/>
              </w:rPr>
            </w:pPr>
            <w:r>
              <w:rPr>
                <w:rFonts w:ascii="Arial" w:cs="Arial" w:eastAsia="Arial" w:hAnsi="Arial"/>
                <w:sz w:val="14"/>
                <w:szCs w:val="14"/>
                <w:b w:val="1"/>
                <w:bCs w:val="1"/>
                <w:color w:val="auto"/>
                <w:w w:val="93"/>
              </w:rPr>
              <w:t>Maximum Number of</w:t>
            </w:r>
          </w:p>
        </w:tc>
        <w:tc>
          <w:tcPr>
            <w:tcW w:w="0" w:type="dxa"/>
            <w:vAlign w:val="bottom"/>
          </w:tcPr>
          <w:p>
            <w:pPr>
              <w:spacing w:after="0"/>
              <w:rPr>
                <w:sz w:val="1"/>
                <w:szCs w:val="1"/>
                <w:color w:val="auto"/>
              </w:rPr>
            </w:pPr>
          </w:p>
        </w:tc>
      </w:tr>
      <w:tr>
        <w:trPr>
          <w:trHeight w:val="181"/>
        </w:trPr>
        <w:tc>
          <w:tcPr>
            <w:tcW w:w="3980" w:type="dxa"/>
            <w:vAlign w:val="bottom"/>
            <w:vMerge w:val="continue"/>
          </w:tcPr>
          <w:p>
            <w:pPr>
              <w:spacing w:after="0"/>
              <w:rPr>
                <w:sz w:val="15"/>
                <w:szCs w:val="15"/>
                <w:color w:val="auto"/>
              </w:rPr>
            </w:pPr>
          </w:p>
        </w:tc>
        <w:tc>
          <w:tcPr>
            <w:tcW w:w="4540" w:type="dxa"/>
            <w:vAlign w:val="bottom"/>
          </w:tcPr>
          <w:p>
            <w:pPr>
              <w:jc w:val="center"/>
              <w:ind w:left="3190"/>
              <w:spacing w:after="0"/>
              <w:rPr>
                <w:sz w:val="20"/>
                <w:szCs w:val="20"/>
                <w:color w:val="auto"/>
              </w:rPr>
            </w:pPr>
            <w:r>
              <w:rPr>
                <w:rFonts w:ascii="Arial" w:cs="Arial" w:eastAsia="Arial" w:hAnsi="Arial"/>
                <w:sz w:val="14"/>
                <w:szCs w:val="14"/>
                <w:b w:val="1"/>
                <w:bCs w:val="1"/>
                <w:color w:val="auto"/>
                <w:w w:val="90"/>
              </w:rPr>
              <w:t>Additional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-8890</wp:posOffset>
            </wp:positionV>
            <wp:extent cx="5793740" cy="1416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93740" cy="14160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GRC II Corp.</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Grand River Capital Investment Company Limited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Global Strategic Investment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Budworth Investments Limited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Sycamore Venture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Kummell Investments Limited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AsiaStar IT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Asia Sino Far East Limited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Harbinger III Venture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NCKU Venture Capital Co., Ltd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Sky Harvest 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Suer Shieh</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Hui-Min Huang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Michael Dee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Dyna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Lite-On Inc.</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Chin Tai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Dynacom Development Co., Ltd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Chiung Fang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Yi-Chen Tu</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Great Root International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Hwa Chung Venture Capital Co., LTD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Chung-Ta Hsin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Robert Chang</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Chuan Chih 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Ko-Pin Chu</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Dawei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Daniel Chen</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Wei Yang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Chin-Hwa Chen</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Shao Jung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Chia Yuan Tu</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Ming Ching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Hsiu Man Huang</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Yen-Jen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Hao Lee</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Chien Chou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Huo Wang Lin</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Shu Chuan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Philip S. M. Leong</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Hanh-Dao Doan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Jenqrong Wen</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Loughlin Family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Yin Shou Liu</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720" w:type="dxa"/>
            <w:vAlign w:val="bottom"/>
          </w:tcPr>
          <w:p>
            <w:pPr>
              <w:ind w:left="1840"/>
              <w:spacing w:after="0"/>
              <w:rPr>
                <w:sz w:val="20"/>
                <w:szCs w:val="20"/>
                <w:color w:val="auto"/>
              </w:rPr>
            </w:pPr>
            <w:r>
              <w:rPr>
                <w:rFonts w:ascii="Arial" w:cs="Arial" w:eastAsia="Arial" w:hAnsi="Arial"/>
                <w:sz w:val="17"/>
                <w:szCs w:val="17"/>
                <w:color w:val="auto"/>
              </w:rPr>
              <w:t>II-1</w:t>
            </w:r>
          </w:p>
        </w:tc>
        <w:tc>
          <w:tcPr>
            <w:tcW w:w="0" w:type="dxa"/>
            <w:vAlign w:val="bottom"/>
          </w:tcPr>
          <w:p>
            <w:pPr>
              <w:spacing w:after="0"/>
              <w:rPr>
                <w:sz w:val="1"/>
                <w:szCs w:val="1"/>
                <w:color w:val="auto"/>
              </w:rPr>
            </w:pPr>
          </w:p>
        </w:tc>
      </w:tr>
      <w:tr>
        <w:trPr>
          <w:trHeight w:val="128"/>
        </w:trPr>
        <w:tc>
          <w:tcPr>
            <w:tcW w:w="3740" w:type="dxa"/>
            <w:vAlign w:val="bottom"/>
            <w:tcBorders>
              <w:bottom w:val="single" w:sz="8" w:color="010101"/>
            </w:tcBorders>
          </w:tcPr>
          <w:p>
            <w:pPr>
              <w:spacing w:after="0"/>
              <w:rPr>
                <w:sz w:val="11"/>
                <w:szCs w:val="11"/>
                <w:color w:val="auto"/>
              </w:rPr>
            </w:pPr>
          </w:p>
        </w:tc>
        <w:tc>
          <w:tcPr>
            <w:tcW w:w="77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69"/>
        </w:trPr>
        <w:tc>
          <w:tcPr>
            <w:tcW w:w="374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Stockholder</w:t>
            </w:r>
          </w:p>
        </w:tc>
        <w:tc>
          <w:tcPr>
            <w:tcW w:w="7720" w:type="dxa"/>
            <w:vAlign w:val="bottom"/>
          </w:tcPr>
          <w:p>
            <w:pPr>
              <w:jc w:val="center"/>
              <w:ind w:left="2784"/>
              <w:spacing w:after="0"/>
              <w:rPr>
                <w:sz w:val="20"/>
                <w:szCs w:val="20"/>
                <w:color w:val="auto"/>
              </w:rPr>
            </w:pPr>
            <w:r>
              <w:rPr>
                <w:rFonts w:ascii="Arial" w:cs="Arial" w:eastAsia="Arial" w:hAnsi="Arial"/>
                <w:sz w:val="14"/>
                <w:szCs w:val="14"/>
                <w:b w:val="1"/>
                <w:bCs w:val="1"/>
                <w:color w:val="auto"/>
                <w:w w:val="93"/>
              </w:rPr>
              <w:t>Maximum Number of</w:t>
            </w:r>
          </w:p>
        </w:tc>
        <w:tc>
          <w:tcPr>
            <w:tcW w:w="0" w:type="dxa"/>
            <w:vAlign w:val="bottom"/>
          </w:tcPr>
          <w:p>
            <w:pPr>
              <w:spacing w:after="0"/>
              <w:rPr>
                <w:sz w:val="1"/>
                <w:szCs w:val="1"/>
                <w:color w:val="auto"/>
              </w:rPr>
            </w:pPr>
          </w:p>
        </w:tc>
      </w:tr>
      <w:tr>
        <w:trPr>
          <w:trHeight w:val="181"/>
        </w:trPr>
        <w:tc>
          <w:tcPr>
            <w:tcW w:w="3740" w:type="dxa"/>
            <w:vAlign w:val="bottom"/>
            <w:vMerge w:val="continue"/>
          </w:tcPr>
          <w:p>
            <w:pPr>
              <w:spacing w:after="0"/>
              <w:rPr>
                <w:sz w:val="15"/>
                <w:szCs w:val="15"/>
                <w:color w:val="auto"/>
              </w:rPr>
            </w:pPr>
          </w:p>
        </w:tc>
        <w:tc>
          <w:tcPr>
            <w:tcW w:w="7720" w:type="dxa"/>
            <w:vAlign w:val="bottom"/>
          </w:tcPr>
          <w:p>
            <w:pPr>
              <w:jc w:val="center"/>
              <w:ind w:left="2804"/>
              <w:spacing w:after="0"/>
              <w:rPr>
                <w:sz w:val="20"/>
                <w:szCs w:val="20"/>
                <w:color w:val="auto"/>
              </w:rPr>
            </w:pPr>
            <w:r>
              <w:rPr>
                <w:rFonts w:ascii="Arial" w:cs="Arial" w:eastAsia="Arial" w:hAnsi="Arial"/>
                <w:sz w:val="14"/>
                <w:szCs w:val="14"/>
                <w:b w:val="1"/>
                <w:bCs w:val="1"/>
                <w:color w:val="auto"/>
                <w:w w:val="90"/>
              </w:rPr>
              <w:t>Additional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-568325</wp:posOffset>
            </wp:positionV>
            <wp:extent cx="12700"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-568325</wp:posOffset>
            </wp:positionV>
            <wp:extent cx="12700"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-8890</wp:posOffset>
            </wp:positionV>
            <wp:extent cx="5793740" cy="1416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93740" cy="14160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Ching Hui Yang</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Yu Ching Liu</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Ta-Lin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-123190</wp:posOffset>
            </wp:positionV>
            <wp:extent cx="5793740" cy="133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u w:val="single" w:color="auto"/>
          <w:color w:val="auto"/>
        </w:rPr>
        <w:t>Annex 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Free Writing Prospectus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 anticipated.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Pricing Information Provided Orally by Underwriters</w:t>
      </w:r>
    </w:p>
    <w:p>
      <w:pPr>
        <w:spacing w:after="0" w:line="23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To be provided at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u w:val="single" w:color="auto"/>
          <w:color w:val="auto"/>
        </w:rPr>
        <w:t>Annex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Pricing Term Sheet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be provided at pricing.</w:t>
      </w:r>
    </w:p>
    <w:p>
      <w:pPr>
        <w:sectPr>
          <w:pgSz w:w="11900" w:h="16838" w:orient="portrait"/>
          <w:cols w:equalWidth="0" w:num="1">
            <w:col w:w="11460"/>
          </w:cols>
          <w:pgMar w:left="240" w:top="310" w:right="199" w:bottom="0" w:gutter="0" w:footer="0" w:header="0"/>
        </w:sectPr>
      </w:pPr>
    </w:p>
    <w:bookmarkStart w:id="224" w:name="page225"/>
    <w:bookmarkEnd w:id="224"/>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t>Annex 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Written Testing-the-Waters Communications</w:t>
      </w:r>
    </w:p>
    <w:p>
      <w:pPr>
        <w:spacing w:after="0" w:line="224"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Written communications to potential investors in reliance on Section 5(d) of the Act were provided during certain presentations made by the Company on March 4, 2013, a copy of which written communications was provided to the Commission on May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LOCK-UP AGREEMENT</w:t>
      </w:r>
    </w:p>
    <w:p>
      <w:pPr>
        <w:spacing w:after="0" w:line="230"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APPLIED OPTOELECTRONICS,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13115 Jess Pirtle Blvd.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Sugar Land, TX 77478</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RAYMOND JAMES &amp; ASSOCIATES,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PIPER JAFFRAY &amp; CO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of the Several Underwriters named in Schedule I of the Underwriting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Raymond James &amp; Associates,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880 Carillon Parkway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Petersburg, FL 33716</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 Piper Jaffray &amp; Co.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8000 Nicollet Mall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 55402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240" w:firstLine="663"/>
        <w:spacing w:after="0" w:line="308" w:lineRule="auto"/>
        <w:rPr>
          <w:sz w:val="20"/>
          <w:szCs w:val="20"/>
          <w:color w:val="auto"/>
        </w:rPr>
      </w:pPr>
      <w:r>
        <w:rPr>
          <w:rFonts w:ascii="Arial" w:cs="Arial" w:eastAsia="Arial" w:hAnsi="Arial"/>
          <w:sz w:val="15"/>
          <w:szCs w:val="15"/>
          <w:color w:val="auto"/>
        </w:rPr>
        <w:t>This letter is delivered to you pursuant to the Underwriting Agreement (the “</w:t>
      </w:r>
      <w:r>
        <w:rPr>
          <w:rFonts w:ascii="Arial" w:cs="Arial" w:eastAsia="Arial" w:hAnsi="Arial"/>
          <w:sz w:val="15"/>
          <w:szCs w:val="15"/>
          <w:b w:val="1"/>
          <w:bCs w:val="1"/>
          <w:i w:val="1"/>
          <w:iCs w:val="1"/>
          <w:color w:val="auto"/>
        </w:rPr>
        <w:t>Underwriting Agreement</w:t>
      </w:r>
      <w:r>
        <w:rPr>
          <w:rFonts w:ascii="Arial" w:cs="Arial" w:eastAsia="Arial" w:hAnsi="Arial"/>
          <w:sz w:val="15"/>
          <w:szCs w:val="15"/>
          <w:color w:val="auto"/>
        </w:rPr>
        <w:t>”) to be entered into by Applied Optoelectronics,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as issuer, and Raymond James &amp; Associates, Inc., and Piper Jaffray &amp; Co. as representatives (the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of the several underwriters named therein (the “</w:t>
      </w:r>
      <w:r>
        <w:rPr>
          <w:rFonts w:ascii="Arial" w:cs="Arial" w:eastAsia="Arial" w:hAnsi="Arial"/>
          <w:sz w:val="15"/>
          <w:szCs w:val="15"/>
          <w:b w:val="1"/>
          <w:bCs w:val="1"/>
          <w:i w:val="1"/>
          <w:iCs w:val="1"/>
          <w:color w:val="auto"/>
        </w:rPr>
        <w:t>Underwriters</w:t>
      </w:r>
      <w:r>
        <w:rPr>
          <w:rFonts w:ascii="Arial" w:cs="Arial" w:eastAsia="Arial" w:hAnsi="Arial"/>
          <w:sz w:val="15"/>
          <w:szCs w:val="15"/>
          <w:color w:val="auto"/>
        </w:rPr>
        <w:t>”). Upon the terms and subject to the conditions of the Underwriting Agreement, the Underwriters intend to effect a public offering of Common Stock of the Company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as described in and contemplated by the registration statement of the Company on Form S-1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to be filed with the Securities and Exchange Commission (the “</w:t>
      </w:r>
      <w:r>
        <w:rPr>
          <w:rFonts w:ascii="Arial" w:cs="Arial" w:eastAsia="Arial" w:hAnsi="Arial"/>
          <w:sz w:val="15"/>
          <w:szCs w:val="15"/>
          <w:b w:val="1"/>
          <w:bCs w:val="1"/>
          <w:i w:val="1"/>
          <w:iCs w:val="1"/>
          <w:color w:val="auto"/>
        </w:rPr>
        <w:t>Offering</w:t>
      </w:r>
      <w:r>
        <w:rPr>
          <w:rFonts w:ascii="Arial" w:cs="Arial" w:eastAsia="Arial" w:hAnsi="Arial"/>
          <w:sz w:val="15"/>
          <w:szCs w:val="15"/>
          <w:color w:val="auto"/>
        </w:rPr>
        <w:t>”).</w:t>
      </w:r>
    </w:p>
    <w:p>
      <w:pPr>
        <w:spacing w:after="0" w:line="152" w:lineRule="exact"/>
        <w:rPr>
          <w:sz w:val="20"/>
          <w:szCs w:val="20"/>
          <w:color w:val="auto"/>
        </w:rPr>
      </w:pPr>
    </w:p>
    <w:p>
      <w:pPr>
        <w:ind w:right="80" w:firstLine="663"/>
        <w:spacing w:after="0" w:line="289" w:lineRule="auto"/>
        <w:rPr>
          <w:sz w:val="20"/>
          <w:szCs w:val="20"/>
          <w:color w:val="auto"/>
        </w:rPr>
      </w:pPr>
      <w:r>
        <w:rPr>
          <w:rFonts w:ascii="Arial" w:cs="Arial" w:eastAsia="Arial" w:hAnsi="Arial"/>
          <w:sz w:val="17"/>
          <w:szCs w:val="17"/>
          <w:color w:val="auto"/>
        </w:rPr>
        <w:t>The undersigned recognizes that it is in the best financial interests of the undersigned, as an officer or director, or an owner of stock, options, warrants or other securities of the Company (the “</w:t>
      </w:r>
      <w:r>
        <w:rPr>
          <w:rFonts w:ascii="Arial" w:cs="Arial" w:eastAsia="Arial" w:hAnsi="Arial"/>
          <w:sz w:val="17"/>
          <w:szCs w:val="17"/>
          <w:b w:val="1"/>
          <w:bCs w:val="1"/>
          <w:i w:val="1"/>
          <w:iCs w:val="1"/>
          <w:color w:val="auto"/>
        </w:rPr>
        <w:t>Company Securities</w:t>
      </w:r>
      <w:r>
        <w:rPr>
          <w:rFonts w:ascii="Arial" w:cs="Arial" w:eastAsia="Arial" w:hAnsi="Arial"/>
          <w:sz w:val="17"/>
          <w:szCs w:val="17"/>
          <w:color w:val="auto"/>
        </w:rPr>
        <w:t>”), that the Company complete the proposed Offering.</w:t>
      </w:r>
    </w:p>
    <w:p>
      <w:pPr>
        <w:spacing w:after="0" w:line="158" w:lineRule="exact"/>
        <w:rPr>
          <w:sz w:val="20"/>
          <w:szCs w:val="20"/>
          <w:color w:val="auto"/>
        </w:rPr>
      </w:pPr>
    </w:p>
    <w:p>
      <w:pPr>
        <w:ind w:right="100" w:firstLine="663"/>
        <w:spacing w:after="0" w:line="268" w:lineRule="auto"/>
        <w:rPr>
          <w:sz w:val="20"/>
          <w:szCs w:val="20"/>
          <w:color w:val="auto"/>
        </w:rPr>
      </w:pPr>
      <w:r>
        <w:rPr>
          <w:rFonts w:ascii="Arial" w:cs="Arial" w:eastAsia="Arial" w:hAnsi="Arial"/>
          <w:sz w:val="17"/>
          <w:szCs w:val="17"/>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underwriting effort.</w:t>
      </w:r>
    </w:p>
    <w:p>
      <w:pPr>
        <w:spacing w:after="0" w:line="176" w:lineRule="exact"/>
        <w:rPr>
          <w:sz w:val="20"/>
          <w:szCs w:val="20"/>
          <w:color w:val="auto"/>
        </w:rPr>
      </w:pPr>
    </w:p>
    <w:p>
      <w:pPr>
        <w:ind w:right="480" w:firstLine="629"/>
        <w:spacing w:after="0" w:line="322" w:lineRule="auto"/>
        <w:rPr>
          <w:sz w:val="20"/>
          <w:szCs w:val="20"/>
          <w:color w:val="auto"/>
        </w:rPr>
      </w:pPr>
      <w:r>
        <w:rPr>
          <w:rFonts w:ascii="Arial" w:cs="Arial" w:eastAsia="Arial" w:hAnsi="Arial"/>
          <w:sz w:val="16"/>
          <w:szCs w:val="16"/>
          <w:color w:val="auto"/>
        </w:rPr>
        <w:t>Therefore, as an inducement to the Underwriters to execute the Underwriting Agreement, the undersigned hereby acknowledges and agrees that the undersigned will not (and will cause any spouse, domestic partner, parent, child or grandchild (each, an “</w:t>
      </w:r>
      <w:r>
        <w:rPr>
          <w:rFonts w:ascii="Arial" w:cs="Arial" w:eastAsia="Arial" w:hAnsi="Arial"/>
          <w:sz w:val="16"/>
          <w:szCs w:val="16"/>
          <w:b w:val="1"/>
          <w:bCs w:val="1"/>
          <w:i w:val="1"/>
          <w:iCs w:val="1"/>
          <w:color w:val="auto"/>
        </w:rPr>
        <w:t>immediate family member</w:t>
      </w:r>
      <w:r>
        <w:rPr>
          <w:rFonts w:ascii="Arial" w:cs="Arial" w:eastAsia="Arial" w:hAnsi="Arial"/>
          <w:sz w:val="16"/>
          <w:szCs w:val="16"/>
          <w:color w:val="auto"/>
        </w:rPr>
        <w:t>”) or immediate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family member of the spouse living in the undersigned’s household, any partnership, corporation or other entity within the undersigned’s control, and any trustee of any trust that holds Company Securities for the benefit of the undersigned or such spouse or immediate family member not to) (i) offer, sell, contract to sell, pledge, grant any option to purchase, contract to purchase or purchase any option or contract to sell, grant any option, right or warrant, lend, make any short sale or otherwise transfer or dispose of, directly or indirectly (collectively, a “</w:t>
      </w:r>
      <w:r>
        <w:rPr>
          <w:rFonts w:ascii="Arial" w:cs="Arial" w:eastAsia="Arial" w:hAnsi="Arial"/>
          <w:sz w:val="15"/>
          <w:szCs w:val="15"/>
          <w:b w:val="1"/>
          <w:bCs w:val="1"/>
          <w:i w:val="1"/>
          <w:iCs w:val="1"/>
          <w:color w:val="auto"/>
        </w:rPr>
        <w:t>Disposition</w:t>
      </w:r>
      <w:r>
        <w:rPr>
          <w:rFonts w:ascii="Arial" w:cs="Arial" w:eastAsia="Arial" w:hAnsi="Arial"/>
          <w:sz w:val="15"/>
          <w:szCs w:val="15"/>
          <w:color w:val="auto"/>
        </w:rPr>
        <w:t>”), any Company Securities, or any securities convertible into or exercisable or exchangeable for, or any rights to purchase or otherwise acquire, any Company Securities held by the undersigned or acquired by the undersigned after the date hereof, or that may be deemed to be beneficially owned by the undersigned pursuant to the Rules and Regulations promulgated under the Securities Act of 1933, as amended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and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(collectively, the “</w:t>
      </w:r>
      <w:r>
        <w:rPr>
          <w:rFonts w:ascii="Arial" w:cs="Arial" w:eastAsia="Arial" w:hAnsi="Arial"/>
          <w:sz w:val="15"/>
          <w:szCs w:val="15"/>
          <w:b w:val="1"/>
          <w:bCs w:val="1"/>
          <w:i w:val="1"/>
          <w:iCs w:val="1"/>
          <w:color w:val="auto"/>
        </w:rPr>
        <w:t>Lock-Up Shares</w:t>
      </w:r>
      <w:r>
        <w:rPr>
          <w:rFonts w:ascii="Arial" w:cs="Arial" w:eastAsia="Arial" w:hAnsi="Arial"/>
          <w:sz w:val="15"/>
          <w:szCs w:val="15"/>
          <w:color w:val="auto"/>
        </w:rPr>
        <w:t>”), for a period commencing on the date hereof and ending 180 days after the date of the Company’s prospectus first filed pursuant to Rule 424(b) under the Act, inclusive (the “</w:t>
      </w:r>
      <w:r>
        <w:rPr>
          <w:rFonts w:ascii="Arial" w:cs="Arial" w:eastAsia="Arial" w:hAnsi="Arial"/>
          <w:sz w:val="15"/>
          <w:szCs w:val="15"/>
          <w:b w:val="1"/>
          <w:bCs w:val="1"/>
          <w:i w:val="1"/>
          <w:iCs w:val="1"/>
          <w:color w:val="auto"/>
        </w:rPr>
        <w:t>Lock-Up Period</w:t>
      </w:r>
      <w:r>
        <w:rPr>
          <w:rFonts w:ascii="Arial" w:cs="Arial" w:eastAsia="Arial" w:hAnsi="Arial"/>
          <w:sz w:val="15"/>
          <w:szCs w:val="15"/>
          <w:color w:val="auto"/>
        </w:rPr>
        <w:t>”), without, in each case, the prior written consent of each of the Representatives or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excluding under the Registration Statement, during the Lock-Up Period. Notwithstanding the foregoing, if during any period that the Company is not an “emerging growth company” (as such term is defined in Section 2(a) of the Act) and (x) during the last 17 days of the Lock-Up Period, the Company issues a release concerning earnings or material news or a material event relating to the Company occurs, or (y) prior</w:t>
      </w:r>
    </w:p>
    <w:p>
      <w:pPr>
        <w:sectPr>
          <w:pgSz w:w="11900" w:h="16838" w:orient="portrait"/>
          <w:cols w:equalWidth="0" w:num="1">
            <w:col w:w="11420"/>
          </w:cols>
          <w:pgMar w:left="240" w:top="1026" w:right="239" w:bottom="0" w:gutter="0" w:footer="0" w:header="0"/>
        </w:sectPr>
      </w:pPr>
    </w:p>
    <w:bookmarkStart w:id="225" w:name="page226"/>
    <w:bookmarkEnd w:id="225"/>
    <w:p>
      <w:pPr>
        <w:ind w:right="40"/>
        <w:spacing w:after="0" w:line="261" w:lineRule="auto"/>
        <w:rPr>
          <w:sz w:val="20"/>
          <w:szCs w:val="20"/>
          <w:color w:val="auto"/>
        </w:rPr>
      </w:pPr>
      <w:r>
        <w:rPr>
          <w:rFonts w:ascii="Arial" w:cs="Arial" w:eastAsia="Arial" w:hAnsi="Arial"/>
          <w:sz w:val="17"/>
          <w:szCs w:val="17"/>
          <w:color w:val="auto"/>
        </w:rPr>
        <w:t>to the expiration of the Lock-Up Period, the Company announces it will release earnings results during the 16 day period beginning on the last day of the Lock-Up Period, then the restrictions imposed in this letter agreement shall continue to apply until the expiration of the 18 day period beginning on the issuance of the earnings release or the occurrence of the material news or material event. The foregoing restrictions are expressly agreed to preclude the undersigned from engaging in any hedging, collar (whether or not for any consideration) or other transaction that is designed to or reasonably expected to lead or result in a Disposition of Lock-Up Shares during the Lock-Up Period, even if such Lock-Up Shares would be disposed of by someone other than such holder. Such prohibited hedging or other transactions would include any short sale or any purchase, sale or grant of any right (including any put or call option or reversal or cancellation thereof) with respect to any Lock-Up Shares or with respect to any security (other than a broad-based market basket or index) that includes, relates to or derives any significant part of its value from Lock-Up Shares. Further, notwithstanding the restrictions herein, the undersigned may enter into a written trading plan designed to comply with Rule 10b5-1(c) of the Exchange Act; provided, however, that no sales or other dispositions may occur under such plans during the Lock-Up Period (as may have been extended).</w:t>
      </w:r>
    </w:p>
    <w:p>
      <w:pPr>
        <w:spacing w:after="0" w:line="181"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undersigned hereby acknowledges and agrees that written notice of any extension of the Lock-Up Period pursuant to the previous paragraph will be delivered by the Company to the Representatives in accordance with the Underwriting Agreement and that any such notice properly delivered will be deemed to have been given to, and received by, the undersigned. The undersigned and the Representatives agree that proper written notice may be delivered by the Company by filing a Form 8-K disclosing an extension of the initial Lock-Up Period. Unless the Company has filed a Form 8-K disclosing that the Lock-Up Period (as may have been extended) has expired, the undersigned further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agrees that, prior to engaging in any transaction or taking any other action that is subject to the terms of this letter agreement during the period from the date of this agreement to and including the 34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expiration of the initial Lock-Up Period, it will give notice thereof to the Representatives and will not consummate such transaction or take any such action unless it has received written confirmation from the Representatives that the Lock-Up Period (as may have been extended) has expired.</w:t>
      </w:r>
    </w:p>
    <w:p>
      <w:pPr>
        <w:spacing w:after="0" w:line="195" w:lineRule="exact"/>
        <w:rPr>
          <w:sz w:val="20"/>
          <w:szCs w:val="20"/>
          <w:color w:val="auto"/>
        </w:rPr>
      </w:pPr>
    </w:p>
    <w:p>
      <w:pPr>
        <w:ind w:right="560" w:firstLine="663"/>
        <w:spacing w:after="0" w:line="289" w:lineRule="auto"/>
        <w:rPr>
          <w:sz w:val="20"/>
          <w:szCs w:val="20"/>
          <w:color w:val="auto"/>
        </w:rPr>
      </w:pPr>
      <w:r>
        <w:rPr>
          <w:rFonts w:ascii="Arial" w:cs="Arial" w:eastAsia="Arial" w:hAnsi="Arial"/>
          <w:sz w:val="17"/>
          <w:szCs w:val="17"/>
          <w:color w:val="auto"/>
        </w:rPr>
        <w:t>Notwithstanding the agreement not to make any Disposition during the Lock-Up Period (as may be extended), you have agreed that the foregoing restrictions shall not apply to:</w:t>
      </w:r>
    </w:p>
    <w:p>
      <w:pPr>
        <w:spacing w:after="0" w:line="158" w:lineRule="exact"/>
        <w:rPr>
          <w:sz w:val="20"/>
          <w:szCs w:val="20"/>
          <w:color w:val="auto"/>
        </w:rPr>
      </w:pPr>
    </w:p>
    <w:p>
      <w:pPr>
        <w:ind w:left="1300" w:hanging="632"/>
        <w:spacing w:after="0"/>
        <w:tabs>
          <w:tab w:leader="none" w:pos="13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Company Securities being offered in the prospectus included in the Registration Statement;</w:t>
      </w:r>
    </w:p>
    <w:p>
      <w:pPr>
        <w:spacing w:after="0" w:line="26" w:lineRule="exact"/>
        <w:rPr>
          <w:rFonts w:ascii="Arial" w:cs="Arial" w:eastAsia="Arial" w:hAnsi="Arial"/>
          <w:sz w:val="17"/>
          <w:szCs w:val="17"/>
          <w:color w:val="auto"/>
        </w:rPr>
      </w:pPr>
    </w:p>
    <w:p>
      <w:pPr>
        <w:ind w:left="1300" w:hanging="632"/>
        <w:spacing w:after="0"/>
        <w:tabs>
          <w:tab w:leader="none" w:pos="13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grant or exercise of options pursuant to the Company’s existing stock option plans;</w:t>
      </w:r>
    </w:p>
    <w:p>
      <w:pPr>
        <w:spacing w:after="0" w:line="14" w:lineRule="exact"/>
        <w:rPr>
          <w:rFonts w:ascii="Arial" w:cs="Arial" w:eastAsia="Arial" w:hAnsi="Arial"/>
          <w:sz w:val="17"/>
          <w:szCs w:val="17"/>
          <w:color w:val="auto"/>
        </w:rPr>
      </w:pPr>
    </w:p>
    <w:p>
      <w:pPr>
        <w:ind w:left="1300" w:hanging="632"/>
        <w:spacing w:after="0"/>
        <w:tabs>
          <w:tab w:leader="none" w:pos="13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Disposition of Company Securities as a bona fide gift or gifts; or</w:t>
      </w:r>
    </w:p>
    <w:p>
      <w:pPr>
        <w:spacing w:after="0" w:line="14" w:lineRule="exact"/>
        <w:rPr>
          <w:rFonts w:ascii="Arial" w:cs="Arial" w:eastAsia="Arial" w:hAnsi="Arial"/>
          <w:sz w:val="17"/>
          <w:szCs w:val="17"/>
          <w:color w:val="auto"/>
        </w:rPr>
      </w:pPr>
    </w:p>
    <w:p>
      <w:pPr>
        <w:ind w:left="1300" w:right="780" w:hanging="632"/>
        <w:spacing w:after="0" w:line="275" w:lineRule="auto"/>
        <w:tabs>
          <w:tab w:leader="none" w:pos="130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Disposition of Company Securities to any trust for the direct or indirect benefit of the undersigned or the immediate family of the undersigned;</w:t>
      </w:r>
    </w:p>
    <w:p>
      <w:pPr>
        <w:spacing w:after="0" w:line="169"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i w:val="1"/>
          <w:iCs w:val="1"/>
          <w:color w:val="auto"/>
        </w:rPr>
        <w:t>provided, however</w:t>
      </w:r>
      <w:r>
        <w:rPr>
          <w:rFonts w:ascii="Arial" w:cs="Arial" w:eastAsia="Arial" w:hAnsi="Arial"/>
          <w:sz w:val="15"/>
          <w:szCs w:val="15"/>
          <w:color w:val="auto"/>
        </w:rPr>
        <w:t>, that any Disposition described in clauses (2), (3) or (4) above shall be permitted only if (a) each resulting recipient or transferee of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executes and delivers to the Representatives an agreement satisfactory to the Representatives, certifying that such recipient or transferee is bound by the terms of this agreement and has been in compliance with the terms hereof since the date first above written as if it had been an original party hereto, (b) to the extent any interest in the Company Securities is retained by the undersigned or an immediate family member living in the undersigned’s household, such securities shall remain subject to the restrictions contained in this agreement, (c) no filing under the Exchange Act shall be required or shall be voluntarily made during the Lock-Up Period (as may be extended), and (d) no party (including transferor, transferee, donor or recipient) shall be required by law (including without limitation the disclosure requirements of the Exchange Act) to make, and each such party shall agree not to voluntarily make, any public announcement of the Disposition (other than a filing on a Form 5, Schedule 13D or Schedule 13G (or 13D/A or 13G/A) made after the expiration of the Lock-Up Period (as may be extended)).</w:t>
      </w:r>
    </w:p>
    <w:p>
      <w:pPr>
        <w:spacing w:after="0" w:line="157" w:lineRule="exact"/>
        <w:rPr>
          <w:sz w:val="20"/>
          <w:szCs w:val="20"/>
          <w:color w:val="auto"/>
        </w:rPr>
      </w:pPr>
    </w:p>
    <w:p>
      <w:pPr>
        <w:jc w:val="both"/>
        <w:ind w:right="160" w:firstLine="664"/>
        <w:spacing w:after="0" w:line="273" w:lineRule="auto"/>
        <w:rPr>
          <w:sz w:val="20"/>
          <w:szCs w:val="20"/>
          <w:color w:val="auto"/>
        </w:rPr>
      </w:pPr>
      <w:r>
        <w:rPr>
          <w:rFonts w:ascii="Arial" w:cs="Arial" w:eastAsia="Arial" w:hAnsi="Arial"/>
          <w:sz w:val="17"/>
          <w:szCs w:val="17"/>
          <w:color w:val="auto"/>
        </w:rPr>
        <w:t>The undersigned now has, and, except as contemplated by clause (1), (2), (3) or (4) above, for the duration of this letter agreement will have, good and marketable title to the undersigned’s Company Securities or securities convertible into or exercisable or exchangeable for the undersigned’s Company Securities, free and clear of all liens, encumbrances, and claims whatsoever.</w:t>
      </w:r>
    </w:p>
    <w:p>
      <w:pPr>
        <w:spacing w:after="0" w:line="172" w:lineRule="exact"/>
        <w:rPr>
          <w:sz w:val="20"/>
          <w:szCs w:val="20"/>
          <w:color w:val="auto"/>
        </w:rPr>
      </w:pPr>
    </w:p>
    <w:p>
      <w:pPr>
        <w:jc w:val="both"/>
        <w:ind w:right="80" w:firstLine="664"/>
        <w:spacing w:after="0" w:line="298" w:lineRule="auto"/>
        <w:rPr>
          <w:sz w:val="20"/>
          <w:szCs w:val="20"/>
          <w:color w:val="auto"/>
        </w:rPr>
      </w:pPr>
      <w:r>
        <w:rPr>
          <w:rFonts w:ascii="Arial" w:cs="Arial" w:eastAsia="Arial" w:hAnsi="Arial"/>
          <w:sz w:val="16"/>
          <w:szCs w:val="16"/>
          <w:color w:val="auto"/>
        </w:rPr>
        <w:t>The undersigned agrees and consents to the entry of stop transfer instructions with the Company’s transfer agent and registrar against the transfer of the Lock-Up Shares, except in compliance with the foregoing restrictions. In furtherance of the foregoing, the Company and its transfer agent and registrar are hereby authorized to decline to make any transfer of Lock-Up Shares if such transfer would constitute a violation or breach of this letter.</w:t>
      </w:r>
    </w:p>
    <w:p>
      <w:pPr>
        <w:spacing w:after="0" w:line="154" w:lineRule="exact"/>
        <w:rPr>
          <w:sz w:val="20"/>
          <w:szCs w:val="20"/>
          <w:color w:val="auto"/>
        </w:rPr>
      </w:pPr>
    </w:p>
    <w:p>
      <w:pPr>
        <w:jc w:val="both"/>
        <w:ind w:right="240" w:firstLine="664"/>
        <w:spacing w:after="0" w:line="273" w:lineRule="auto"/>
        <w:rPr>
          <w:sz w:val="20"/>
          <w:szCs w:val="20"/>
          <w:color w:val="auto"/>
        </w:rPr>
      </w:pPr>
      <w:r>
        <w:rPr>
          <w:rFonts w:ascii="Arial" w:cs="Arial" w:eastAsia="Arial" w:hAnsi="Arial"/>
          <w:sz w:val="17"/>
          <w:szCs w:val="17"/>
          <w:color w:val="auto"/>
        </w:rPr>
        <w:t>It is understood that the undersigned will automatically be released from the obligations under this letter agreement if (a) the Underwriting Agreement (other than the provisions thereof that survive termination) shall terminate or be terminated prior to payment for and delivery of the Shares, or (b) the Company advises the Representatives in writing prior to the execution of the Underwriting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that it has determined not to proceed with the Offering.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This letter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20"/>
          </w:cols>
          <w:pgMar w:left="240" w:top="127" w:right="239" w:bottom="10" w:gutter="0" w:footer="0" w:header="0"/>
        </w:sectPr>
      </w:pPr>
    </w:p>
    <w:bookmarkStart w:id="226" w:name="page227"/>
    <w:bookmarkEnd w:id="226"/>
    <w:p>
      <w:pPr>
        <w:ind w:left="5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3785235</wp:posOffset>
            </wp:positionH>
            <wp:positionV relativeFrom="page">
              <wp:posOffset>88900</wp:posOffset>
            </wp:positionV>
            <wp:extent cx="36214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621405" cy="8255"/>
                    </a:xfrm>
                    <a:prstGeom prst="rect">
                      <a:avLst/>
                    </a:prstGeom>
                    <a:noFill/>
                  </pic:spPr>
                </pic:pic>
              </a:graphicData>
            </a:graphic>
          </wp:anchor>
        </w:drawing>
        <w:t>(Printed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holder of Company Securities,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if holder of Company Securities is an entity)</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EXHIBIT B</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Form of Press Release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Applied Optoelectronics,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Applied Optoelectronics,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Raymond James &amp; Associates, Inc. and Piper Jaffray &amp; Co., as representatives of the</w:t>
      </w:r>
    </w:p>
    <w:p>
      <w:pPr>
        <w:spacing w:after="0" w:line="44" w:lineRule="exact"/>
        <w:rPr>
          <w:sz w:val="20"/>
          <w:szCs w:val="20"/>
          <w:color w:val="auto"/>
        </w:rPr>
      </w:pPr>
    </w:p>
    <w:p>
      <w:pPr>
        <w:spacing w:after="0"/>
        <w:tabs>
          <w:tab w:leader="none" w:pos="4760" w:val="left"/>
        </w:tabs>
        <w:rPr>
          <w:sz w:val="20"/>
          <w:szCs w:val="20"/>
          <w:color w:val="auto"/>
        </w:rPr>
      </w:pPr>
      <w:r>
        <w:rPr>
          <w:rFonts w:ascii="Arial" w:cs="Arial" w:eastAsia="Arial" w:hAnsi="Arial"/>
          <w:sz w:val="17"/>
          <w:szCs w:val="17"/>
          <w:color w:val="auto"/>
        </w:rPr>
        <w:t>several underwriters in the Company’s recent public sale of [</w:t>
      </w:r>
      <w:r>
        <w:rPr>
          <w:sz w:val="20"/>
          <w:szCs w:val="20"/>
          <w:color w:val="auto"/>
        </w:rPr>
        <w:tab/>
      </w:r>
      <w:r>
        <w:rPr>
          <w:rFonts w:ascii="Arial" w:cs="Arial" w:eastAsia="Arial" w:hAnsi="Arial"/>
          <w:sz w:val="16"/>
          <w:szCs w:val="16"/>
          <w:color w:val="auto"/>
        </w:rPr>
        <w:t>] shares of common stock, is [waiving][releasing] a lock-up restriction with respect to</w:t>
      </w:r>
    </w:p>
    <w:p>
      <w:pPr>
        <w:spacing w:after="0" w:line="14" w:lineRule="exact"/>
        <w:rPr>
          <w:sz w:val="20"/>
          <w:szCs w:val="20"/>
          <w:color w:val="auto"/>
        </w:rPr>
      </w:pPr>
    </w:p>
    <w:p>
      <w:pPr>
        <w:ind w:left="680" w:hanging="675"/>
        <w:spacing w:after="0"/>
        <w:tabs>
          <w:tab w:leader="none" w:pos="6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shares of the Company’s common stock held by [certain officers or directors] [an officer or director] of the Company. The [waiver][release] will take</w:t>
      </w:r>
    </w:p>
    <w:p>
      <w:pPr>
        <w:spacing w:after="0" w:line="26" w:lineRule="exact"/>
        <w:rPr>
          <w:sz w:val="20"/>
          <w:szCs w:val="20"/>
          <w:color w:val="auto"/>
        </w:rPr>
      </w:pPr>
    </w:p>
    <w:p>
      <w:pPr>
        <w:spacing w:after="0"/>
        <w:tabs>
          <w:tab w:leader="none" w:pos="1700" w:val="left"/>
          <w:tab w:leader="none" w:pos="2300" w:val="left"/>
        </w:tabs>
        <w:rPr>
          <w:sz w:val="20"/>
          <w:szCs w:val="20"/>
          <w:color w:val="auto"/>
        </w:rPr>
      </w:pPr>
      <w:r>
        <w:rPr>
          <w:rFonts w:ascii="Arial" w:cs="Arial" w:eastAsia="Arial" w:hAnsi="Arial"/>
          <w:sz w:val="17"/>
          <w:szCs w:val="17"/>
          <w:color w:val="auto"/>
        </w:rPr>
        <w:t>effect on [</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5"/>
          <w:szCs w:val="15"/>
          <w:color w:val="auto"/>
        </w:rPr>
        <w:t>], and the shares may be sold on or after such date.</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00"/>
          </w:cols>
          <w:pgMar w:left="240" w:top="140" w:right="359" w:bottom="1440" w:gutter="0" w:footer="0" w:header="0"/>
        </w:sectPr>
      </w:pPr>
    </w:p>
    <w:bookmarkStart w:id="227" w:name="page228"/>
    <w:bookmarkEnd w:id="227"/>
    <w:p>
      <w:pPr>
        <w:jc w:val="right"/>
        <w:spacing w:after="0"/>
        <w:rPr>
          <w:sz w:val="20"/>
          <w:szCs w:val="20"/>
          <w:color w:val="auto"/>
        </w:rPr>
      </w:pPr>
      <w:r>
        <w:rPr>
          <w:rFonts w:ascii="Arial" w:cs="Arial" w:eastAsia="Arial" w:hAnsi="Arial"/>
          <w:sz w:val="17"/>
          <w:szCs w:val="17"/>
          <w:b w:val="1"/>
          <w:bCs w:val="1"/>
          <w:color w:val="auto"/>
        </w:rPr>
        <w:t>Exhibit 10.10.10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TENTH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AMENDED AND RESTATED LOAN AND SECURITY AGREEMENT</w:t>
      </w:r>
    </w:p>
    <w:p>
      <w:pPr>
        <w:spacing w:after="0" w:line="21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This Tenth Amendment to Amended and Restated Loan and Security Agreement is entered into as of September 10, 2013 (the “Amendment”), by and between APPLIED OPTOELECTRONICS, INC. (“Borrower”) and EAST WEST BANK (“Bank”).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224"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Borrower and Bank are parties to that certain Amended and Restated Loan and Security Agreement dated as of May 20, 2009 and as amended from time to time including that certain First Amendment to Amended and Restated Loan and Security Agreement dated as of May 3, 2010, that certain Second Amendment to Amended and Restated Loan and Security Agreement dated as of October 28, 2010, that certain Third Amendment to Amended and Restated Loan and Security Agreement dated as of December 6, 2010, that certain Fourth Amendment to Amended and Restated Loan and Security Agreement dated as of May 5, 2011, that certain letter dated September 30, 2011, that certain Fifth Amendment to Amended and Restated Loan and Security Agreement dated as of November 30, 2011, that certain Sixth Amendment to Amended and Restated Loan and Security Agreement dated as of March 29, 2012, that certain Seventh Amendment to Amended and Restated Loan and Security Agreement dated as of June 29, 2012, that certain Eighth Amendment to Amended and Restated Loan and Security Agreement dated as of November 2, 2012, that certain Assignment, Assumption and Amendment Agreement dated as of March 25, 2013, and that certain Ninth Amendment to Amended and Restated Loan and Security Agreement dated as of April 11, 2013 (collectively, the “Agreement”). The parties desire to amend the Agreement in accordance with the terms of this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the parties agree as follows:</w:t>
      </w:r>
    </w:p>
    <w:p>
      <w:pPr>
        <w:spacing w:after="0" w:line="224" w:lineRule="exact"/>
        <w:rPr>
          <w:sz w:val="20"/>
          <w:szCs w:val="20"/>
          <w:color w:val="auto"/>
        </w:rPr>
      </w:pPr>
    </w:p>
    <w:p>
      <w:pPr>
        <w:ind w:left="640" w:hanging="635"/>
        <w:spacing w:after="0"/>
        <w:tabs>
          <w:tab w:leader="none" w:pos="640" w:val="left"/>
        </w:tabs>
        <w:numPr>
          <w:ilvl w:val="0"/>
          <w:numId w:val="198"/>
        </w:numPr>
        <w:rPr>
          <w:rFonts w:ascii="Arial" w:cs="Arial" w:eastAsia="Arial" w:hAnsi="Arial"/>
          <w:sz w:val="17"/>
          <w:szCs w:val="17"/>
          <w:b w:val="1"/>
          <w:bCs w:val="1"/>
          <w:color w:val="auto"/>
        </w:rPr>
      </w:pPr>
      <w:r>
        <w:rPr>
          <w:rFonts w:ascii="Arial" w:cs="Arial" w:eastAsia="Arial" w:hAnsi="Arial"/>
          <w:sz w:val="17"/>
          <w:szCs w:val="17"/>
          <w:color w:val="auto"/>
        </w:rPr>
        <w:t>The following defined terms set forth in Section 1.1 of the Agreement are amended and restated in their entirety to read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“Domestic Borrowing Base” means an amount equal to (i) 80% of Eligible Accounts, plus (ii) the lesser of 30% of Eligible Inventory or</w:t>
      </w:r>
    </w:p>
    <w:p>
      <w:pPr>
        <w:spacing w:after="0" w:line="26" w:lineRule="exact"/>
        <w:rPr>
          <w:sz w:val="20"/>
          <w:szCs w:val="20"/>
          <w:color w:val="auto"/>
        </w:rPr>
      </w:pPr>
    </w:p>
    <w:p>
      <w:pPr>
        <w:jc w:val="both"/>
        <w:ind w:left="1260" w:right="80"/>
        <w:spacing w:after="0" w:line="266" w:lineRule="auto"/>
        <w:rPr>
          <w:sz w:val="20"/>
          <w:szCs w:val="20"/>
          <w:color w:val="auto"/>
        </w:rPr>
      </w:pPr>
      <w:r>
        <w:rPr>
          <w:rFonts w:ascii="Arial" w:cs="Arial" w:eastAsia="Arial" w:hAnsi="Arial"/>
          <w:sz w:val="17"/>
          <w:szCs w:val="17"/>
          <w:color w:val="auto"/>
        </w:rPr>
        <w:t>$1,000,000, plus (iii) Excess Cash; as determined by Bank with reference to the most recent Borrowing Base Certificate delivered by Borrower. Notwithstanding the foregoing, Eligible Inventory shall not exceed 50% of the total Domestic Borrowing Base; and the Excess Cash component of the Domestic Borrowing Base shall not exceed $2,000,000.</w:t>
      </w:r>
    </w:p>
    <w:p>
      <w:pPr>
        <w:spacing w:after="0" w:line="177" w:lineRule="exact"/>
        <w:rPr>
          <w:sz w:val="20"/>
          <w:szCs w:val="20"/>
          <w:color w:val="auto"/>
        </w:rPr>
      </w:pPr>
    </w:p>
    <w:p>
      <w:pPr>
        <w:ind w:left="1260" w:right="100"/>
        <w:spacing w:after="0" w:line="273" w:lineRule="auto"/>
        <w:rPr>
          <w:sz w:val="20"/>
          <w:szCs w:val="20"/>
          <w:color w:val="auto"/>
        </w:rPr>
      </w:pPr>
      <w:r>
        <w:rPr>
          <w:rFonts w:ascii="Arial" w:cs="Arial" w:eastAsia="Arial" w:hAnsi="Arial"/>
          <w:sz w:val="17"/>
          <w:szCs w:val="17"/>
          <w:color w:val="auto"/>
        </w:rPr>
        <w:t>“Shares” means the capital stock of all of Borrower’s direct and indirect Subsidiaries, including without limitation, Prime World International Holdings, Ltd., and Global Technology, Inc.; provided however that the Shares shall not include more than 65% of the outstanding capital stock of Global Technology, Inc.</w:t>
      </w:r>
    </w:p>
    <w:p>
      <w:pPr>
        <w:spacing w:after="0" w:line="172" w:lineRule="exact"/>
        <w:rPr>
          <w:sz w:val="20"/>
          <w:szCs w:val="20"/>
          <w:color w:val="auto"/>
        </w:rPr>
      </w:pPr>
    </w:p>
    <w:p>
      <w:pPr>
        <w:ind w:left="640" w:hanging="635"/>
        <w:spacing w:after="0"/>
        <w:tabs>
          <w:tab w:leader="none" w:pos="640" w:val="left"/>
        </w:tabs>
        <w:numPr>
          <w:ilvl w:val="0"/>
          <w:numId w:val="199"/>
        </w:numPr>
        <w:rPr>
          <w:rFonts w:ascii="Arial" w:cs="Arial" w:eastAsia="Arial" w:hAnsi="Arial"/>
          <w:sz w:val="17"/>
          <w:szCs w:val="17"/>
          <w:b w:val="1"/>
          <w:bCs w:val="1"/>
          <w:color w:val="auto"/>
        </w:rPr>
      </w:pPr>
      <w:r>
        <w:rPr>
          <w:rFonts w:ascii="Arial" w:cs="Arial" w:eastAsia="Arial" w:hAnsi="Arial"/>
          <w:sz w:val="17"/>
          <w:szCs w:val="17"/>
          <w:color w:val="auto"/>
        </w:rPr>
        <w:t>The following defined terms are added to Section 1.1 of the Agreement as follows: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“Equipment II Advance” means a cash advance or cash advances made under Section 2.1(h).</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“Equipment II Maturity Date” means September 10, 2017.</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“Excess Cash” means the amount of Borrower’s unrestricted cash maintained at Bank in excess of Four Million Dollars ($4,000,000).</w:t>
      </w:r>
    </w:p>
    <w:p>
      <w:pPr>
        <w:spacing w:after="0" w:line="224" w:lineRule="exact"/>
        <w:rPr>
          <w:sz w:val="20"/>
          <w:szCs w:val="20"/>
          <w:color w:val="auto"/>
        </w:rPr>
      </w:pPr>
    </w:p>
    <w:p>
      <w:pPr>
        <w:ind w:left="640" w:hanging="635"/>
        <w:spacing w:after="0"/>
        <w:tabs>
          <w:tab w:leader="none" w:pos="640" w:val="left"/>
        </w:tabs>
        <w:numPr>
          <w:ilvl w:val="0"/>
          <w:numId w:val="200"/>
        </w:numPr>
        <w:rPr>
          <w:rFonts w:ascii="Arial" w:cs="Arial" w:eastAsia="Arial" w:hAnsi="Arial"/>
          <w:sz w:val="17"/>
          <w:szCs w:val="17"/>
          <w:b w:val="1"/>
          <w:bCs w:val="1"/>
          <w:color w:val="auto"/>
        </w:rPr>
      </w:pPr>
      <w:r>
        <w:rPr>
          <w:rFonts w:ascii="Arial" w:cs="Arial" w:eastAsia="Arial" w:hAnsi="Arial"/>
          <w:sz w:val="17"/>
          <w:szCs w:val="17"/>
          <w:color w:val="auto"/>
        </w:rPr>
        <w:t>Section 2.1(g) is amended in its entirety to read as follows: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18" w:lineRule="exact"/>
        <w:rPr>
          <w:rFonts w:ascii="Arial" w:cs="Arial" w:eastAsia="Arial" w:hAnsi="Arial"/>
          <w:sz w:val="17"/>
          <w:szCs w:val="17"/>
          <w:b w:val="1"/>
          <w:bCs w:val="1"/>
          <w:color w:val="auto"/>
        </w:rPr>
      </w:pPr>
    </w:p>
    <w:p>
      <w:pPr>
        <w:ind w:left="1260" w:right="380" w:firstLine="3"/>
        <w:spacing w:after="0" w:line="322" w:lineRule="auto"/>
        <w:tabs>
          <w:tab w:leader="none" w:pos="190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Priority. Notwithstanding the foregoing provisions, any payments by Borrower to Bank following an Event of Default shall not be applied to any Line II Advance or Equipment II Advance or any interest accrued thereon until all other Credit Extensions are fully repaid.</w:t>
      </w:r>
    </w:p>
    <w:p>
      <w:pPr>
        <w:spacing w:after="0" w:line="135" w:lineRule="exact"/>
        <w:rPr>
          <w:rFonts w:ascii="Arial" w:cs="Arial" w:eastAsia="Arial" w:hAnsi="Arial"/>
          <w:sz w:val="16"/>
          <w:szCs w:val="16"/>
          <w:color w:val="auto"/>
        </w:rPr>
      </w:pPr>
    </w:p>
    <w:p>
      <w:pPr>
        <w:ind w:left="640" w:hanging="635"/>
        <w:spacing w:after="0"/>
        <w:tabs>
          <w:tab w:leader="none" w:pos="640" w:val="left"/>
        </w:tabs>
        <w:numPr>
          <w:ilvl w:val="0"/>
          <w:numId w:val="200"/>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subsection (h) following the end of Section 2.1(g):</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Equipment II Advances.</w:t>
      </w:r>
    </w:p>
    <w:p>
      <w:pPr>
        <w:spacing w:after="0" w:line="224" w:lineRule="exact"/>
        <w:rPr>
          <w:rFonts w:ascii="Arial" w:cs="Arial" w:eastAsia="Arial" w:hAnsi="Arial"/>
          <w:sz w:val="17"/>
          <w:szCs w:val="17"/>
          <w:color w:val="auto"/>
        </w:rPr>
      </w:pPr>
    </w:p>
    <w:p>
      <w:pPr>
        <w:ind w:left="1260" w:right="80" w:firstLine="633"/>
        <w:spacing w:after="0" w:line="262" w:lineRule="auto"/>
        <w:tabs>
          <w:tab w:leader="none" w:pos="2539" w:val="left"/>
        </w:tabs>
        <w:numPr>
          <w:ilvl w:val="2"/>
          <w:numId w:val="201"/>
        </w:numPr>
        <w:rPr>
          <w:rFonts w:ascii="Arial" w:cs="Arial" w:eastAsia="Arial" w:hAnsi="Arial"/>
          <w:sz w:val="17"/>
          <w:szCs w:val="17"/>
          <w:color w:val="auto"/>
        </w:rPr>
      </w:pPr>
      <w:r>
        <w:rPr>
          <w:rFonts w:ascii="Arial" w:cs="Arial" w:eastAsia="Arial" w:hAnsi="Arial"/>
          <w:sz w:val="17"/>
          <w:szCs w:val="17"/>
          <w:color w:val="auto"/>
        </w:rPr>
        <w:t>Subject to and upon the terms and conditions of this Agreement, on or before March 10, 2014 (the “Amortization Date”), Bank agrees to make one or more Equipment II Advances to Borrower in an aggregate amount not to exceed Five Million Dollars ($5,000,000). On or before the initial Equipment II Advance made to Borrower, Borrower shall execute and deliver to Bank a promissory note for the Equipment II Advances in substantially the form attached hereto as Exhibit B-6. Bank may enforce its rights in respect of the Equipment II Advance under this Agreement without such note. Equipment II Advances may only be used to finance Equipment purchased by Borrower no earlier than March 31, 2013, which was new when purchased by Borrower. No Equipment II Advance may exceed ninety percent (90%) of the total invoice for such Equipment (excluding taxes, shipping, warranty charges, freight discounts and installation expenses relating to such Equipment).</w:t>
      </w:r>
    </w:p>
    <w:p>
      <w:pPr>
        <w:spacing w:after="0" w:line="180" w:lineRule="exact"/>
        <w:rPr>
          <w:rFonts w:ascii="Arial" w:cs="Arial" w:eastAsia="Arial" w:hAnsi="Arial"/>
          <w:sz w:val="17"/>
          <w:szCs w:val="17"/>
          <w:color w:val="auto"/>
        </w:rPr>
      </w:pPr>
    </w:p>
    <w:p>
      <w:pPr>
        <w:ind w:left="1260" w:right="100" w:firstLine="633"/>
        <w:spacing w:after="0" w:line="263" w:lineRule="auto"/>
        <w:tabs>
          <w:tab w:leader="none" w:pos="2548" w:val="left"/>
        </w:tabs>
        <w:numPr>
          <w:ilvl w:val="2"/>
          <w:numId w:val="201"/>
        </w:numPr>
        <w:rPr>
          <w:rFonts w:ascii="Arial" w:cs="Arial" w:eastAsia="Arial" w:hAnsi="Arial"/>
          <w:sz w:val="17"/>
          <w:szCs w:val="17"/>
          <w:color w:val="auto"/>
        </w:rPr>
      </w:pPr>
      <w:r>
        <w:rPr>
          <w:rFonts w:ascii="Arial" w:cs="Arial" w:eastAsia="Arial" w:hAnsi="Arial"/>
          <w:sz w:val="17"/>
          <w:szCs w:val="17"/>
          <w:color w:val="auto"/>
        </w:rPr>
        <w:t>Borrower shall pay interest on the aggregate outstanding principal amount of the Equipment II Advances on the fifth day of each month for so long as any Equipment II Advances are outstanding. On the fifth day of each month following the Amortization Date and until the Equipment II Advance Maturity Date, Borrower shall repay the outstanding Equipment II Advances in forty two (42) equal monthly installments of principal, plus accrued interest. The entire principal balance and all accrued but unpaid interest on the Equipment II Advances shall be due and payable on the Equipment II Advance Maturity Date. Equipment II Advances, once repaid, may not be reborrowed. Borrower may prepay any Equipment II Advances without penalty or premium.</w:t>
      </w:r>
    </w:p>
    <w:p>
      <w:pPr>
        <w:spacing w:after="0" w:line="183" w:lineRule="exact"/>
        <w:rPr>
          <w:rFonts w:ascii="Arial" w:cs="Arial" w:eastAsia="Arial" w:hAnsi="Arial"/>
          <w:sz w:val="17"/>
          <w:szCs w:val="17"/>
          <w:color w:val="auto"/>
        </w:rPr>
      </w:pPr>
    </w:p>
    <w:p>
      <w:pPr>
        <w:ind w:left="1260" w:firstLine="633"/>
        <w:spacing w:after="0" w:line="298" w:lineRule="auto"/>
        <w:tabs>
          <w:tab w:leader="none" w:pos="2558" w:val="left"/>
        </w:tabs>
        <w:numPr>
          <w:ilvl w:val="2"/>
          <w:numId w:val="201"/>
        </w:numPr>
        <w:rPr>
          <w:rFonts w:ascii="Arial" w:cs="Arial" w:eastAsia="Arial" w:hAnsi="Arial"/>
          <w:sz w:val="16"/>
          <w:szCs w:val="16"/>
          <w:color w:val="auto"/>
        </w:rPr>
      </w:pPr>
      <w:r>
        <w:rPr>
          <w:rFonts w:ascii="Arial" w:cs="Arial" w:eastAsia="Arial" w:hAnsi="Arial"/>
          <w:sz w:val="16"/>
          <w:szCs w:val="16"/>
          <w:color w:val="auto"/>
        </w:rPr>
        <w:t xml:space="preserve">When Borrower desires to obtain an Equipment II Advance, Borrower shall notify Bank (which notice shall be irrevocable) by facsimile transmission to be received no later than 3:00 p.m. Pacific time three (3) Business Days before the day on which the Equipment II Advance is to be made. Such notice shall be substantially in the form of </w:t>
      </w:r>
      <w:r>
        <w:rPr>
          <w:rFonts w:ascii="Arial" w:cs="Arial" w:eastAsia="Arial" w:hAnsi="Arial"/>
          <w:sz w:val="16"/>
          <w:szCs w:val="16"/>
          <w:b w:val="1"/>
          <w:bCs w:val="1"/>
          <w:color w:val="auto"/>
        </w:rPr>
        <w:t>Exhibit C</w:t>
      </w:r>
      <w:r>
        <w:rPr>
          <w:rFonts w:ascii="Arial" w:cs="Arial" w:eastAsia="Arial" w:hAnsi="Arial"/>
          <w:sz w:val="16"/>
          <w:szCs w:val="16"/>
          <w:color w:val="auto"/>
        </w:rPr>
        <w:t>. The notice shall be signed by a Responsible Officer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-3867150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228" w:name="page229"/>
    <w:bookmarkEnd w:id="228"/>
    <w:p>
      <w:pPr>
        <w:spacing w:after="0" w:line="32" w:lineRule="exact"/>
        <w:rPr>
          <w:sz w:val="20"/>
          <w:szCs w:val="20"/>
          <w:color w:val="auto"/>
        </w:rPr>
      </w:pPr>
    </w:p>
    <w:p>
      <w:pPr>
        <w:ind w:left="1255" w:right="440"/>
        <w:spacing w:after="0" w:line="289" w:lineRule="auto"/>
        <w:rPr>
          <w:sz w:val="20"/>
          <w:szCs w:val="20"/>
          <w:color w:val="auto"/>
        </w:rPr>
      </w:pPr>
      <w:r>
        <w:rPr>
          <w:rFonts w:ascii="Arial" w:cs="Arial" w:eastAsia="Arial" w:hAnsi="Arial"/>
          <w:sz w:val="17"/>
          <w:szCs w:val="17"/>
          <w:color w:val="auto"/>
        </w:rPr>
        <w:t>designee and include a copy of the invoice or other documentation with respect to the purchase and payment terms of the Equipment being acquired by Borrower that is to be financed by Bank, with such details as may be requested by Bank.</w:t>
      </w:r>
    </w:p>
    <w:p>
      <w:pPr>
        <w:spacing w:after="0" w:line="158" w:lineRule="exact"/>
        <w:rPr>
          <w:sz w:val="20"/>
          <w:szCs w:val="20"/>
          <w:color w:val="auto"/>
        </w:rPr>
      </w:pPr>
    </w:p>
    <w:p>
      <w:pPr>
        <w:ind w:left="635" w:hanging="635"/>
        <w:spacing w:after="0"/>
        <w:tabs>
          <w:tab w:leader="none" w:pos="635"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The following is added as a new subsection (v) to the end of Section 2.3(a) as follows:</w:t>
      </w:r>
    </w:p>
    <w:p>
      <w:pPr>
        <w:spacing w:after="0" w:line="224" w:lineRule="exact"/>
        <w:rPr>
          <w:rFonts w:ascii="Arial" w:cs="Arial" w:eastAsia="Arial" w:hAnsi="Arial"/>
          <w:sz w:val="17"/>
          <w:szCs w:val="17"/>
          <w:b w:val="1"/>
          <w:bCs w:val="1"/>
          <w:color w:val="auto"/>
        </w:rPr>
      </w:pPr>
    </w:p>
    <w:p>
      <w:pPr>
        <w:ind w:left="1255" w:right="220" w:firstLine="3"/>
        <w:spacing w:after="0" w:line="289" w:lineRule="auto"/>
        <w:tabs>
          <w:tab w:leader="none" w:pos="189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Except as set forth in Section 2.3(b), the outstanding principal balance of each Equipment II Advance shall bear interest at a variable rate per annum equal to the Prime Rate plus 1.25%.</w:t>
      </w:r>
    </w:p>
    <w:p>
      <w:pPr>
        <w:spacing w:after="0" w:line="158" w:lineRule="exact"/>
        <w:rPr>
          <w:rFonts w:ascii="Arial" w:cs="Arial" w:eastAsia="Arial" w:hAnsi="Arial"/>
          <w:sz w:val="17"/>
          <w:szCs w:val="17"/>
          <w:color w:val="auto"/>
        </w:rPr>
      </w:pPr>
    </w:p>
    <w:p>
      <w:pPr>
        <w:ind w:left="635" w:hanging="635"/>
        <w:spacing w:after="0"/>
        <w:tabs>
          <w:tab w:leader="none" w:pos="635" w:val="left"/>
        </w:tabs>
        <w:numPr>
          <w:ilvl w:val="0"/>
          <w:numId w:val="202"/>
        </w:numPr>
        <w:rPr>
          <w:rFonts w:ascii="Arial" w:cs="Arial" w:eastAsia="Arial" w:hAnsi="Arial"/>
          <w:sz w:val="17"/>
          <w:szCs w:val="17"/>
          <w:b w:val="1"/>
          <w:bCs w:val="1"/>
          <w:color w:val="auto"/>
        </w:rPr>
      </w:pPr>
      <w:r>
        <w:rPr>
          <w:rFonts w:ascii="Arial" w:cs="Arial" w:eastAsia="Arial" w:hAnsi="Arial"/>
          <w:sz w:val="17"/>
          <w:szCs w:val="17"/>
          <w:color w:val="auto"/>
        </w:rPr>
        <w:t>The following is added to the end of Section 6.2(a) of the Agreement:</w:t>
      </w:r>
    </w:p>
    <w:p>
      <w:pPr>
        <w:spacing w:after="0" w:line="224" w:lineRule="exact"/>
        <w:rPr>
          <w:sz w:val="20"/>
          <w:szCs w:val="20"/>
          <w:color w:val="auto"/>
        </w:rPr>
      </w:pPr>
    </w:p>
    <w:p>
      <w:pPr>
        <w:ind w:left="1255" w:right="20"/>
        <w:spacing w:after="0" w:line="273" w:lineRule="auto"/>
        <w:rPr>
          <w:sz w:val="20"/>
          <w:szCs w:val="20"/>
          <w:color w:val="auto"/>
        </w:rPr>
      </w:pPr>
      <w:r>
        <w:rPr>
          <w:rFonts w:ascii="Arial" w:cs="Arial" w:eastAsia="Arial" w:hAnsi="Arial"/>
          <w:sz w:val="17"/>
          <w:szCs w:val="17"/>
          <w:color w:val="auto"/>
        </w:rPr>
        <w:t>Notwithstanding the foregoing, following Borrower’s initial public offering and for so long as Borrower is required to file its Form 10Q with the Securities Exchange Commission), in lieu of delivering monthly financial statements, Borrower shall deliver quarterly consolidated and consolidating financial statements (balance sheet,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181610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55" w:right="380"/>
        <w:spacing w:after="0" w:line="289" w:lineRule="auto"/>
        <w:rPr>
          <w:sz w:val="20"/>
          <w:szCs w:val="20"/>
          <w:color w:val="auto"/>
        </w:rPr>
      </w:pPr>
      <w:r>
        <w:rPr>
          <w:rFonts w:ascii="Arial" w:cs="Arial" w:eastAsia="Arial" w:hAnsi="Arial"/>
          <w:sz w:val="17"/>
          <w:szCs w:val="17"/>
          <w:color w:val="auto"/>
        </w:rPr>
        <w:t>statement and cash flow statement) to Bank on or before the date Borrower’s report on Form 10-Q is required to be filed with the Securities Exchange Commission.</w:t>
      </w:r>
    </w:p>
    <w:p>
      <w:pPr>
        <w:spacing w:after="0" w:line="158" w:lineRule="exact"/>
        <w:rPr>
          <w:sz w:val="20"/>
          <w:szCs w:val="20"/>
          <w:color w:val="auto"/>
        </w:rPr>
      </w:pPr>
    </w:p>
    <w:p>
      <w:pPr>
        <w:ind w:left="635" w:hanging="635"/>
        <w:spacing w:after="0"/>
        <w:tabs>
          <w:tab w:leader="none" w:pos="635" w:val="left"/>
        </w:tabs>
        <w:numPr>
          <w:ilvl w:val="0"/>
          <w:numId w:val="203"/>
        </w:numPr>
        <w:rPr>
          <w:rFonts w:ascii="Arial" w:cs="Arial" w:eastAsia="Arial" w:hAnsi="Arial"/>
          <w:sz w:val="17"/>
          <w:szCs w:val="17"/>
          <w:b w:val="1"/>
          <w:bCs w:val="1"/>
          <w:color w:val="auto"/>
        </w:rPr>
      </w:pPr>
      <w:r>
        <w:rPr>
          <w:rFonts w:ascii="Arial" w:cs="Arial" w:eastAsia="Arial" w:hAnsi="Arial"/>
          <w:sz w:val="17"/>
          <w:szCs w:val="17"/>
          <w:color w:val="auto"/>
        </w:rPr>
        <w:t>Section 6.6 of the Agreement is amended in its entirety to read as follows:</w:t>
      </w:r>
    </w:p>
    <w:p>
      <w:pPr>
        <w:spacing w:after="0" w:line="224" w:lineRule="exact"/>
        <w:rPr>
          <w:rFonts w:ascii="Arial" w:cs="Arial" w:eastAsia="Arial" w:hAnsi="Arial"/>
          <w:sz w:val="17"/>
          <w:szCs w:val="17"/>
          <w:b w:val="1"/>
          <w:bCs w:val="1"/>
          <w:color w:val="auto"/>
        </w:rPr>
      </w:pPr>
    </w:p>
    <w:p>
      <w:pPr>
        <w:ind w:left="1255"/>
        <w:spacing w:after="0"/>
        <w:rPr>
          <w:rFonts w:ascii="Arial" w:cs="Arial" w:eastAsia="Arial" w:hAnsi="Arial"/>
          <w:sz w:val="17"/>
          <w:szCs w:val="17"/>
          <w:b w:val="1"/>
          <w:bCs w:val="1"/>
          <w:color w:val="auto"/>
        </w:rPr>
      </w:pPr>
      <w:r>
        <w:rPr>
          <w:rFonts w:ascii="Arial" w:cs="Arial" w:eastAsia="Arial" w:hAnsi="Arial"/>
          <w:sz w:val="17"/>
          <w:szCs w:val="17"/>
          <w:color w:val="auto"/>
        </w:rPr>
        <w:t>6.6</w:t>
      </w:r>
      <w:r>
        <w:rPr>
          <w:rFonts w:ascii="Arial" w:cs="Arial" w:eastAsia="Arial" w:hAnsi="Arial"/>
          <w:sz w:val="16"/>
          <w:szCs w:val="16"/>
          <w:color w:val="auto"/>
        </w:rPr>
        <w:t>[Intentionally Omitted].</w:t>
      </w:r>
    </w:p>
    <w:p>
      <w:pPr>
        <w:spacing w:after="0" w:line="224" w:lineRule="exact"/>
        <w:rPr>
          <w:rFonts w:ascii="Arial" w:cs="Arial" w:eastAsia="Arial" w:hAnsi="Arial"/>
          <w:sz w:val="17"/>
          <w:szCs w:val="17"/>
          <w:b w:val="1"/>
          <w:bCs w:val="1"/>
          <w:color w:val="auto"/>
        </w:rPr>
      </w:pPr>
    </w:p>
    <w:p>
      <w:pPr>
        <w:ind w:left="635" w:hanging="635"/>
        <w:spacing w:after="0"/>
        <w:tabs>
          <w:tab w:leader="none" w:pos="635" w:val="left"/>
        </w:tabs>
        <w:numPr>
          <w:ilvl w:val="0"/>
          <w:numId w:val="203"/>
        </w:numPr>
        <w:rPr>
          <w:rFonts w:ascii="Arial" w:cs="Arial" w:eastAsia="Arial" w:hAnsi="Arial"/>
          <w:sz w:val="17"/>
          <w:szCs w:val="17"/>
          <w:b w:val="1"/>
          <w:bCs w:val="1"/>
          <w:color w:val="auto"/>
        </w:rPr>
      </w:pPr>
      <w:r>
        <w:rPr>
          <w:rFonts w:ascii="Arial" w:cs="Arial" w:eastAsia="Arial" w:hAnsi="Arial"/>
          <w:sz w:val="17"/>
          <w:szCs w:val="17"/>
          <w:color w:val="auto"/>
        </w:rPr>
        <w:t>Section 6.15 of the Agreement is amended in its entirety to read as follows:</w:t>
      </w:r>
    </w:p>
    <w:p>
      <w:pPr>
        <w:spacing w:after="0" w:line="224" w:lineRule="exact"/>
        <w:rPr>
          <w:sz w:val="20"/>
          <w:szCs w:val="20"/>
          <w:color w:val="auto"/>
        </w:rPr>
      </w:pPr>
    </w:p>
    <w:p>
      <w:pPr>
        <w:ind w:left="1255"/>
        <w:spacing w:after="0" w:line="262" w:lineRule="auto"/>
        <w:rPr>
          <w:sz w:val="20"/>
          <w:szCs w:val="20"/>
          <w:color w:val="auto"/>
        </w:rPr>
      </w:pPr>
      <w:r>
        <w:rPr>
          <w:rFonts w:ascii="Arial" w:cs="Arial" w:eastAsia="Arial" w:hAnsi="Arial"/>
          <w:sz w:val="17"/>
          <w:szCs w:val="17"/>
          <w:color w:val="auto"/>
        </w:rPr>
        <w:t>6.15 Minimum Debt Service Coverage. Borrower shall maintain a minimum ratio of EBITDASO on a consolidated basis for the trailing four quarter period to the sum of (x) all accrued interest payable in the same four quarter period plus (y) all principal payable in the same four quarter period on any Indebtedness (not including principal outstanding on any revolving lines of credit) owing by Borrower and its Subsidiaries to Bank or other financial institutions, of at least 1.25 to 1.00 (the “DSC Ratio”), measured on a quarterly basis. Notwithstanding the foregoing, Borrower’s failure to maintain the DSC Ratio shall not constitute an Event of Default if, within 60 days after the reporting period of such failure, Borrower receives cash proceeds from the sale and issuance of its equity and/or Subordinated Debt securities in an amount no less than the shortfall amount that caused Borrower’s failure to maintain the DSC Ratio.</w:t>
      </w:r>
    </w:p>
    <w:p>
      <w:pPr>
        <w:spacing w:after="0" w:line="184" w:lineRule="exact"/>
        <w:rPr>
          <w:sz w:val="20"/>
          <w:szCs w:val="20"/>
          <w:color w:val="auto"/>
        </w:rPr>
      </w:pPr>
    </w:p>
    <w:p>
      <w:pPr>
        <w:ind w:left="635" w:hanging="635"/>
        <w:spacing w:after="0"/>
        <w:tabs>
          <w:tab w:leader="none" w:pos="635"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Section 7.2 of the Agreement is amended in its entirety to read as follows:</w:t>
      </w:r>
    </w:p>
    <w:p>
      <w:pPr>
        <w:spacing w:after="0" w:line="224" w:lineRule="exact"/>
        <w:rPr>
          <w:sz w:val="20"/>
          <w:szCs w:val="20"/>
          <w:color w:val="auto"/>
        </w:rPr>
      </w:pPr>
    </w:p>
    <w:p>
      <w:pPr>
        <w:ind w:left="1255" w:right="20"/>
        <w:spacing w:after="0" w:line="263" w:lineRule="auto"/>
        <w:rPr>
          <w:sz w:val="20"/>
          <w:szCs w:val="20"/>
          <w:color w:val="auto"/>
        </w:rPr>
      </w:pPr>
      <w:r>
        <w:rPr>
          <w:rFonts w:ascii="Arial" w:cs="Arial" w:eastAsia="Arial" w:hAnsi="Arial"/>
          <w:sz w:val="17"/>
          <w:szCs w:val="17"/>
          <w:color w:val="auto"/>
        </w:rPr>
        <w:t>7.2 Change in Name or Executive Management; Change in Business; Change in Fiscal Year; Change in Control. (i) Change its name without 30 days prior written notification to Bank; or (ii) terminate or replace its chief executive officer or chief financial officer or other executive level officer without prior written approval of Bank (provided however Borrower need not comply with this clause (ii) following Borrower’s initial public offering and for so long as Borrower’s capital stock is publicly traded on a nationally recognized exchange market); or (iii) engage in any business, or permit any of its Subsidiaries to engage in any business, other than or reasonably related or incidental to the businesses currently engaged in by Borrower; or (iv) change its fiscal year end; or (v) have a Change in Control.</w:t>
      </w:r>
    </w:p>
    <w:p>
      <w:pPr>
        <w:spacing w:after="0" w:line="183" w:lineRule="exact"/>
        <w:rPr>
          <w:sz w:val="20"/>
          <w:szCs w:val="20"/>
          <w:color w:val="auto"/>
        </w:rPr>
      </w:pPr>
    </w:p>
    <w:p>
      <w:pPr>
        <w:ind w:left="615" w:hanging="615"/>
        <w:spacing w:after="0"/>
        <w:tabs>
          <w:tab w:leader="none" w:pos="615"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Exhibit B-6 attached hereto is incorporated in its entirety as Exhibit B-6 to the Agreement.</w:t>
      </w:r>
    </w:p>
    <w:p>
      <w:pPr>
        <w:spacing w:after="0" w:line="224" w:lineRule="exact"/>
        <w:rPr>
          <w:rFonts w:ascii="Arial" w:cs="Arial" w:eastAsia="Arial" w:hAnsi="Arial"/>
          <w:sz w:val="17"/>
          <w:szCs w:val="17"/>
          <w:b w:val="1"/>
          <w:bCs w:val="1"/>
          <w:color w:val="auto"/>
        </w:rPr>
      </w:pPr>
    </w:p>
    <w:p>
      <w:pPr>
        <w:ind w:left="-5" w:right="120" w:firstLine="5"/>
        <w:spacing w:after="0" w:line="265" w:lineRule="auto"/>
        <w:tabs>
          <w:tab w:leader="none" w:pos="610"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Unless otherwise defined, all initially capitalized terms in this Amendment shall be as defined in the Agreement. The Agreement, as amended hereby, shall be and remains in full force and effect in accordance with its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instruments, documents and agreements entered into in connection with the Agreement.</w:t>
      </w:r>
    </w:p>
    <w:p>
      <w:pPr>
        <w:spacing w:after="0" w:line="179" w:lineRule="exact"/>
        <w:rPr>
          <w:rFonts w:ascii="Arial" w:cs="Arial" w:eastAsia="Arial" w:hAnsi="Arial"/>
          <w:sz w:val="17"/>
          <w:szCs w:val="17"/>
          <w:b w:val="1"/>
          <w:bCs w:val="1"/>
          <w:color w:val="auto"/>
        </w:rPr>
      </w:pPr>
    </w:p>
    <w:p>
      <w:pPr>
        <w:ind w:left="-5" w:right="840" w:firstLine="5"/>
        <w:spacing w:after="0" w:line="289" w:lineRule="auto"/>
        <w:tabs>
          <w:tab w:leader="none" w:pos="620"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Borrower represents and warrants that the representations and warranties contained in the Agreement are true and correct as of the date of this Amendment, and that no Event of Default has occurred and is continuing.</w:t>
      </w:r>
    </w:p>
    <w:p>
      <w:pPr>
        <w:spacing w:after="0" w:line="158" w:lineRule="exact"/>
        <w:rPr>
          <w:rFonts w:ascii="Arial" w:cs="Arial" w:eastAsia="Arial" w:hAnsi="Arial"/>
          <w:sz w:val="17"/>
          <w:szCs w:val="17"/>
          <w:b w:val="1"/>
          <w:bCs w:val="1"/>
          <w:color w:val="auto"/>
        </w:rPr>
      </w:pPr>
    </w:p>
    <w:p>
      <w:pPr>
        <w:ind w:left="-5" w:right="120" w:firstLine="5"/>
        <w:spacing w:after="0" w:line="289" w:lineRule="auto"/>
        <w:tabs>
          <w:tab w:leader="none" w:pos="620"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This Amendment may be executed in two or more counterparts, each of which shall be deemed an original, but all of which together shall constitute one instrument.</w:t>
      </w:r>
    </w:p>
    <w:p>
      <w:pPr>
        <w:spacing w:after="0" w:line="158" w:lineRule="exact"/>
        <w:rPr>
          <w:rFonts w:ascii="Arial" w:cs="Arial" w:eastAsia="Arial" w:hAnsi="Arial"/>
          <w:sz w:val="17"/>
          <w:szCs w:val="17"/>
          <w:b w:val="1"/>
          <w:bCs w:val="1"/>
          <w:color w:val="auto"/>
        </w:rPr>
      </w:pPr>
    </w:p>
    <w:p>
      <w:pPr>
        <w:ind w:left="615" w:hanging="615"/>
        <w:spacing w:after="0"/>
        <w:tabs>
          <w:tab w:leader="none" w:pos="615"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As a condition to the effectiveness of this Amendment, Bank shall have received, in form and substance satisfactory to Bank, the following:</w:t>
      </w:r>
    </w:p>
    <w:p>
      <w:pPr>
        <w:spacing w:after="0" w:line="224" w:lineRule="exact"/>
        <w:rPr>
          <w:rFonts w:ascii="Arial" w:cs="Arial" w:eastAsia="Arial" w:hAnsi="Arial"/>
          <w:sz w:val="17"/>
          <w:szCs w:val="17"/>
          <w:b w:val="1"/>
          <w:bCs w:val="1"/>
          <w:color w:val="auto"/>
        </w:rPr>
      </w:pPr>
    </w:p>
    <w:p>
      <w:pPr>
        <w:ind w:left="1255" w:hanging="626"/>
        <w:spacing w:after="0"/>
        <w:tabs>
          <w:tab w:leader="none" w:pos="1255" w:val="left"/>
        </w:tabs>
        <w:numPr>
          <w:ilvl w:val="1"/>
          <w:numId w:val="205"/>
        </w:numPr>
        <w:rPr>
          <w:rFonts w:ascii="Arial" w:cs="Arial" w:eastAsia="Arial" w:hAnsi="Arial"/>
          <w:sz w:val="17"/>
          <w:szCs w:val="17"/>
          <w:color w:val="auto"/>
        </w:rPr>
      </w:pPr>
      <w:r>
        <w:rPr>
          <w:rFonts w:ascii="Arial" w:cs="Arial" w:eastAsia="Arial" w:hAnsi="Arial"/>
          <w:sz w:val="17"/>
          <w:szCs w:val="17"/>
          <w:color w:val="auto"/>
        </w:rPr>
        <w:t>this Amendment, duly executed by Borrower;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1275" w:hanging="646"/>
        <w:spacing w:after="0"/>
        <w:tabs>
          <w:tab w:leader="none" w:pos="1275" w:val="left"/>
        </w:tabs>
        <w:numPr>
          <w:ilvl w:val="1"/>
          <w:numId w:val="205"/>
        </w:numPr>
        <w:rPr>
          <w:rFonts w:ascii="Arial" w:cs="Arial" w:eastAsia="Arial" w:hAnsi="Arial"/>
          <w:sz w:val="17"/>
          <w:szCs w:val="17"/>
          <w:color w:val="auto"/>
        </w:rPr>
      </w:pPr>
      <w:r>
        <w:rPr>
          <w:rFonts w:ascii="Arial" w:cs="Arial" w:eastAsia="Arial" w:hAnsi="Arial"/>
          <w:sz w:val="17"/>
          <w:szCs w:val="17"/>
          <w:color w:val="auto"/>
        </w:rPr>
        <w:t>Corporate Resolutions and Incumbency Certification;</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1"/>
          <w:numId w:val="205"/>
        </w:numPr>
        <w:rPr>
          <w:rFonts w:ascii="Arial" w:cs="Arial" w:eastAsia="Arial" w:hAnsi="Arial"/>
          <w:sz w:val="17"/>
          <w:szCs w:val="17"/>
          <w:color w:val="auto"/>
        </w:rPr>
      </w:pPr>
      <w:r>
        <w:rPr>
          <w:rFonts w:ascii="Arial" w:cs="Arial" w:eastAsia="Arial" w:hAnsi="Arial"/>
          <w:sz w:val="17"/>
          <w:szCs w:val="17"/>
          <w:color w:val="auto"/>
        </w:rPr>
        <w:t>payment of an amendment fee of $12,500, plus all Bank Expenses incurred through the date of this Amendment; and</w:t>
      </w:r>
    </w:p>
    <w:p>
      <w:pPr>
        <w:spacing w:after="0" w:line="224" w:lineRule="exact"/>
        <w:rPr>
          <w:rFonts w:ascii="Arial" w:cs="Arial" w:eastAsia="Arial" w:hAnsi="Arial"/>
          <w:sz w:val="17"/>
          <w:szCs w:val="17"/>
          <w:color w:val="auto"/>
        </w:rPr>
      </w:pPr>
    </w:p>
    <w:p>
      <w:pPr>
        <w:ind w:left="1275" w:hanging="646"/>
        <w:spacing w:after="0"/>
        <w:tabs>
          <w:tab w:leader="none" w:pos="1275" w:val="left"/>
        </w:tabs>
        <w:numPr>
          <w:ilvl w:val="1"/>
          <w:numId w:val="205"/>
        </w:numPr>
        <w:rPr>
          <w:rFonts w:ascii="Arial" w:cs="Arial" w:eastAsia="Arial" w:hAnsi="Arial"/>
          <w:sz w:val="17"/>
          <w:szCs w:val="17"/>
          <w:color w:val="auto"/>
        </w:rPr>
      </w:pPr>
      <w:r>
        <w:rPr>
          <w:rFonts w:ascii="Arial" w:cs="Arial" w:eastAsia="Arial" w:hAnsi="Arial"/>
          <w:sz w:val="17"/>
          <w:szCs w:val="17"/>
          <w:color w:val="auto"/>
        </w:rPr>
        <w:t>such other documents, and completion of such other matters, as Bank may reasonably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-1024890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35"/>
        <w:spacing w:after="0"/>
        <w:rPr>
          <w:sz w:val="20"/>
          <w:szCs w:val="20"/>
          <w:color w:val="auto"/>
        </w:rPr>
      </w:pPr>
      <w:r>
        <w:rPr>
          <w:rFonts w:ascii="Arial" w:cs="Arial" w:eastAsia="Arial" w:hAnsi="Arial"/>
          <w:sz w:val="17"/>
          <w:szCs w:val="17"/>
          <w:color w:val="auto"/>
        </w:rPr>
        <w:t>IN WITNESS WHEREOF, the undersigned have executed this Amendment as of the first date above written.</w:t>
      </w:r>
    </w:p>
    <w:p>
      <w:pPr>
        <w:spacing w:after="0" w:line="224" w:lineRule="exact"/>
        <w:rPr>
          <w:sz w:val="20"/>
          <w:szCs w:val="20"/>
          <w:color w:val="auto"/>
        </w:rPr>
      </w:pPr>
    </w:p>
    <w:p>
      <w:pPr>
        <w:ind w:left="5715"/>
        <w:spacing w:after="0"/>
        <w:rPr>
          <w:sz w:val="20"/>
          <w:szCs w:val="20"/>
          <w:color w:val="auto"/>
        </w:rPr>
      </w:pPr>
      <w:r>
        <w:rPr>
          <w:rFonts w:ascii="Arial" w:cs="Arial" w:eastAsia="Arial" w:hAnsi="Arial"/>
          <w:sz w:val="17"/>
          <w:szCs w:val="17"/>
          <w:color w:val="auto"/>
        </w:rPr>
        <w:t>APPLIED OPTOELECTRONICS, INC.</w:t>
      </w:r>
    </w:p>
    <w:p>
      <w:pPr>
        <w:sectPr>
          <w:pgSz w:w="11900" w:h="16871" w:orient="portrait"/>
          <w:cols w:equalWidth="0" w:num="1">
            <w:col w:w="11395"/>
          </w:cols>
          <w:pgMar w:left="245" w:top="127" w:right="259" w:bottom="0" w:gutter="0" w:footer="0" w:header="0"/>
        </w:sectPr>
      </w:pPr>
    </w:p>
    <w:bookmarkStart w:id="229" w:name="page230"/>
    <w:bookmarkEnd w:id="229"/>
    <w:tbl>
      <w:tblPr>
        <w:tblLayout w:type="fixed"/>
        <w:tblInd w:w="572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Chih-Hsiang (Thompson) Lin</w:t>
            </w:r>
          </w:p>
        </w:tc>
      </w:tr>
      <w:tr>
        <w:trPr>
          <w:trHeight w:val="412"/>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CEO</w:t>
            </w:r>
          </w:p>
        </w:tc>
      </w:tr>
      <w:tr>
        <w:trPr>
          <w:trHeight w:val="419"/>
        </w:trPr>
        <w:tc>
          <w:tcPr>
            <w:tcW w:w="5700" w:type="dxa"/>
            <w:vAlign w:val="bottom"/>
            <w:gridSpan w:val="2"/>
          </w:tcPr>
          <w:p>
            <w:pPr>
              <w:spacing w:after="0"/>
              <w:rPr>
                <w:sz w:val="20"/>
                <w:szCs w:val="20"/>
                <w:color w:val="auto"/>
              </w:rPr>
            </w:pPr>
            <w:r>
              <w:rPr>
                <w:rFonts w:ascii="Arial" w:cs="Arial" w:eastAsia="Arial" w:hAnsi="Arial"/>
                <w:sz w:val="17"/>
                <w:szCs w:val="17"/>
                <w:color w:val="auto"/>
              </w:rPr>
              <w:t>EAST WEST BANK</w:t>
            </w:r>
          </w:p>
        </w:tc>
      </w:tr>
      <w:tr>
        <w:trPr>
          <w:trHeight w:val="629"/>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Lisa Chang</w:t>
            </w:r>
          </w:p>
        </w:tc>
      </w:tr>
      <w:tr>
        <w:trPr>
          <w:trHeight w:val="412"/>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8840" w:type="dxa"/>
            <w:vAlign w:val="bottom"/>
          </w:tcPr>
          <w:p>
            <w:pPr>
              <w:jc w:val="right"/>
              <w:ind w:right="5093"/>
              <w:spacing w:after="0"/>
              <w:rPr>
                <w:sz w:val="20"/>
                <w:szCs w:val="20"/>
                <w:color w:val="auto"/>
              </w:rPr>
            </w:pPr>
            <w:r>
              <w:rPr>
                <w:rFonts w:ascii="Arial" w:cs="Arial" w:eastAsia="Arial" w:hAnsi="Arial"/>
                <w:sz w:val="17"/>
                <w:szCs w:val="17"/>
                <w:b w:val="1"/>
                <w:bCs w:val="1"/>
                <w:color w:val="auto"/>
              </w:rPr>
              <w:t>EXHIBIT B-6</w:t>
            </w:r>
          </w:p>
        </w:tc>
      </w:tr>
      <w:tr>
        <w:trPr>
          <w:trHeight w:val="228"/>
        </w:trPr>
        <w:tc>
          <w:tcPr>
            <w:tcW w:w="2580" w:type="dxa"/>
            <w:vAlign w:val="bottom"/>
          </w:tcPr>
          <w:p>
            <w:pPr>
              <w:spacing w:after="0"/>
              <w:rPr>
                <w:sz w:val="19"/>
                <w:szCs w:val="19"/>
                <w:color w:val="auto"/>
              </w:rPr>
            </w:pPr>
          </w:p>
        </w:tc>
        <w:tc>
          <w:tcPr>
            <w:tcW w:w="8840" w:type="dxa"/>
            <w:vAlign w:val="bottom"/>
          </w:tcPr>
          <w:p>
            <w:pPr>
              <w:jc w:val="right"/>
              <w:ind w:right="4273"/>
              <w:spacing w:after="0"/>
              <w:rPr>
                <w:sz w:val="20"/>
                <w:szCs w:val="20"/>
                <w:color w:val="auto"/>
              </w:rPr>
            </w:pPr>
            <w:r>
              <w:rPr>
                <w:rFonts w:ascii="Arial" w:cs="Arial" w:eastAsia="Arial" w:hAnsi="Arial"/>
                <w:sz w:val="17"/>
                <w:szCs w:val="17"/>
                <w:b w:val="1"/>
                <w:bCs w:val="1"/>
                <w:color w:val="auto"/>
              </w:rPr>
              <w:t>EQUIPMENT II ADVANCE NOTE</w:t>
            </w:r>
          </w:p>
        </w:tc>
      </w:tr>
      <w:tr>
        <w:trPr>
          <w:trHeight w:val="408"/>
        </w:trPr>
        <w:tc>
          <w:tcPr>
            <w:tcW w:w="2580" w:type="dxa"/>
            <w:vAlign w:val="bottom"/>
          </w:tcPr>
          <w:p>
            <w:pPr>
              <w:jc w:val="right"/>
              <w:ind w:right="1693"/>
              <w:spacing w:after="0"/>
              <w:rPr>
                <w:sz w:val="20"/>
                <w:szCs w:val="20"/>
                <w:color w:val="auto"/>
              </w:rPr>
            </w:pPr>
            <w:r>
              <w:rPr>
                <w:rFonts w:ascii="Arial" w:cs="Arial" w:eastAsia="Arial" w:hAnsi="Arial"/>
                <w:sz w:val="17"/>
                <w:szCs w:val="17"/>
                <w:color w:val="auto"/>
                <w:w w:val="91"/>
              </w:rPr>
              <w:t>$5,000,000</w:t>
            </w:r>
          </w:p>
        </w:tc>
        <w:tc>
          <w:tcPr>
            <w:tcW w:w="8840" w:type="dxa"/>
            <w:vAlign w:val="bottom"/>
          </w:tcPr>
          <w:p>
            <w:pPr>
              <w:jc w:val="right"/>
              <w:spacing w:after="0"/>
              <w:rPr>
                <w:sz w:val="20"/>
                <w:szCs w:val="20"/>
                <w:color w:val="auto"/>
              </w:rPr>
            </w:pPr>
            <w:r>
              <w:rPr>
                <w:rFonts w:ascii="Arial" w:cs="Arial" w:eastAsia="Arial" w:hAnsi="Arial"/>
                <w:sz w:val="17"/>
                <w:szCs w:val="17"/>
                <w:color w:val="auto"/>
              </w:rPr>
              <w:t>September    , 2013</w:t>
            </w:r>
          </w:p>
        </w:tc>
      </w:tr>
      <w:tr>
        <w:trPr>
          <w:trHeight w:val="222"/>
        </w:trPr>
        <w:tc>
          <w:tcPr>
            <w:tcW w:w="2580" w:type="dxa"/>
            <w:vAlign w:val="bottom"/>
          </w:tcPr>
          <w:p>
            <w:pPr>
              <w:spacing w:after="0"/>
              <w:rPr>
                <w:sz w:val="19"/>
                <w:szCs w:val="19"/>
                <w:color w:val="auto"/>
              </w:rPr>
            </w:pPr>
          </w:p>
        </w:tc>
        <w:tc>
          <w:tcPr>
            <w:tcW w:w="8840" w:type="dxa"/>
            <w:vAlign w:val="bottom"/>
          </w:tcPr>
          <w:p>
            <w:pPr>
              <w:jc w:val="right"/>
              <w:spacing w:after="0"/>
              <w:rPr>
                <w:sz w:val="20"/>
                <w:szCs w:val="20"/>
                <w:color w:val="auto"/>
              </w:rPr>
            </w:pPr>
            <w:r>
              <w:rPr>
                <w:rFonts w:ascii="Arial" w:cs="Arial" w:eastAsia="Arial" w:hAnsi="Arial"/>
                <w:sz w:val="17"/>
                <w:szCs w:val="17"/>
                <w:color w:val="auto"/>
              </w:rPr>
              <w:t>Santa Clara, California</w:t>
            </w:r>
          </w:p>
        </w:tc>
      </w:tr>
    </w:tbl>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Applied Optoelectronics, Inc.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HEREBY PROMISES TO PAY </w:t>
      </w:r>
      <w:r>
        <w:rPr>
          <w:rFonts w:ascii="Arial" w:cs="Arial" w:eastAsia="Arial" w:hAnsi="Arial"/>
          <w:sz w:val="17"/>
          <w:szCs w:val="17"/>
          <w:color w:val="auto"/>
        </w:rPr>
        <w:t>to the order of 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West Bank (the “</w:t>
      </w:r>
      <w:r>
        <w:rPr>
          <w:rFonts w:ascii="Arial" w:cs="Arial" w:eastAsia="Arial" w:hAnsi="Arial"/>
          <w:sz w:val="16"/>
          <w:szCs w:val="16"/>
          <w:b w:val="1"/>
          <w:bCs w:val="1"/>
          <w:i w:val="1"/>
          <w:iCs w:val="1"/>
          <w:color w:val="auto"/>
        </w:rPr>
        <w:t>Bank”</w:t>
      </w:r>
      <w:r>
        <w:rPr>
          <w:rFonts w:ascii="Arial" w:cs="Arial" w:eastAsia="Arial" w:hAnsi="Arial"/>
          <w:sz w:val="16"/>
          <w:szCs w:val="16"/>
          <w:color w:val="auto"/>
        </w:rPr>
        <w:t>) at its Principal Office located at 2350 Mission College Blvd., Suite 988, Santa Clara, California 95054, or at such other place as Bank</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may from time to time designate in writing, in lawful money of the United States and in immediately available funds, the principal amount of </w:t>
      </w:r>
      <w:r>
        <w:rPr>
          <w:rFonts w:ascii="Arial" w:cs="Arial" w:eastAsia="Arial" w:hAnsi="Arial"/>
          <w:sz w:val="16"/>
          <w:szCs w:val="16"/>
          <w:b w:val="1"/>
          <w:bCs w:val="1"/>
          <w:color w:val="auto"/>
        </w:rPr>
        <w:t>FIVE MILLION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DOLLARS </w:t>
      </w:r>
      <w:r>
        <w:rPr>
          <w:rFonts w:ascii="Arial" w:cs="Arial" w:eastAsia="Arial" w:hAnsi="Arial"/>
          <w:sz w:val="16"/>
          <w:szCs w:val="16"/>
          <w:color w:val="auto"/>
        </w:rPr>
        <w:t>($5,000,000) or so much of the Equipment II Advances (as defined in the Loan Agreement (defined below)) as may be advanced from time to time,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together with interest from the date of disbursement computed on the principal balances hereof from time to time outstanding as set forth in the Amended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Restated Loan and Security Agreement by and between Bank and Borrower dated as of June 30, 2009 and as amended from time to time (the “</w:t>
      </w:r>
      <w:r>
        <w:rPr>
          <w:rFonts w:ascii="Arial" w:cs="Arial" w:eastAsia="Arial" w:hAnsi="Arial"/>
          <w:sz w:val="17"/>
          <w:szCs w:val="17"/>
          <w:b w:val="1"/>
          <w:bCs w:val="1"/>
          <w:i w:val="1"/>
          <w:iCs w:val="1"/>
          <w:color w:val="auto"/>
        </w:rPr>
        <w:t>Loan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The Loan Agreement is incorporated herein by this reference in its entirety. Capitalized terms used but not otherwise defined herein are used in this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Equipment II Advance Note as defined in the Loan Agreement.</w:t>
      </w:r>
    </w:p>
    <w:p>
      <w:pPr>
        <w:spacing w:after="0" w:line="212"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This Equipment II Advance Note (the “</w:t>
      </w:r>
      <w:r>
        <w:rPr>
          <w:rFonts w:ascii="Arial" w:cs="Arial" w:eastAsia="Arial" w:hAnsi="Arial"/>
          <w:sz w:val="17"/>
          <w:szCs w:val="17"/>
          <w:b w:val="1"/>
          <w:bCs w:val="1"/>
          <w:i w:val="1"/>
          <w:iCs w:val="1"/>
          <w:color w:val="auto"/>
        </w:rPr>
        <w:t>Equipment II Advance Note”</w:t>
      </w:r>
      <w:r>
        <w:rPr>
          <w:rFonts w:ascii="Arial" w:cs="Arial" w:eastAsia="Arial" w:hAnsi="Arial"/>
          <w:sz w:val="17"/>
          <w:szCs w:val="17"/>
          <w:color w:val="auto"/>
        </w:rPr>
        <w:t>) is entitled to the benefits of, the Loan Agreement. The Loan Agreement, among other things, contains provisions for acceleration of the maturity of this Equipment Advance Note upon the happening of certain stated events and also for prepayments on account of principal hereof prior to the maturity of this Equipment II Advance Note upon the terms and conditions specified in the Loan Agreement. This Equipment II Advance Note is also secured by the Collateral described in the Loan Agreement, and reference to the Loan Agreement is hereby made for a description of the rights of Borrower and Bank in respect to such Collateral.</w:t>
      </w:r>
    </w:p>
    <w:p>
      <w:pPr>
        <w:spacing w:after="0" w:line="179"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Borrower further promises to pay interest on the unpaid principal amount hereof outstanding from time to time from the date hereof until payment in full hereof at the rate (or rates) from time to time applicable to the Equipment II Advances as determined in accordance with the Loan Agreement. Interest shall be calculated on the basis of a three hundred sixty (360)-day year for the actual days elapsed.</w:t>
      </w:r>
    </w:p>
    <w:p>
      <w:pPr>
        <w:spacing w:after="0" w:line="172" w:lineRule="exact"/>
        <w:rPr>
          <w:sz w:val="20"/>
          <w:szCs w:val="20"/>
          <w:color w:val="auto"/>
        </w:rPr>
      </w:pPr>
    </w:p>
    <w:p>
      <w:pPr>
        <w:jc w:val="both"/>
        <w:ind w:right="220" w:firstLine="629"/>
        <w:spacing w:after="0" w:line="298" w:lineRule="auto"/>
        <w:rPr>
          <w:sz w:val="20"/>
          <w:szCs w:val="20"/>
          <w:color w:val="auto"/>
        </w:rPr>
      </w:pPr>
      <w:r>
        <w:rPr>
          <w:rFonts w:ascii="Arial" w:cs="Arial" w:eastAsia="Arial" w:hAnsi="Arial"/>
          <w:sz w:val="16"/>
          <w:szCs w:val="16"/>
          <w:color w:val="auto"/>
        </w:rPr>
        <w:t>Borrower waives demand, presentment and protest, and notice of demand, presentment, protest and nonpayment. Except as otherwise provided in the Loan Agreement or other Loan Documents, Borrower waives all rights to notice and hearing of any kind upon the occurrence of an Event of Default prior to the exercise by Bank of its rights to repossess the Collateral without judicial process or to replevy, attach or levy upon the Collateral without notice or hearing.</w:t>
      </w:r>
    </w:p>
    <w:p>
      <w:pPr>
        <w:spacing w:after="0" w:line="154" w:lineRule="exact"/>
        <w:rPr>
          <w:sz w:val="20"/>
          <w:szCs w:val="20"/>
          <w:color w:val="auto"/>
        </w:rPr>
      </w:pPr>
    </w:p>
    <w:p>
      <w:pPr>
        <w:ind w:right="360" w:firstLine="629"/>
        <w:spacing w:after="0" w:line="273" w:lineRule="auto"/>
        <w:rPr>
          <w:sz w:val="20"/>
          <w:szCs w:val="20"/>
          <w:color w:val="auto"/>
        </w:rPr>
      </w:pPr>
      <w:r>
        <w:rPr>
          <w:rFonts w:ascii="Arial" w:cs="Arial" w:eastAsia="Arial" w:hAnsi="Arial"/>
          <w:sz w:val="17"/>
          <w:szCs w:val="17"/>
          <w:color w:val="auto"/>
        </w:rPr>
        <w:t>If this Equipment II Advance Note is not paid when due, whether at its specified or accelerated maturity date, Borrower promises to pay all costs of collection and enforcement of this Equipment II Advance Note, including, but not limited to, reasonable attorneys’ fees and costs, incurred by Bank hereof on account of such collection or enforcement, whether or not suit is filed hereon.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Equipment II Advance Note shall be governed and construed in accordance with the laws of the State of California.</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and delivered this Equipment II Advance Note as of the date and year first above written.</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APPLIED OPTOELECTRONICS, INC.</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17145</wp:posOffset>
            </wp:positionV>
            <wp:extent cx="32467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17145</wp:posOffset>
            </wp:positionV>
            <wp:extent cx="32467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467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222885</wp:posOffset>
            </wp:positionV>
            <wp:extent cx="727138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230" w:name="page231"/>
    <w:bookmarkEnd w:id="230"/>
    <w:p>
      <w:pPr>
        <w:spacing w:after="0"/>
        <w:rPr>
          <w:rFonts w:ascii="Arial" w:cs="Arial" w:eastAsia="Arial" w:hAnsi="Arial"/>
          <w:sz w:val="21"/>
          <w:szCs w:val="21"/>
          <w:color w:val="0000EE"/>
        </w:rPr>
      </w:pPr>
      <w:hyperlink w:anchor="page232">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ind w:right="300" w:firstLine="338"/>
        <w:spacing w:after="0" w:line="322" w:lineRule="auto"/>
        <w:rPr>
          <w:sz w:val="20"/>
          <w:szCs w:val="20"/>
          <w:color w:val="auto"/>
        </w:rPr>
      </w:pPr>
      <w:r>
        <w:rPr>
          <w:rFonts w:ascii="Arial" w:cs="Arial" w:eastAsia="Arial" w:hAnsi="Arial"/>
          <w:sz w:val="15"/>
          <w:szCs w:val="15"/>
          <w:color w:val="auto"/>
        </w:rPr>
        <w:t>We have issued our report dated May 21, 2013, except for the reverse stock split described in Notes B and T and the effects thereof, as to which the date is August 27, 2013 with respect to the consolidated financial statements of Applied Optoelectronics, Inc. contained in the Registration Statement and Prospectus. We consent to the use of the aforementioned report in the Registration Statement and Prospectus, and to the use of our name as it appears under the caption "Experts."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725487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231" w:name="page232"/>
    <w:bookmarkEnd w:id="231"/>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jc w:val="right"/>
        <w:ind w:right="8839"/>
        <w:spacing w:after="0"/>
        <w:rPr>
          <w:rFonts w:ascii="Arial" w:cs="Arial" w:eastAsia="Arial" w:hAnsi="Arial"/>
          <w:sz w:val="17"/>
          <w:szCs w:val="17"/>
          <w:u w:val="single" w:color="auto"/>
          <w:color w:val="0000EE"/>
        </w:rPr>
      </w:pPr>
      <w:hyperlink w:anchor="page231">
        <w:r>
          <w:rPr>
            <w:rFonts w:ascii="Arial" w:cs="Arial" w:eastAsia="Arial" w:hAnsi="Arial"/>
            <w:sz w:val="17"/>
            <w:szCs w:val="17"/>
            <w:u w:val="single" w:color="auto"/>
            <w:color w:val="0000EE"/>
          </w:rPr>
          <w:t>Exhibit 23.1</w:t>
        </w:r>
      </w:hyperlink>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
      <w:numFmt w:val="bullet"/>
      <w:start w:val="1"/>
    </w:lvl>
  </w:abstractNum>
  <w:abstractNum w:abstractNumId="4">
    <w:nsid w:val="9DAF632"/>
    <w:multiLevelType w:val="hybridMultilevel"/>
    <w:lvl w:ilvl="0">
      <w:lvlJc w:val="left"/>
      <w:lvlText w:val="•"/>
      <w:numFmt w:val="bullet"/>
      <w:start w:val="1"/>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
      <w:numFmt w:val="bullet"/>
      <w:start w:val="1"/>
    </w:lvl>
  </w:abstractNum>
  <w:abstractNum w:abstractNumId="9">
    <w:nsid w:val="59ADEA3D"/>
    <w:multiLevelType w:val="hybridMultilevel"/>
    <w:lvl w:ilvl="0">
      <w:lvlJc w:val="left"/>
      <w:lvlText w:val="(%1)"/>
      <w:numFmt w:val="decimal"/>
      <w:start w:val="1"/>
    </w:lvl>
  </w:abstractNum>
  <w:abstractNum w:abstractNumId="10">
    <w:nsid w:val="288F1A34"/>
    <w:multiLevelType w:val="hybridMultilevel"/>
    <w:lvl w:ilvl="0">
      <w:lvlJc w:val="left"/>
      <w:lvlText w:val="(%1)"/>
      <w:numFmt w:val="decimal"/>
      <w:start w:val="2"/>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1)"/>
      <w:numFmt w:val="decimal"/>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
      <w:numFmt w:val="bullet"/>
      <w:start w:val="1"/>
    </w:lvl>
  </w:abstractNum>
  <w:abstractNum w:abstractNumId="15">
    <w:nsid w:val="1CA0C5FA"/>
    <w:multiLevelType w:val="hybridMultilevel"/>
    <w:lvl w:ilvl="0">
      <w:lvlJc w:val="left"/>
      <w:lvlText w:val="•"/>
      <w:numFmt w:val="bullet"/>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
      <w:numFmt w:val="bullet"/>
      <w:start w:val="1"/>
    </w:lvl>
  </w:abstractNum>
  <w:abstractNum w:abstractNumId="19">
    <w:nsid w:val="23D86AAC"/>
    <w:multiLevelType w:val="hybridMultilevel"/>
    <w:lvl w:ilvl="0">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1)"/>
      <w:numFmt w:val="decimal"/>
      <w:start w:val="1"/>
    </w:lvl>
  </w:abstractNum>
  <w:abstractNum w:abstractNumId="25">
    <w:nsid w:val="78DF6A55"/>
    <w:multiLevelType w:val="hybridMultilevel"/>
    <w:lvl w:ilvl="0">
      <w:lvlJc w:val="left"/>
      <w:lvlText w:val="(%1)"/>
      <w:numFmt w:val="decimal"/>
      <w:start w:val="6"/>
    </w:lvl>
  </w:abstractNum>
  <w:abstractNum w:abstractNumId="26">
    <w:nsid w:val="39B7AAA2"/>
    <w:multiLevelType w:val="hybridMultilevel"/>
    <w:lvl w:ilvl="0">
      <w:lvlJc w:val="left"/>
      <w:lvlText w:val="•"/>
      <w:numFmt w:val="bullet"/>
      <w:start w:val="1"/>
    </w:lvl>
  </w:abstractNum>
  <w:abstractNum w:abstractNumId="27">
    <w:nsid w:val="2B0D8DBE"/>
    <w:multiLevelType w:val="hybridMultilevel"/>
    <w:lvl w:ilvl="0">
      <w:lvlJc w:val="left"/>
      <w:lvlText w:val="•"/>
      <w:numFmt w:val="bullet"/>
      <w:start w:val="1"/>
    </w:lvl>
  </w:abstractNum>
  <w:abstractNum w:abstractNumId="28">
    <w:nsid w:val="6C80EC70"/>
    <w:multiLevelType w:val="hybridMultilevel"/>
    <w:lvl w:ilvl="0">
      <w:lvlJc w:val="left"/>
      <w:lvlText w:val="(%1)"/>
      <w:numFmt w:val="decimal"/>
      <w:start w:val="1"/>
    </w:lvl>
  </w:abstractNum>
  <w:abstractNum w:abstractNumId="29">
    <w:nsid w:val="379E21B5"/>
    <w:multiLevelType w:val="hybridMultilevel"/>
    <w:lvl w:ilvl="0">
      <w:lvlJc w:val="left"/>
      <w:lvlText w:val="(%1)"/>
      <w:numFmt w:val="decimal"/>
      <w:start w:val="1"/>
    </w:lvl>
  </w:abstractNum>
  <w:abstractNum w:abstractNumId="30">
    <w:nsid w:val="69E373"/>
    <w:multiLevelType w:val="hybridMultilevel"/>
    <w:lvl w:ilvl="0">
      <w:lvlJc w:val="left"/>
      <w:lvlText w:val="(%1)"/>
      <w:numFmt w:val="decimal"/>
      <w:start w:val="1"/>
    </w:lvl>
  </w:abstractNum>
  <w:abstractNum w:abstractNumId="31">
    <w:nsid w:val="2C27173B"/>
    <w:multiLevelType w:val="hybridMultilevel"/>
    <w:lvl w:ilvl="0">
      <w:lvlJc w:val="left"/>
      <w:lvlText w:val="(%1)"/>
      <w:numFmt w:val="decimal"/>
      <w:start w:val="2"/>
    </w:lvl>
    <w:lvl w:ilvl="1">
      <w:lvlJc w:val="left"/>
      <w:lvlText w:val="•"/>
      <w:numFmt w:val="bullet"/>
      <w:start w:val="1"/>
    </w:lvl>
  </w:abstractNum>
  <w:abstractNum w:abstractNumId="32">
    <w:nsid w:val="4C9B0904"/>
    <w:multiLevelType w:val="hybridMultilevel"/>
    <w:lvl w:ilvl="0">
      <w:lvlJc w:val="left"/>
      <w:lvlText w:val="(%1)"/>
      <w:numFmt w:val="decimal"/>
      <w:start w:val="1"/>
    </w:lvl>
  </w:abstractNum>
  <w:abstractNum w:abstractNumId="33">
    <w:nsid w:val="6AA7B75C"/>
    <w:multiLevelType w:val="hybridMultilevel"/>
    <w:lvl w:ilvl="0">
      <w:lvlJc w:val="left"/>
      <w:lvlText w:val="(%1)"/>
      <w:numFmt w:val="decimal"/>
      <w:start w:val="2"/>
    </w:lvl>
  </w:abstractNum>
  <w:abstractNum w:abstractNumId="34">
    <w:nsid w:val="1DF029D3"/>
    <w:multiLevelType w:val="hybridMultilevel"/>
    <w:lvl w:ilvl="0">
      <w:lvlJc w:val="left"/>
      <w:lvlText w:val="(%1)"/>
      <w:numFmt w:val="decimal"/>
      <w:start w:val="1"/>
    </w:lvl>
  </w:abstractNum>
  <w:abstractNum w:abstractNumId="35">
    <w:nsid w:val="5675FF36"/>
    <w:multiLevelType w:val="hybridMultilevel"/>
    <w:lvl w:ilvl="0">
      <w:lvlJc w:val="left"/>
      <w:lvlText w:val="•"/>
      <w:numFmt w:val="bullet"/>
      <w:start w:val="1"/>
    </w:lvl>
  </w:abstractNum>
  <w:abstractNum w:abstractNumId="36">
    <w:nsid w:val="3DD15094"/>
    <w:multiLevelType w:val="hybridMultilevel"/>
    <w:lvl w:ilvl="0">
      <w:lvlJc w:val="left"/>
      <w:lvlText w:val="(%1)"/>
      <w:numFmt w:val="decimal"/>
      <w:start w:val="1"/>
    </w:lvl>
  </w:abstractNum>
  <w:abstractNum w:abstractNumId="37">
    <w:nsid w:val="3DB012B3"/>
    <w:multiLevelType w:val="hybridMultilevel"/>
    <w:lvl w:ilvl="0">
      <w:lvlJc w:val="left"/>
      <w:lvlText w:val="•"/>
      <w:numFmt w:val="bullet"/>
      <w:start w:val="1"/>
    </w:lvl>
  </w:abstractNum>
  <w:abstractNum w:abstractNumId="38">
    <w:nsid w:val="2708C9AF"/>
    <w:multiLevelType w:val="hybridMultilevel"/>
    <w:lvl w:ilvl="0">
      <w:lvlJc w:val="left"/>
      <w:lvlText w:val="•"/>
      <w:numFmt w:val="bullet"/>
      <w:start w:val="1"/>
    </w:lvl>
  </w:abstractNum>
  <w:abstractNum w:abstractNumId="39">
    <w:nsid w:val="5B25ACE2"/>
    <w:multiLevelType w:val="hybridMultilevel"/>
    <w:lvl w:ilvl="0">
      <w:lvlJc w:val="left"/>
      <w:lvlText w:val="•"/>
      <w:numFmt w:val="bullet"/>
      <w:start w:val="1"/>
    </w:lvl>
  </w:abstractNum>
  <w:abstractNum w:abstractNumId="40">
    <w:nsid w:val="175DFCF0"/>
    <w:multiLevelType w:val="hybridMultilevel"/>
    <w:lvl w:ilvl="0">
      <w:lvlJc w:val="left"/>
      <w:lvlText w:val="•"/>
      <w:numFmt w:val="bullet"/>
      <w:start w:val="1"/>
    </w:lvl>
  </w:abstractNum>
  <w:abstractNum w:abstractNumId="41">
    <w:nsid w:val="4F97E3E4"/>
    <w:multiLevelType w:val="hybridMultilevel"/>
    <w:lvl w:ilvl="0">
      <w:lvlJc w:val="left"/>
      <w:lvlText w:val="•"/>
      <w:numFmt w:val="bullet"/>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w:numFmt w:val="bullet"/>
      <w:start w:val="1"/>
    </w:lvl>
  </w:abstractNum>
  <w:abstractNum w:abstractNumId="44">
    <w:nsid w:val="5915FF32"/>
    <w:multiLevelType w:val="hybridMultilevel"/>
    <w:lvl w:ilvl="0">
      <w:lvlJc w:val="left"/>
      <w:lvlText w:val="•"/>
      <w:numFmt w:val="bullet"/>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
      <w:numFmt w:val="bullet"/>
      <w:start w:val="1"/>
    </w:lvl>
  </w:abstractNum>
  <w:abstractNum w:abstractNumId="47">
    <w:nsid w:val="2C6E4AFD"/>
    <w:multiLevelType w:val="hybridMultilevel"/>
    <w:lvl w:ilvl="0">
      <w:lvlJc w:val="left"/>
      <w:lvlText w:val="•"/>
      <w:numFmt w:val="bullet"/>
      <w:start w:val="1"/>
    </w:lvl>
  </w:abstractNum>
  <w:abstractNum w:abstractNumId="48">
    <w:nsid w:val="17A1B582"/>
    <w:multiLevelType w:val="hybridMultilevel"/>
    <w:lvl w:ilvl="0">
      <w:lvlJc w:val="left"/>
      <w:lvlText w:val="•"/>
      <w:numFmt w:val="bullet"/>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
      <w:numFmt w:val="bullet"/>
      <w:start w:val="1"/>
    </w:lvl>
  </w:abstractNum>
  <w:abstractNum w:abstractNumId="51">
    <w:nsid w:val="5D888A08"/>
    <w:multiLevelType w:val="hybridMultilevel"/>
    <w:lvl w:ilvl="0">
      <w:lvlJc w:val="left"/>
      <w:lvlText w:val="•"/>
      <w:numFmt w:val="bullet"/>
      <w:start w:val="1"/>
    </w:lvl>
  </w:abstractNum>
  <w:abstractNum w:abstractNumId="52">
    <w:nsid w:val="2A082C70"/>
    <w:multiLevelType w:val="hybridMultilevel"/>
    <w:lvl w:ilvl="0">
      <w:lvlJc w:val="left"/>
      <w:lvlText w:val="(%1)"/>
      <w:numFmt w:val="decimal"/>
      <w:start w:val="1"/>
    </w:lvl>
  </w:abstractNum>
  <w:abstractNum w:abstractNumId="53">
    <w:nsid w:val="5EC6AFD4"/>
    <w:multiLevelType w:val="hybridMultilevel"/>
    <w:lvl w:ilvl="0">
      <w:lvlJc w:val="left"/>
      <w:lvlText w:val="(%1)"/>
      <w:numFmt w:val="decimal"/>
      <w:start w:val="1"/>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1)"/>
      <w:numFmt w:val="decimal"/>
      <w:start w:val="1"/>
    </w:lvl>
  </w:abstractNum>
  <w:abstractNum w:abstractNumId="56">
    <w:nsid w:val="57A61A29"/>
    <w:multiLevelType w:val="hybridMultilevel"/>
    <w:lvl w:ilvl="0">
      <w:lvlJc w:val="left"/>
      <w:lvlText w:val="•"/>
      <w:numFmt w:val="bullet"/>
      <w:start w:val="1"/>
    </w:lvl>
  </w:abstractNum>
  <w:abstractNum w:abstractNumId="57">
    <w:nsid w:val="5399C654"/>
    <w:multiLevelType w:val="hybridMultilevel"/>
    <w:lvl w:ilvl="0">
      <w:lvlJc w:val="left"/>
      <w:lvlText w:val="•"/>
      <w:numFmt w:val="bullet"/>
      <w:start w:val="1"/>
    </w:lvl>
  </w:abstractNum>
  <w:abstractNum w:abstractNumId="58">
    <w:nsid w:val="20EE1348"/>
    <w:multiLevelType w:val="hybridMultilevel"/>
    <w:lvl w:ilvl="0">
      <w:lvlJc w:val="left"/>
      <w:lvlText w:val="•"/>
      <w:numFmt w:val="bullet"/>
      <w:start w:val="1"/>
    </w:lvl>
  </w:abstractNum>
  <w:abstractNum w:abstractNumId="59">
    <w:nsid w:val="4427069A"/>
    <w:multiLevelType w:val="hybridMultilevel"/>
    <w:lvl w:ilvl="0">
      <w:lvlJc w:val="left"/>
      <w:lvlText w:val="(%1)"/>
      <w:numFmt w:val="decimal"/>
      <w:start w:val="1"/>
    </w:lvl>
  </w:abstractNum>
  <w:abstractNum w:abstractNumId="60">
    <w:nsid w:val="B37E80A"/>
    <w:multiLevelType w:val="hybridMultilevel"/>
    <w:lvl w:ilvl="0">
      <w:lvlJc w:val="left"/>
      <w:lvlText w:val="(%1)"/>
      <w:numFmt w:val="decimal"/>
      <w:start w:val="1"/>
    </w:lvl>
  </w:abstractNum>
  <w:abstractNum w:abstractNumId="61">
    <w:nsid w:val="2157F6BC"/>
    <w:multiLevelType w:val="hybridMultilevel"/>
    <w:lvl w:ilvl="0">
      <w:lvlJc w:val="left"/>
      <w:lvlText w:val="(%1)"/>
      <w:numFmt w:val="decimal"/>
      <w:start w:val="3"/>
    </w:lvl>
  </w:abstractNum>
  <w:abstractNum w:abstractNumId="62">
    <w:nsid w:val="704E1DD5"/>
    <w:multiLevelType w:val="hybridMultilevel"/>
    <w:lvl w:ilvl="0">
      <w:lvlJc w:val="left"/>
      <w:lvlText w:val="(%1)"/>
      <w:numFmt w:val="decimal"/>
      <w:start w:val="15"/>
    </w:lvl>
  </w:abstractNum>
  <w:abstractNum w:abstractNumId="63">
    <w:nsid w:val="57D2F10E"/>
    <w:multiLevelType w:val="hybridMultilevel"/>
    <w:lvl w:ilvl="0">
      <w:lvlJc w:val="left"/>
      <w:lvlText w:val="(%1)"/>
      <w:numFmt w:val="lowerRoman"/>
      <w:start w:val="1"/>
    </w:lvl>
  </w:abstractNum>
  <w:abstractNum w:abstractNumId="64">
    <w:nsid w:val="BFFAE18"/>
    <w:multiLevelType w:val="hybridMultilevel"/>
    <w:lvl w:ilvl="0">
      <w:lvlJc w:val="left"/>
      <w:lvlText w:val="(%1)"/>
      <w:numFmt w:val="lowerRoman"/>
      <w:start w:val="5"/>
    </w:lvl>
  </w:abstractNum>
  <w:abstractNum w:abstractNumId="65">
    <w:nsid w:val="E3E47A8"/>
    <w:multiLevelType w:val="hybridMultilevel"/>
    <w:lvl w:ilvl="0">
      <w:lvlJc w:val="left"/>
      <w:lvlText w:val="(%1)"/>
      <w:numFmt w:val="lowerRoman"/>
      <w:start w:val="2"/>
    </w:lvl>
  </w:abstractNum>
  <w:abstractNum w:abstractNumId="66">
    <w:nsid w:val="2E48F044"/>
    <w:multiLevelType w:val="hybridMultilevel"/>
    <w:lvl w:ilvl="0">
      <w:lvlJc w:val="left"/>
      <w:lvlText w:val="•"/>
      <w:numFmt w:val="bullet"/>
      <w:start w:val="1"/>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
      <w:numFmt w:val="bullet"/>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1)"/>
      <w:numFmt w:val="lowerRoman"/>
      <w:start w:val="2"/>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1)"/>
      <w:numFmt w:val="decimal"/>
      <w:start w:val="1"/>
    </w:lvl>
  </w:abstractNum>
  <w:abstractNum w:abstractNumId="73">
    <w:nsid w:val="2A31B62D"/>
    <w:multiLevelType w:val="hybridMultilevel"/>
    <w:lvl w:ilvl="0">
      <w:lvlJc w:val="left"/>
      <w:lvlText w:val="(%1)"/>
      <w:numFmt w:val="decimal"/>
      <w:start w:val="2"/>
    </w:lvl>
  </w:abstractNum>
  <w:abstractNum w:abstractNumId="74">
    <w:nsid w:val="1849C29B"/>
    <w:multiLevelType w:val="hybridMultilevel"/>
    <w:lvl w:ilvl="0">
      <w:lvlJc w:val="left"/>
      <w:lvlText w:val="(%1)"/>
      <w:numFmt w:val="decimal"/>
      <w:start w:val="14"/>
    </w:lvl>
  </w:abstractNum>
  <w:abstractNum w:abstractNumId="75">
    <w:nsid w:val="7DFF9D09"/>
    <w:multiLevelType w:val="hybridMultilevel"/>
    <w:lvl w:ilvl="0">
      <w:lvlJc w:val="left"/>
      <w:lvlText w:val="•"/>
      <w:numFmt w:val="bullet"/>
      <w:start w:val="1"/>
    </w:lvl>
  </w:abstractNum>
  <w:abstractNum w:abstractNumId="76">
    <w:nsid w:val="754342"/>
    <w:multiLevelType w:val="hybridMultilevel"/>
    <w:lvl w:ilvl="0">
      <w:lvlJc w:val="left"/>
      <w:lvlText w:val="•"/>
      <w:numFmt w:val="bullet"/>
      <w:start w:val="1"/>
    </w:lvl>
  </w:abstractNum>
  <w:abstractNum w:abstractNumId="77">
    <w:nsid w:val="69E7F3E5"/>
    <w:multiLevelType w:val="hybridMultilevel"/>
    <w:lvl w:ilvl="0">
      <w:lvlJc w:val="left"/>
      <w:lvlText w:val="•"/>
      <w:numFmt w:val="bullet"/>
      <w:start w:val="1"/>
    </w:lvl>
  </w:abstractNum>
  <w:abstractNum w:abstractNumId="78">
    <w:nsid w:val="2A6DE806"/>
    <w:multiLevelType w:val="hybridMultilevel"/>
    <w:lvl w:ilvl="0">
      <w:lvlJc w:val="left"/>
      <w:lvlText w:val="•"/>
      <w:numFmt w:val="bullet"/>
      <w:start w:val="1"/>
    </w:lvl>
  </w:abstractNum>
  <w:abstractNum w:abstractNumId="79">
    <w:nsid w:val="1816F8C4"/>
    <w:multiLevelType w:val="hybridMultilevel"/>
    <w:lvl w:ilvl="0">
      <w:lvlJc w:val="left"/>
      <w:lvlText w:val="•"/>
      <w:numFmt w:val="bullet"/>
      <w:start w:val="1"/>
    </w:lvl>
  </w:abstractNum>
  <w:abstractNum w:abstractNumId="80">
    <w:nsid w:val="37DF2233"/>
    <w:multiLevelType w:val="hybridMultilevel"/>
    <w:lvl w:ilvl="0">
      <w:lvlJc w:val="left"/>
      <w:lvlText w:val="•"/>
      <w:numFmt w:val="bullet"/>
      <w:start w:val="1"/>
    </w:lvl>
  </w:abstractNum>
  <w:abstractNum w:abstractNumId="81">
    <w:nsid w:val="7AB49DAF"/>
    <w:multiLevelType w:val="hybridMultilevel"/>
    <w:lvl w:ilvl="0">
      <w:lvlJc w:val="left"/>
      <w:lvlText w:val="•"/>
      <w:numFmt w:val="bullet"/>
      <w:start w:val="1"/>
    </w:lvl>
  </w:abstractNum>
  <w:abstractNum w:abstractNumId="82">
    <w:nsid w:val="759F82CD"/>
    <w:multiLevelType w:val="hybridMultilevel"/>
    <w:lvl w:ilvl="0">
      <w:lvlJc w:val="left"/>
      <w:lvlText w:val="•"/>
      <w:numFmt w:val="bullet"/>
      <w:start w:val="1"/>
    </w:lvl>
  </w:abstractNum>
  <w:abstractNum w:abstractNumId="83">
    <w:nsid w:val="61E74EA3"/>
    <w:multiLevelType w:val="hybridMultilevel"/>
    <w:lvl w:ilvl="0">
      <w:lvlJc w:val="left"/>
      <w:lvlText w:val="•"/>
      <w:numFmt w:val="bullet"/>
      <w:start w:val="1"/>
    </w:lvl>
  </w:abstractNum>
  <w:abstractNum w:abstractNumId="84">
    <w:nsid w:val="597B4D84"/>
    <w:multiLevelType w:val="hybridMultilevel"/>
    <w:lvl w:ilvl="0">
      <w:lvlJc w:val="left"/>
      <w:lvlText w:val="•"/>
      <w:numFmt w:val="bullet"/>
      <w:start w:val="1"/>
    </w:lvl>
  </w:abstractNum>
  <w:abstractNum w:abstractNumId="85">
    <w:nsid w:val="F819E7F"/>
    <w:multiLevelType w:val="hybridMultilevel"/>
    <w:lvl w:ilvl="0">
      <w:lvlJc w:val="left"/>
      <w:lvlText w:val="•"/>
      <w:numFmt w:val="bullet"/>
      <w:start w:val="1"/>
    </w:lvl>
  </w:abstractNum>
  <w:abstractNum w:abstractNumId="86">
    <w:nsid w:val="57C7D42D"/>
    <w:multiLevelType w:val="hybridMultilevel"/>
    <w:lvl w:ilvl="0">
      <w:lvlJc w:val="left"/>
      <w:lvlText w:val="•"/>
      <w:numFmt w:val="bullet"/>
      <w:start w:val="1"/>
    </w:lvl>
  </w:abstractNum>
  <w:abstractNum w:abstractNumId="87">
    <w:nsid w:val="312167AD"/>
    <w:multiLevelType w:val="hybridMultilevel"/>
    <w:lvl w:ilvl="0">
      <w:lvlJc w:val="left"/>
      <w:lvlText w:val="%1."/>
      <w:numFmt w:val="decimal"/>
      <w:start w:val="1"/>
    </w:lvl>
  </w:abstractNum>
  <w:abstractNum w:abstractNumId="88">
    <w:nsid w:val="631B64D4"/>
    <w:multiLevelType w:val="hybridMultilevel"/>
    <w:lvl w:ilvl="0">
      <w:lvlJc w:val="left"/>
      <w:lvlText w:val="%1."/>
      <w:numFmt w:val="decimal"/>
      <w:start w:val="2"/>
    </w:lvl>
  </w:abstractNum>
  <w:abstractNum w:abstractNumId="89">
    <w:nsid w:val="78B5E776"/>
    <w:multiLevelType w:val="hybridMultilevel"/>
    <w:lvl w:ilvl="0">
      <w:lvlJc w:val="left"/>
      <w:lvlText w:val="%1."/>
      <w:numFmt w:val="decimal"/>
      <w:start w:val="3"/>
    </w:lvl>
  </w:abstractNum>
  <w:abstractNum w:abstractNumId="90">
    <w:nsid w:val="75486E47"/>
    <w:multiLevelType w:val="hybridMultilevel"/>
    <w:lvl w:ilvl="0">
      <w:lvlJc w:val="left"/>
      <w:lvlText w:val="%1."/>
      <w:numFmt w:val="decimal"/>
      <w:start w:val="4"/>
    </w:lvl>
  </w:abstractNum>
  <w:abstractNum w:abstractNumId="91">
    <w:nsid w:val="6E534CDE"/>
    <w:multiLevelType w:val="hybridMultilevel"/>
    <w:lvl w:ilvl="0">
      <w:lvlJc w:val="left"/>
      <w:lvlText w:val="%1."/>
      <w:numFmt w:val="decimal"/>
      <w:start w:val="5"/>
    </w:lvl>
  </w:abstractNum>
  <w:abstractNum w:abstractNumId="92">
    <w:nsid w:val="1A0DDE32"/>
    <w:multiLevelType w:val="hybridMultilevel"/>
    <w:lvl w:ilvl="0">
      <w:lvlJc w:val="left"/>
      <w:lvlText w:val="%1."/>
      <w:numFmt w:val="decimal"/>
      <w:start w:val="6"/>
    </w:lvl>
  </w:abstractNum>
  <w:abstractNum w:abstractNumId="93">
    <w:nsid w:val="65968C1C"/>
    <w:multiLevelType w:val="hybridMultilevel"/>
    <w:lvl w:ilvl="0">
      <w:lvlJc w:val="left"/>
      <w:lvlText w:val="%1."/>
      <w:numFmt w:val="decimal"/>
      <w:start w:val="7"/>
    </w:lvl>
  </w:abstractNum>
  <w:abstractNum w:abstractNumId="94">
    <w:nsid w:val="46263DEC"/>
    <w:multiLevelType w:val="hybridMultilevel"/>
    <w:lvl w:ilvl="0">
      <w:lvlJc w:val="left"/>
      <w:lvlText w:val="%1."/>
      <w:numFmt w:val="decimal"/>
      <w:start w:val="8"/>
    </w:lvl>
  </w:abstractNum>
  <w:abstractNum w:abstractNumId="95">
    <w:nsid w:val="260D8C4A"/>
    <w:multiLevelType w:val="hybridMultilevel"/>
    <w:lvl w:ilvl="0">
      <w:lvlJc w:val="left"/>
      <w:lvlText w:val="%1."/>
      <w:numFmt w:val="decimal"/>
      <w:start w:val="9"/>
    </w:lvl>
  </w:abstractNum>
  <w:abstractNum w:abstractNumId="96">
    <w:nsid w:val="73D4D3C4"/>
    <w:multiLevelType w:val="hybridMultilevel"/>
    <w:lvl w:ilvl="0">
      <w:lvlJc w:val="left"/>
      <w:lvlText w:val="%1."/>
      <w:numFmt w:val="decimal"/>
      <w:start w:val="10"/>
    </w:lvl>
  </w:abstractNum>
  <w:abstractNum w:abstractNumId="97">
    <w:nsid w:val="746F2E30"/>
    <w:multiLevelType w:val="hybridMultilevel"/>
    <w:lvl w:ilvl="0">
      <w:lvlJc w:val="left"/>
      <w:lvlText w:val="%1."/>
      <w:numFmt w:val="decimal"/>
      <w:start w:val="11"/>
    </w:lvl>
  </w:abstractNum>
  <w:abstractNum w:abstractNumId="98">
    <w:nsid w:val="6FDE8AF6"/>
    <w:multiLevelType w:val="hybridMultilevel"/>
    <w:lvl w:ilvl="0">
      <w:lvlJc w:val="left"/>
      <w:lvlText w:val="%1."/>
      <w:numFmt w:val="decimal"/>
      <w:start w:val="12"/>
    </w:lvl>
  </w:abstractNum>
  <w:abstractNum w:abstractNumId="99">
    <w:nsid w:val="3FC32E20"/>
    <w:multiLevelType w:val="hybridMultilevel"/>
    <w:lvl w:ilvl="0">
      <w:lvlJc w:val="left"/>
      <w:lvlText w:val="%1."/>
      <w:numFmt w:val="decimal"/>
      <w:start w:val="13"/>
    </w:lvl>
  </w:abstractNum>
  <w:abstractNum w:abstractNumId="100">
    <w:nsid w:val="49C0E823"/>
    <w:multiLevelType w:val="hybridMultilevel"/>
    <w:lvl w:ilvl="0">
      <w:lvlJc w:val="left"/>
      <w:lvlText w:val="%1."/>
      <w:numFmt w:val="decimal"/>
      <w:start w:val="14"/>
    </w:lvl>
  </w:abstractNum>
  <w:abstractNum w:abstractNumId="101">
    <w:nsid w:val="14D53685"/>
    <w:multiLevelType w:val="hybridMultilevel"/>
    <w:lvl w:ilvl="0">
      <w:lvlJc w:val="left"/>
      <w:lvlText w:val="%1."/>
      <w:numFmt w:val="decimal"/>
      <w:start w:val="15"/>
    </w:lvl>
  </w:abstractNum>
  <w:abstractNum w:abstractNumId="102">
    <w:nsid w:val="230F856C"/>
    <w:multiLevelType w:val="hybridMultilevel"/>
    <w:lvl w:ilvl="0">
      <w:lvlJc w:val="left"/>
      <w:lvlText w:val="%1."/>
      <w:numFmt w:val="decimal"/>
      <w:start w:val="16"/>
    </w:lvl>
  </w:abstractNum>
  <w:abstractNum w:abstractNumId="103">
    <w:nsid w:val="6EAA85FB"/>
    <w:multiLevelType w:val="hybridMultilevel"/>
    <w:lvl w:ilvl="0">
      <w:lvlJc w:val="left"/>
      <w:lvlText w:val="%1."/>
      <w:numFmt w:val="decimal"/>
      <w:start w:val="17"/>
    </w:lvl>
  </w:abstractNum>
  <w:abstractNum w:abstractNumId="104">
    <w:nsid w:val="3F06ECB2"/>
    <w:multiLevelType w:val="hybridMultilevel"/>
    <w:lvl w:ilvl="0">
      <w:lvlJc w:val="left"/>
      <w:lvlText w:val="%1."/>
      <w:numFmt w:val="decimal"/>
      <w:start w:val="18"/>
    </w:lvl>
  </w:abstractNum>
  <w:abstractNum w:abstractNumId="105">
    <w:nsid w:val="3B594807"/>
    <w:multiLevelType w:val="hybridMultilevel"/>
    <w:lvl w:ilvl="0">
      <w:lvlJc w:val="left"/>
      <w:lvlText w:val="%1."/>
      <w:numFmt w:val="decimal"/>
      <w:start w:val="19"/>
    </w:lvl>
  </w:abstractNum>
  <w:abstractNum w:abstractNumId="106">
    <w:nsid w:val="6CAA2304"/>
    <w:multiLevelType w:val="hybridMultilevel"/>
    <w:lvl w:ilvl="0">
      <w:lvlJc w:val="left"/>
      <w:lvlText w:val="%1."/>
      <w:numFmt w:val="decimal"/>
      <w:start w:val="20"/>
    </w:lvl>
  </w:abstractNum>
  <w:abstractNum w:abstractNumId="107">
    <w:nsid w:val="3F7C2FF4"/>
    <w:multiLevelType w:val="hybridMultilevel"/>
    <w:lvl w:ilvl="0">
      <w:lvlJc w:val="left"/>
      <w:lvlText w:val="%1."/>
      <w:numFmt w:val="decimal"/>
      <w:start w:val="21"/>
    </w:lvl>
  </w:abstractNum>
  <w:abstractNum w:abstractNumId="108">
    <w:nsid w:val="25413BEC"/>
    <w:multiLevelType w:val="hybridMultilevel"/>
    <w:lvl w:ilvl="0">
      <w:lvlJc w:val="left"/>
      <w:lvlText w:val="%1."/>
      <w:numFmt w:val="decimal"/>
      <w:start w:val="22"/>
    </w:lvl>
  </w:abstractNum>
  <w:abstractNum w:abstractNumId="109">
    <w:nsid w:val="17180B0B"/>
    <w:multiLevelType w:val="hybridMultilevel"/>
    <w:lvl w:ilvl="0">
      <w:lvlJc w:val="left"/>
      <w:lvlText w:val="%1."/>
      <w:numFmt w:val="decimal"/>
      <w:start w:val="23"/>
    </w:lvl>
  </w:abstractNum>
  <w:abstractNum w:abstractNumId="110">
    <w:nsid w:val="579328B9"/>
    <w:multiLevelType w:val="hybridMultilevel"/>
    <w:lvl w:ilvl="0">
      <w:lvlJc w:val="left"/>
      <w:lvlText w:val="%1."/>
      <w:numFmt w:val="decimal"/>
      <w:start w:val="24"/>
    </w:lvl>
  </w:abstractNum>
  <w:abstractNum w:abstractNumId="111">
    <w:nsid w:val="5D205E20"/>
    <w:multiLevelType w:val="hybridMultilevel"/>
    <w:lvl w:ilvl="0">
      <w:lvlJc w:val="left"/>
      <w:lvlText w:val="%1."/>
      <w:numFmt w:val="decimal"/>
      <w:start w:val="1"/>
    </w:lvl>
  </w:abstractNum>
  <w:abstractNum w:abstractNumId="112">
    <w:nsid w:val="11CCA8BA"/>
    <w:multiLevelType w:val="hybridMultilevel"/>
    <w:lvl w:ilvl="0">
      <w:lvlJc w:val="left"/>
      <w:lvlText w:val="%1."/>
      <w:numFmt w:val="decimal"/>
      <w:start w:val="2"/>
    </w:lvl>
  </w:abstractNum>
  <w:abstractNum w:abstractNumId="113">
    <w:nsid w:val="4D32AB86"/>
    <w:multiLevelType w:val="hybridMultilevel"/>
    <w:lvl w:ilvl="0">
      <w:lvlJc w:val="left"/>
      <w:lvlText w:val="%1."/>
      <w:numFmt w:val="decimal"/>
      <w:start w:val="3"/>
    </w:lvl>
  </w:abstractNum>
  <w:abstractNum w:abstractNumId="114">
    <w:nsid w:val="3F07ACC3"/>
    <w:multiLevelType w:val="hybridMultilevel"/>
    <w:lvl w:ilvl="0">
      <w:lvlJc w:val="left"/>
      <w:lvlText w:val="•"/>
      <w:numFmt w:val="bullet"/>
      <w:start w:val="1"/>
    </w:lvl>
  </w:abstractNum>
  <w:abstractNum w:abstractNumId="115">
    <w:nsid w:val="6B47F63E"/>
    <w:multiLevelType w:val="hybridMultilevel"/>
    <w:lvl w:ilvl="0">
      <w:lvlJc w:val="left"/>
      <w:lvlText w:val="•"/>
      <w:numFmt w:val="bullet"/>
      <w:start w:val="1"/>
    </w:lvl>
  </w:abstractNum>
  <w:abstractNum w:abstractNumId="116">
    <w:nsid w:val="5CB44A05"/>
    <w:multiLevelType w:val="hybridMultilevel"/>
    <w:lvl w:ilvl="0">
      <w:lvlJc w:val="left"/>
      <w:lvlText w:val="%1."/>
      <w:numFmt w:val="decimal"/>
      <w:start w:val="1"/>
    </w:lvl>
  </w:abstractNum>
  <w:abstractNum w:abstractNumId="117">
    <w:nsid w:val="16CF80F1"/>
    <w:multiLevelType w:val="hybridMultilevel"/>
    <w:lvl w:ilvl="0">
      <w:lvlJc w:val="left"/>
      <w:lvlText w:val="%1."/>
      <w:numFmt w:val="decimal"/>
      <w:start w:val="2"/>
    </w:lvl>
  </w:abstractNum>
  <w:abstractNum w:abstractNumId="118">
    <w:nsid w:val="1C695DEC"/>
    <w:multiLevelType w:val="hybridMultilevel"/>
    <w:lvl w:ilvl="0">
      <w:lvlJc w:val="left"/>
      <w:lvlText w:val="%1."/>
      <w:numFmt w:val="decimal"/>
      <w:start w:val="3"/>
    </w:lvl>
  </w:abstractNum>
  <w:abstractNum w:abstractNumId="119">
    <w:nsid w:val="3FCFAED9"/>
    <w:multiLevelType w:val="hybridMultilevel"/>
    <w:lvl w:ilvl="0">
      <w:lvlJc w:val="left"/>
      <w:lvlText w:val="•"/>
      <w:numFmt w:val="bullet"/>
      <w:start w:val="1"/>
    </w:lvl>
  </w:abstractNum>
  <w:abstractNum w:abstractNumId="120">
    <w:nsid w:val="F856867"/>
    <w:multiLevelType w:val="hybridMultilevel"/>
    <w:lvl w:ilvl="0">
      <w:lvlJc w:val="left"/>
      <w:lvlText w:val="•"/>
      <w:numFmt w:val="bullet"/>
      <w:start w:val="1"/>
    </w:lvl>
  </w:abstractNum>
  <w:abstractNum w:abstractNumId="121">
    <w:nsid w:val="11B1CC33"/>
    <w:multiLevelType w:val="hybridMultilevel"/>
    <w:lvl w:ilvl="0">
      <w:lvlJc w:val="left"/>
      <w:lvlText w:val="•"/>
      <w:numFmt w:val="bullet"/>
      <w:start w:val="1"/>
    </w:lvl>
  </w:abstractNum>
  <w:abstractNum w:abstractNumId="122">
    <w:nsid w:val="2E22FBB7"/>
    <w:multiLevelType w:val="hybridMultilevel"/>
    <w:lvl w:ilvl="0">
      <w:lvlJc w:val="left"/>
      <w:lvlText w:val="(%1)"/>
      <w:numFmt w:val="decimal"/>
      <w:start w:val="1"/>
    </w:lvl>
  </w:abstractNum>
  <w:abstractNum w:abstractNumId="123">
    <w:nsid w:val="29934699"/>
    <w:multiLevelType w:val="hybridMultilevel"/>
    <w:lvl w:ilvl="0">
      <w:lvlJc w:val="left"/>
      <w:lvlText w:val="†"/>
      <w:numFmt w:val="bullet"/>
      <w:start w:val="1"/>
    </w:lvl>
  </w:abstractNum>
  <w:abstractNum w:abstractNumId="124">
    <w:nsid w:val="77485850"/>
    <w:multiLevelType w:val="hybridMultilevel"/>
    <w:lvl w:ilvl="0">
      <w:lvlJc w:val="left"/>
      <w:lvlText w:val="††"/>
      <w:numFmt w:val="bullet"/>
      <w:start w:val="1"/>
    </w:lvl>
  </w:abstractNum>
  <w:abstractNum w:abstractNumId="125">
    <w:nsid w:val="744939A3"/>
    <w:multiLevelType w:val="hybridMultilevel"/>
    <w:lvl w:ilvl="0">
      <w:lvlJc w:val="left"/>
      <w:lvlText w:val="*"/>
      <w:numFmt w:val="bullet"/>
      <w:start w:val="1"/>
    </w:lvl>
  </w:abstractNum>
  <w:abstractNum w:abstractNumId="126">
    <w:nsid w:val="4FA0D2E3"/>
    <w:multiLevelType w:val="hybridMultilevel"/>
    <w:lvl w:ilvl="0">
      <w:lvlJc w:val="left"/>
      <w:lvlText w:val="%1."/>
      <w:numFmt w:val="decimal"/>
      <w:start w:val="1"/>
    </w:lvl>
  </w:abstractNum>
  <w:abstractNum w:abstractNumId="127">
    <w:nsid w:val="6B1D2C14"/>
    <w:multiLevelType w:val="hybridMultilevel"/>
    <w:lvl w:ilvl="0">
      <w:lvlJc w:val="left"/>
      <w:lvlText w:val="%1."/>
      <w:numFmt w:val="decimal"/>
      <w:start w:val="2"/>
    </w:lvl>
  </w:abstractNum>
  <w:abstractNum w:abstractNumId="128">
    <w:nsid w:val="68B867D3"/>
    <w:multiLevelType w:val="hybridMultilevel"/>
    <w:lvl w:ilvl="0">
      <w:lvlJc w:val="left"/>
      <w:lvlText w:val="%1."/>
      <w:numFmt w:val="decimal"/>
      <w:start w:val="3"/>
    </w:lvl>
  </w:abstractNum>
  <w:abstractNum w:abstractNumId="129">
    <w:nsid w:val="3F7F5DD9"/>
    <w:multiLevelType w:val="hybridMultilevel"/>
    <w:lvl w:ilvl="0">
      <w:lvlJc w:val="left"/>
      <w:lvlText w:val="%1."/>
      <w:numFmt w:val="decimal"/>
      <w:start w:val="4"/>
    </w:lvl>
  </w:abstractNum>
  <w:abstractNum w:abstractNumId="130">
    <w:nsid w:val="2AE05A34"/>
    <w:multiLevelType w:val="hybridMultilevel"/>
    <w:lvl w:ilvl="0">
      <w:lvlJc w:val="left"/>
      <w:lvlText w:val="(%1)"/>
      <w:numFmt w:val="lowerRoman"/>
      <w:start w:val="2"/>
    </w:lvl>
  </w:abstractNum>
  <w:abstractNum w:abstractNumId="131">
    <w:nsid w:val="32794FF7"/>
    <w:multiLevelType w:val="hybridMultilevel"/>
    <w:lvl w:ilvl="0">
      <w:lvlJc w:val="left"/>
      <w:lvlText w:val="%1."/>
      <w:numFmt w:val="decimal"/>
      <w:start w:val="5"/>
    </w:lvl>
  </w:abstractNum>
  <w:abstractNum w:abstractNumId="132">
    <w:nsid w:val="5454945E"/>
    <w:multiLevelType w:val="hybridMultilevel"/>
    <w:lvl w:ilvl="0">
      <w:lvlJc w:val="left"/>
      <w:lvlText w:val="(%1)"/>
      <w:numFmt w:val="lowerLetter"/>
      <w:start w:val="1"/>
    </w:lvl>
  </w:abstractNum>
  <w:abstractNum w:abstractNumId="133">
    <w:nsid w:val="4DEFDFA0"/>
    <w:multiLevelType w:val="hybridMultilevel"/>
    <w:lvl w:ilvl="0">
      <w:lvlJc w:val="left"/>
      <w:lvlText w:val="(%1)"/>
      <w:numFmt w:val="lowerLetter"/>
      <w:start w:val="3"/>
    </w:lvl>
  </w:abstractNum>
  <w:abstractNum w:abstractNumId="134">
    <w:nsid w:val="2123D5F2"/>
    <w:multiLevelType w:val="hybridMultilevel"/>
    <w:lvl w:ilvl="0">
      <w:lvlJc w:val="left"/>
      <w:lvlText w:val="(%1)"/>
      <w:numFmt w:val="lowerLetter"/>
      <w:start w:val="8"/>
    </w:lvl>
  </w:abstractNum>
  <w:abstractNum w:abstractNumId="135">
    <w:nsid w:val="135B8110"/>
    <w:multiLevelType w:val="hybridMultilevel"/>
    <w:lvl w:ilvl="0">
      <w:lvlJc w:val="left"/>
      <w:lvlText w:val="(%1)"/>
      <w:numFmt w:val="lowerLetter"/>
      <w:start w:val="9"/>
    </w:lvl>
  </w:abstractNum>
  <w:abstractNum w:abstractNumId="136">
    <w:nsid w:val="94927A8"/>
    <w:multiLevelType w:val="hybridMultilevel"/>
    <w:lvl w:ilvl="0">
      <w:lvlJc w:val="left"/>
      <w:lvlText w:val="(%1)"/>
      <w:numFmt w:val="lowerLetter"/>
      <w:start w:val="13"/>
    </w:lvl>
  </w:abstractNum>
  <w:abstractNum w:abstractNumId="137">
    <w:nsid w:val="DCDF8F6"/>
    <w:multiLevelType w:val="hybridMultilevel"/>
    <w:lvl w:ilvl="0">
      <w:lvlJc w:val="left"/>
      <w:lvlText w:val="(%1)"/>
      <w:numFmt w:val="lowerLetter"/>
      <w:start w:val="16"/>
    </w:lvl>
  </w:abstractNum>
  <w:abstractNum w:abstractNumId="138">
    <w:nsid w:val="52D7B105"/>
    <w:multiLevelType w:val="hybridMultilevel"/>
    <w:lvl w:ilvl="0">
      <w:lvlJc w:val="left"/>
      <w:lvlText w:val="(%1)"/>
      <w:numFmt w:val="lowerLetter"/>
      <w:start w:val="20"/>
    </w:lvl>
    <w:lvl w:ilvl="1">
      <w:lvlJc w:val="left"/>
      <w:lvlText w:val="(%2)"/>
      <w:numFmt w:val="lowerLetter"/>
      <w:start w:val="21"/>
    </w:lvl>
  </w:abstractNum>
  <w:abstractNum w:abstractNumId="139">
    <w:nsid w:val="2E8A6394"/>
    <w:multiLevelType w:val="hybridMultilevel"/>
    <w:lvl w:ilvl="0">
      <w:lvlJc w:val="left"/>
      <w:lvlText w:val="(%1)"/>
      <w:numFmt w:val="lowerLetter"/>
      <w:start w:val="22"/>
    </w:lvl>
    <w:lvl w:ilvl="1">
      <w:lvlJc w:val="left"/>
      <w:lvlText w:val="%2"/>
      <w:numFmt w:val="lowerLetter"/>
      <w:start w:val="1"/>
    </w:lvl>
  </w:abstractNum>
  <w:abstractNum w:abstractNumId="140">
    <w:nsid w:val="24E60401"/>
    <w:multiLevelType w:val="hybridMultilevel"/>
    <w:lvl w:ilvl="0">
      <w:lvlJc w:val="left"/>
      <w:lvlText w:val="(%1)"/>
      <w:numFmt w:val="lowerLetter"/>
      <w:start w:val="1"/>
    </w:lvl>
  </w:abstractNum>
  <w:abstractNum w:abstractNumId="141">
    <w:nsid w:val="2A6AD9BE"/>
    <w:multiLevelType w:val="hybridMultilevel"/>
    <w:lvl w:ilvl="0">
      <w:lvlJc w:val="left"/>
      <w:lvlText w:val="%1"/>
      <w:numFmt w:val="decimal"/>
      <w:start w:val="1"/>
    </w:lvl>
    <w:lvl w:ilvl="1">
      <w:lvlJc w:val="left"/>
      <w:lvlText w:val="(%2)"/>
      <w:numFmt w:val="lowerLetter"/>
      <w:start w:val="3"/>
    </w:lvl>
  </w:abstractNum>
  <w:abstractNum w:abstractNumId="142">
    <w:nsid w:val="BAAC1B4"/>
    <w:multiLevelType w:val="hybridMultilevel"/>
    <w:lvl w:ilvl="0">
      <w:lvlJc w:val="left"/>
      <w:lvlText w:val="%1."/>
      <w:numFmt w:val="decimal"/>
      <w:start w:val="6"/>
    </w:lvl>
    <w:lvl w:ilvl="1">
      <w:lvlJc w:val="left"/>
      <w:lvlText w:val="%2"/>
      <w:numFmt w:val="lowerLetter"/>
      <w:start w:val="1"/>
    </w:lvl>
  </w:abstractNum>
  <w:abstractNum w:abstractNumId="143">
    <w:nsid w:val="36B2ACBC"/>
    <w:multiLevelType w:val="hybridMultilevel"/>
    <w:lvl w:ilvl="0">
      <w:lvlJc w:val="left"/>
      <w:lvlText w:val="(%1)"/>
      <w:numFmt w:val="lowerLetter"/>
      <w:start w:val="1"/>
    </w:lvl>
    <w:lvl w:ilvl="1">
      <w:lvlJc w:val="left"/>
      <w:lvlText w:val="(%2)"/>
      <w:numFmt w:val="lowerLetter"/>
      <w:start w:val="2"/>
    </w:lvl>
  </w:abstractNum>
  <w:abstractNum w:abstractNumId="144">
    <w:nsid w:val="779D8544"/>
    <w:multiLevelType w:val="hybridMultilevel"/>
    <w:lvl w:ilvl="0">
      <w:lvlJc w:val="left"/>
      <w:lvlText w:val="(%1)"/>
      <w:numFmt w:val="lowerLetter"/>
      <w:start w:val="5"/>
    </w:lvl>
  </w:abstractNum>
  <w:abstractNum w:abstractNumId="145">
    <w:nsid w:val="4AB26E78"/>
    <w:multiLevelType w:val="hybridMultilevel"/>
    <w:lvl w:ilvl="0">
      <w:lvlJc w:val="left"/>
      <w:lvlText w:val="(%1)"/>
      <w:numFmt w:val="lowerLetter"/>
      <w:start w:val="7"/>
    </w:lvl>
  </w:abstractNum>
  <w:abstractNum w:abstractNumId="146">
    <w:nsid w:val="21FAA2FA"/>
    <w:multiLevelType w:val="hybridMultilevel"/>
    <w:lvl w:ilvl="0">
      <w:lvlJc w:val="left"/>
      <w:lvlText w:val="(%1)"/>
      <w:numFmt w:val="lowerLetter"/>
      <w:start w:val="10"/>
    </w:lvl>
  </w:abstractNum>
  <w:abstractNum w:abstractNumId="147">
    <w:nsid w:val="5451CF49"/>
    <w:multiLevelType w:val="hybridMultilevel"/>
    <w:lvl w:ilvl="0">
      <w:lvlJc w:val="left"/>
      <w:lvlText w:val="(%1)"/>
      <w:numFmt w:val="lowerLetter"/>
      <w:start w:val="13"/>
    </w:lvl>
  </w:abstractNum>
  <w:abstractNum w:abstractNumId="148">
    <w:nsid w:val="6181EF69"/>
    <w:multiLevelType w:val="hybridMultilevel"/>
    <w:lvl w:ilvl="0">
      <w:lvlJc w:val="left"/>
      <w:lvlText w:val="%1"/>
      <w:numFmt w:val="upperLetter"/>
      <w:start w:val="1"/>
    </w:lvl>
    <w:lvl w:ilvl="1">
      <w:lvlJc w:val="left"/>
      <w:lvlText w:val="(%2)"/>
      <w:numFmt w:val="lowerLetter"/>
      <w:start w:val="15"/>
    </w:lvl>
  </w:abstractNum>
  <w:abstractNum w:abstractNumId="149">
    <w:nsid w:val="3E6400E6"/>
    <w:multiLevelType w:val="hybridMultilevel"/>
    <w:lvl w:ilvl="0">
      <w:lvlJc w:val="left"/>
      <w:lvlText w:val="(%1)"/>
      <w:numFmt w:val="upperLetter"/>
      <w:start w:val="1"/>
    </w:lvl>
    <w:lvl w:ilvl="1">
      <w:lvlJc w:val="left"/>
      <w:lvlText w:val="%2"/>
      <w:numFmt w:val="lowerLetter"/>
      <w:start w:val="1"/>
    </w:lvl>
  </w:abstractNum>
  <w:abstractNum w:abstractNumId="150">
    <w:nsid w:val="14217E23"/>
    <w:multiLevelType w:val="hybridMultilevel"/>
    <w:lvl w:ilvl="0">
      <w:lvlJc w:val="left"/>
      <w:lvlText w:val="(%1)"/>
      <w:numFmt w:val="lowerLetter"/>
      <w:start w:val="16"/>
    </w:lvl>
  </w:abstractNum>
  <w:abstractNum w:abstractNumId="151">
    <w:nsid w:val="710757D0"/>
    <w:multiLevelType w:val="hybridMultilevel"/>
    <w:lvl w:ilvl="0">
      <w:lvlJc w:val="left"/>
      <w:lvlText w:val="(%1)"/>
      <w:numFmt w:val="lowerLetter"/>
      <w:start w:val="19"/>
    </w:lvl>
  </w:abstractNum>
  <w:abstractNum w:abstractNumId="152">
    <w:nsid w:val="5015CD1A"/>
    <w:multiLevelType w:val="hybridMultilevel"/>
    <w:lvl w:ilvl="0">
      <w:lvlJc w:val="left"/>
      <w:lvlText w:val="(%1)"/>
      <w:numFmt w:val="lowerRoman"/>
      <w:start w:val="5"/>
    </w:lvl>
  </w:abstractNum>
  <w:abstractNum w:abstractNumId="153">
    <w:nsid w:val="424479DA"/>
    <w:multiLevelType w:val="hybridMultilevel"/>
    <w:lvl w:ilvl="0">
      <w:lvlJc w:val="left"/>
      <w:lvlText w:val="(%1)"/>
      <w:numFmt w:val="lowerLetter"/>
      <w:start w:val="23"/>
    </w:lvl>
  </w:abstractNum>
  <w:abstractNum w:abstractNumId="154">
    <w:nsid w:val="1A9A9E69"/>
    <w:multiLevelType w:val="hybridMultilevel"/>
    <w:lvl w:ilvl="0">
      <w:lvlJc w:val="left"/>
      <w:lvlText w:val="(%1)"/>
      <w:numFmt w:val="lowerLetter"/>
      <w:start w:val="27"/>
    </w:lvl>
  </w:abstractNum>
  <w:abstractNum w:abstractNumId="155">
    <w:nsid w:val="475E256A"/>
    <w:multiLevelType w:val="hybridMultilevel"/>
    <w:lvl w:ilvl="0">
      <w:lvlJc w:val="left"/>
      <w:lvlText w:val="%1"/>
      <w:numFmt w:val="lowerRoman"/>
      <w:start w:val="1"/>
    </w:lvl>
    <w:lvl w:ilvl="1">
      <w:lvlJc w:val="left"/>
      <w:lvlText w:val="(%2)"/>
      <w:numFmt w:val="lowerLetter"/>
      <w:start w:val="28"/>
    </w:lvl>
  </w:abstractNum>
  <w:abstractNum w:abstractNumId="156">
    <w:nsid w:val="368DB37E"/>
    <w:multiLevelType w:val="hybridMultilevel"/>
    <w:lvl w:ilvl="0">
      <w:lvlJc w:val="left"/>
      <w:lvlText w:val="(%1)"/>
      <w:numFmt w:val="lowerRoman"/>
      <w:start w:val="4"/>
    </w:lvl>
    <w:lvl w:ilvl="1">
      <w:lvlJc w:val="left"/>
      <w:lvlText w:val="%2"/>
      <w:numFmt w:val="lowerLetter"/>
      <w:start w:val="1"/>
    </w:lvl>
  </w:abstractNum>
  <w:abstractNum w:abstractNumId="157">
    <w:nsid w:val="6A3B714C"/>
    <w:multiLevelType w:val="hybridMultilevel"/>
    <w:lvl w:ilvl="0">
      <w:lvlJc w:val="left"/>
      <w:lvlText w:val="(%1)"/>
      <w:numFmt w:val="lowerLetter"/>
      <w:start w:val="32"/>
    </w:lvl>
  </w:abstractNum>
  <w:abstractNum w:abstractNumId="158">
    <w:nsid w:val="327B517E"/>
    <w:multiLevelType w:val="hybridMultilevel"/>
    <w:lvl w:ilvl="0">
      <w:lvlJc w:val="left"/>
      <w:lvlText w:val="(%1)"/>
      <w:numFmt w:val="lowerLetter"/>
      <w:start w:val="36"/>
    </w:lvl>
  </w:abstractNum>
  <w:abstractNum w:abstractNumId="159">
    <w:nsid w:val="1F461B51"/>
    <w:multiLevelType w:val="hybridMultilevel"/>
    <w:lvl w:ilvl="0">
      <w:lvlJc w:val="left"/>
      <w:lvlText w:val="(%1)"/>
      <w:numFmt w:val="lowerLetter"/>
      <w:start w:val="40"/>
    </w:lvl>
  </w:abstractNum>
  <w:abstractNum w:abstractNumId="160">
    <w:nsid w:val="29BACF25"/>
    <w:multiLevelType w:val="hybridMultilevel"/>
    <w:lvl w:ilvl="0">
      <w:lvlJc w:val="left"/>
      <w:lvlText w:val="(%1)"/>
      <w:numFmt w:val="lowerLetter"/>
      <w:start w:val="42"/>
    </w:lvl>
  </w:abstractNum>
  <w:abstractNum w:abstractNumId="161">
    <w:nsid w:val="5D5BABB3"/>
    <w:multiLevelType w:val="hybridMultilevel"/>
    <w:lvl w:ilvl="0">
      <w:lvlJc w:val="left"/>
      <w:lvlText w:val="(%1)"/>
      <w:numFmt w:val="lowerLetter"/>
      <w:start w:val="44"/>
    </w:lvl>
  </w:abstractNum>
  <w:abstractNum w:abstractNumId="162">
    <w:nsid w:val="51BF6B48"/>
    <w:multiLevelType w:val="hybridMultilevel"/>
    <w:lvl w:ilvl="0">
      <w:lvlJc w:val="left"/>
      <w:lvlText w:val="(%1)"/>
      <w:numFmt w:val="lowerLetter"/>
      <w:start w:val="1"/>
    </w:lvl>
  </w:abstractNum>
  <w:abstractNum w:abstractNumId="163">
    <w:nsid w:val="7E0F6384"/>
    <w:multiLevelType w:val="hybridMultilevel"/>
    <w:lvl w:ilvl="0">
      <w:lvlJc w:val="left"/>
      <w:lvlText w:val="(%1)"/>
      <w:numFmt w:val="lowerLetter"/>
      <w:start w:val="2"/>
    </w:lvl>
  </w:abstractNum>
  <w:abstractNum w:abstractNumId="164">
    <w:nsid w:val="2B4B8B53"/>
    <w:multiLevelType w:val="hybridMultilevel"/>
    <w:lvl w:ilvl="0">
      <w:lvlJc w:val="left"/>
      <w:lvlText w:val="(%1)"/>
      <w:numFmt w:val="lowerLetter"/>
      <w:start w:val="3"/>
    </w:lvl>
  </w:abstractNum>
  <w:abstractNum w:abstractNumId="165">
    <w:nsid w:val="72E3413A"/>
    <w:multiLevelType w:val="hybridMultilevel"/>
    <w:lvl w:ilvl="0">
      <w:lvlJc w:val="left"/>
      <w:lvlText w:val="%1"/>
      <w:numFmt w:val="lowerLetter"/>
      <w:start w:val="1"/>
    </w:lvl>
    <w:lvl w:ilvl="1">
      <w:lvlJc w:val="left"/>
      <w:lvlText w:val="(%2)"/>
      <w:numFmt w:val="lowerLetter"/>
      <w:start w:val="5"/>
    </w:lvl>
  </w:abstractNum>
  <w:abstractNum w:abstractNumId="166">
    <w:nsid w:val="116AE494"/>
    <w:multiLevelType w:val="hybridMultilevel"/>
    <w:lvl w:ilvl="0">
      <w:lvlJc w:val="left"/>
      <w:lvlText w:val="(%1)"/>
      <w:numFmt w:val="lowerLetter"/>
      <w:start w:val="24"/>
    </w:lvl>
    <w:lvl w:ilvl="1">
      <w:lvlJc w:val="left"/>
      <w:lvlText w:val="%2"/>
      <w:numFmt w:val="lowerLetter"/>
      <w:start w:val="1"/>
    </w:lvl>
  </w:abstractNum>
  <w:abstractNum w:abstractNumId="167">
    <w:nsid w:val="3494B2FB"/>
    <w:multiLevelType w:val="hybridMultilevel"/>
    <w:lvl w:ilvl="0">
      <w:lvlJc w:val="left"/>
      <w:lvlText w:val="%1"/>
      <w:numFmt w:val="decimal"/>
      <w:start w:val="1"/>
    </w:lvl>
    <w:lvl w:ilvl="1">
      <w:lvlJc w:val="left"/>
      <w:lvlText w:val="(%2)"/>
      <w:numFmt w:val="lowerRoman"/>
      <w:start w:val="1"/>
    </w:lvl>
  </w:abstractNum>
  <w:abstractNum w:abstractNumId="168">
    <w:nsid w:val="B13A31"/>
    <w:multiLevelType w:val="hybridMultilevel"/>
    <w:lvl w:ilvl="0">
      <w:lvlJc w:val="left"/>
      <w:lvlText w:val="%1."/>
      <w:numFmt w:val="decimal"/>
      <w:start w:val="7"/>
    </w:lvl>
    <w:lvl w:ilvl="1">
      <w:lvlJc w:val="left"/>
      <w:lvlText w:val="%2"/>
      <w:numFmt w:val="lowerRoman"/>
      <w:start w:val="1"/>
    </w:lvl>
  </w:abstractNum>
  <w:abstractNum w:abstractNumId="169">
    <w:nsid w:val="64429599"/>
    <w:multiLevelType w:val="hybridMultilevel"/>
    <w:lvl w:ilvl="0">
      <w:lvlJc w:val="left"/>
      <w:lvlText w:val="%1."/>
      <w:numFmt w:val="decimal"/>
      <w:start w:val="8"/>
    </w:lvl>
  </w:abstractNum>
  <w:abstractNum w:abstractNumId="170">
    <w:nsid w:val="631F16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71">
    <w:nsid w:val="25973E3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72">
    <w:nsid w:val="EAD6F57"/>
    <w:multiLevelType w:val="hybridMultilevel"/>
    <w:lvl w:ilvl="0">
      <w:lvlJc w:val="left"/>
      <w:lvlText w:val="(%1)"/>
      <w:numFmt w:val="lowerLetter"/>
      <w:start w:val="3"/>
    </w:lvl>
  </w:abstractNum>
  <w:abstractNum w:abstractNumId="173">
    <w:nsid w:val="6EC9D844"/>
    <w:multiLevelType w:val="hybridMultilevel"/>
    <w:lvl w:ilvl="0">
      <w:lvlJc w:val="left"/>
      <w:lvlText w:val="(%1)"/>
      <w:numFmt w:val="lowerLetter"/>
      <w:start w:val="4"/>
    </w:lvl>
  </w:abstractNum>
  <w:abstractNum w:abstractNumId="174">
    <w:nsid w:val="5C49EAEE"/>
    <w:multiLevelType w:val="hybridMultilevel"/>
    <w:lvl w:ilvl="0">
      <w:lvlJc w:val="left"/>
      <w:lvlText w:val="(%1)"/>
      <w:numFmt w:val="lowerLetter"/>
      <w:start w:val="6"/>
    </w:lvl>
  </w:abstractNum>
  <w:abstractNum w:abstractNumId="175">
    <w:nsid w:val="64AF49B"/>
    <w:multiLevelType w:val="hybridMultilevel"/>
    <w:lvl w:ilvl="0">
      <w:lvlJc w:val="left"/>
      <w:lvlText w:val="(%1)"/>
      <w:numFmt w:val="lowerLetter"/>
      <w:start w:val="8"/>
    </w:lvl>
  </w:abstractNum>
  <w:abstractNum w:abstractNumId="176">
    <w:nsid w:val="397C46BC"/>
    <w:multiLevelType w:val="hybridMultilevel"/>
    <w:lvl w:ilvl="0">
      <w:lvlJc w:val="left"/>
      <w:lvlText w:val="(%1)"/>
      <w:numFmt w:val="lowerLetter"/>
      <w:start w:val="10"/>
    </w:lvl>
    <w:lvl w:ilvl="1">
      <w:lvlJc w:val="left"/>
      <w:lvlText w:val="%2."/>
      <w:numFmt w:val="decimal"/>
      <w:start w:val="9"/>
    </w:lvl>
    <w:lvl w:ilvl="2">
      <w:lvlJc w:val="left"/>
      <w:lvlText w:val="(%3)"/>
      <w:numFmt w:val="lowerLetter"/>
      <w:start w:val="1"/>
    </w:lvl>
  </w:abstractNum>
  <w:abstractNum w:abstractNumId="177">
    <w:nsid w:val="7E448DE9"/>
    <w:multiLevelType w:val="hybridMultilevel"/>
    <w:lvl w:ilvl="0">
      <w:lvlJc w:val="left"/>
      <w:lvlText w:val="(%1)"/>
      <w:numFmt w:val="lowerLetter"/>
      <w:start w:val="3"/>
    </w:lvl>
  </w:abstractNum>
  <w:abstractNum w:abstractNumId="178">
    <w:nsid w:val="5A9CC3E5"/>
    <w:multiLevelType w:val="hybridMultilevel"/>
    <w:lvl w:ilvl="0">
      <w:lvlJc w:val="left"/>
      <w:lvlText w:val="(%1)"/>
      <w:numFmt w:val="lowerLetter"/>
      <w:start w:val="5"/>
    </w:lvl>
  </w:abstractNum>
  <w:abstractNum w:abstractNumId="179">
    <w:nsid w:val="1AFE3625"/>
    <w:multiLevelType w:val="hybridMultilevel"/>
    <w:lvl w:ilvl="0">
      <w:lvlJc w:val="left"/>
      <w:lvlText w:val="%1"/>
      <w:numFmt w:val="lowerLetter"/>
      <w:start w:val="1"/>
    </w:lvl>
    <w:lvl w:ilvl="1">
      <w:lvlJc w:val="left"/>
      <w:lvlText w:val="(%2)"/>
      <w:numFmt w:val="lowerLetter"/>
      <w:start w:val="9"/>
    </w:lvl>
  </w:abstractNum>
  <w:abstractNum w:abstractNumId="180">
    <w:nsid w:val="3CA88ECF"/>
    <w:multiLevelType w:val="hybridMultilevel"/>
    <w:lvl w:ilvl="0">
      <w:lvlJc w:val="left"/>
      <w:lvlText w:val="(%1)"/>
      <w:numFmt w:val="lowerLetter"/>
      <w:start w:val="9"/>
    </w:lvl>
    <w:lvl w:ilvl="1">
      <w:lvlJc w:val="left"/>
      <w:lvlText w:val="(%2)"/>
      <w:numFmt w:val="lowerLetter"/>
      <w:start w:val="11"/>
    </w:lvl>
  </w:abstractNum>
  <w:abstractNum w:abstractNumId="181">
    <w:nsid w:val="6EBE4208"/>
    <w:multiLevelType w:val="hybridMultilevel"/>
    <w:lvl w:ilvl="0">
      <w:lvlJc w:val="left"/>
      <w:lvlText w:val="(%1)"/>
      <w:numFmt w:val="lowerLetter"/>
      <w:start w:val="13"/>
    </w:lvl>
  </w:abstractNum>
  <w:abstractNum w:abstractNumId="182">
    <w:nsid w:val="C058DF5"/>
    <w:multiLevelType w:val="hybridMultilevel"/>
    <w:lvl w:ilvl="0">
      <w:lvlJc w:val="left"/>
      <w:lvlText w:val="(%1)"/>
      <w:numFmt w:val="lowerLetter"/>
      <w:start w:val="15"/>
    </w:lvl>
  </w:abstractNum>
  <w:abstractNum w:abstractNumId="183">
    <w:nsid w:val="CBE5BE9"/>
    <w:multiLevelType w:val="hybridMultilevel"/>
    <w:lvl w:ilvl="0">
      <w:lvlJc w:val="left"/>
      <w:lvlText w:val="%1."/>
      <w:numFmt w:val="decimal"/>
      <w:start w:val="10"/>
    </w:lvl>
  </w:abstractNum>
  <w:abstractNum w:abstractNumId="184">
    <w:nsid w:val="3102BBE2"/>
    <w:multiLevelType w:val="hybridMultilevel"/>
    <w:lvl w:ilvl="0">
      <w:lvlJc w:val="left"/>
      <w:lvlText w:val="%1"/>
      <w:numFmt w:val="decimal"/>
      <w:start w:val="1"/>
    </w:lvl>
    <w:lvl w:ilvl="1">
      <w:lvlJc w:val="left"/>
      <w:lvlText w:val="%2."/>
      <w:numFmt w:val="decimal"/>
      <w:start w:val="12"/>
    </w:lvl>
  </w:abstractNum>
  <w:abstractNum w:abstractNumId="185">
    <w:nsid w:val="26A02C5E"/>
    <w:multiLevelType w:val="hybridMultilevel"/>
    <w:lvl w:ilvl="0">
      <w:lvlJc w:val="left"/>
      <w:lvlText w:val="%1."/>
      <w:numFmt w:val="decimal"/>
      <w:start w:val="13"/>
    </w:lvl>
    <w:lvl w:ilvl="1">
      <w:lvlJc w:val="left"/>
      <w:lvlText w:val="%2"/>
      <w:numFmt w:val="decimal"/>
      <w:start w:val="1"/>
    </w:lvl>
  </w:abstractNum>
  <w:abstractNum w:abstractNumId="186">
    <w:nsid w:val="541C8153"/>
    <w:multiLevelType w:val="hybridMultilevel"/>
    <w:lvl w:ilvl="0">
      <w:lvlJc w:val="left"/>
      <w:lvlText w:val="%1"/>
      <w:numFmt w:val="lowerRoman"/>
      <w:start w:val="1"/>
    </w:lvl>
    <w:lvl w:ilvl="1">
      <w:lvlJc w:val="left"/>
      <w:lvlText w:val="%2."/>
      <w:numFmt w:val="decimal"/>
      <w:start w:val="14"/>
    </w:lvl>
    <w:lvl w:ilvl="2">
      <w:lvlJc w:val="left"/>
      <w:lvlText w:val="%3"/>
      <w:numFmt w:val="decimal"/>
      <w:start w:val="1"/>
    </w:lvl>
  </w:abstractNum>
  <w:abstractNum w:abstractNumId="187">
    <w:nsid w:val="67906F60"/>
    <w:multiLevelType w:val="hybridMultilevel"/>
    <w:lvl w:ilvl="0">
      <w:lvlJc w:val="left"/>
      <w:lvlText w:val="(%1)"/>
      <w:numFmt w:val="lowerRoman"/>
      <w:start w:val="5"/>
    </w:lvl>
    <w:lvl w:ilvl="1">
      <w:lvlJc w:val="left"/>
      <w:lvlText w:val="%2"/>
      <w:numFmt w:val="decimal"/>
      <w:start w:val="1"/>
    </w:lvl>
    <w:lvl w:ilvl="2">
      <w:lvlJc w:val="left"/>
      <w:lvlText w:val="%3."/>
      <w:numFmt w:val="decimal"/>
      <w:start w:val="15"/>
    </w:lvl>
  </w:abstractNum>
  <w:abstractNum w:abstractNumId="188">
    <w:nsid w:val="10DB9DAA"/>
    <w:multiLevelType w:val="hybridMultilevel"/>
    <w:lvl w:ilvl="0">
      <w:lvlJc w:val="left"/>
      <w:lvlText w:val="(%1)"/>
      <w:numFmt w:val="lowerRoman"/>
      <w:start w:val="1"/>
    </w:lvl>
  </w:abstractNum>
  <w:abstractNum w:abstractNumId="189">
    <w:nsid w:val="697D2D2"/>
    <w:multiLevelType w:val="hybridMultilevel"/>
    <w:lvl w:ilvl="0">
      <w:lvlJc w:val="left"/>
      <w:lvlText w:val="(%1)"/>
      <w:numFmt w:val="lowerRoman"/>
      <w:start w:val="2"/>
    </w:lvl>
  </w:abstractNum>
  <w:abstractNum w:abstractNumId="190">
    <w:nsid w:val="6D68AB2"/>
    <w:multiLevelType w:val="hybridMultilevel"/>
    <w:lvl w:ilvl="0">
      <w:lvlJc w:val="left"/>
      <w:lvlText w:val="%1"/>
      <w:numFmt w:val="decimal"/>
      <w:start w:val="1"/>
    </w:lvl>
    <w:lvl w:ilvl="1">
      <w:lvlJc w:val="left"/>
      <w:lvlText w:val="%2."/>
      <w:numFmt w:val="decimal"/>
      <w:start w:val="16"/>
    </w:lvl>
  </w:abstractNum>
  <w:abstractNum w:abstractNumId="191">
    <w:nsid w:val="3A966CD0"/>
    <w:multiLevelType w:val="hybridMultilevel"/>
    <w:lvl w:ilvl="0">
      <w:lvlJc w:val="left"/>
      <w:lvlText w:val="%1."/>
      <w:numFmt w:val="decimal"/>
      <w:start w:val="17"/>
    </w:lvl>
    <w:lvl w:ilvl="1">
      <w:lvlJc w:val="left"/>
      <w:lvlText w:val="%2"/>
      <w:numFmt w:val="decimal"/>
      <w:start w:val="1"/>
    </w:lvl>
  </w:abstractNum>
  <w:abstractNum w:abstractNumId="192">
    <w:nsid w:val="63F37E85"/>
    <w:multiLevelType w:val="hybridMultilevel"/>
    <w:lvl w:ilvl="0">
      <w:lvlJc w:val="left"/>
      <w:lvlText w:val="%1."/>
      <w:numFmt w:val="decimal"/>
      <w:start w:val="18"/>
    </w:lvl>
  </w:abstractNum>
  <w:abstractNum w:abstractNumId="193">
    <w:nsid w:val="5895F5FA"/>
    <w:multiLevelType w:val="hybridMultilevel"/>
    <w:lvl w:ilvl="0">
      <w:lvlJc w:val="left"/>
      <w:lvlText w:val="%1"/>
      <w:numFmt w:val="lowerLetter"/>
      <w:start w:val="1"/>
    </w:lvl>
    <w:lvl w:ilvl="1">
      <w:lvlJc w:val="left"/>
      <w:lvlText w:val="%2."/>
      <w:numFmt w:val="decimal"/>
      <w:start w:val="19"/>
    </w:lvl>
  </w:abstractNum>
  <w:abstractNum w:abstractNumId="194">
    <w:nsid w:val="38A5D054"/>
    <w:multiLevelType w:val="hybridMultilevel"/>
    <w:lvl w:ilvl="0">
      <w:lvlJc w:val="left"/>
      <w:lvlText w:val="(%1)"/>
      <w:numFmt w:val="lowerLetter"/>
      <w:start w:val="2"/>
    </w:lvl>
    <w:lvl w:ilvl="1">
      <w:lvlJc w:val="left"/>
      <w:lvlText w:val="%2"/>
      <w:numFmt w:val="decimal"/>
      <w:start w:val="1"/>
    </w:lvl>
  </w:abstractNum>
  <w:abstractNum w:abstractNumId="195">
    <w:nsid w:val="F3F09D8"/>
    <w:multiLevelType w:val="hybridMultilevel"/>
    <w:lvl w:ilvl="0">
      <w:lvlJc w:val="left"/>
      <w:lvlText w:val="(%1)"/>
      <w:numFmt w:val="decimal"/>
      <w:start w:val="1"/>
    </w:lvl>
  </w:abstractNum>
  <w:abstractNum w:abstractNumId="196">
    <w:nsid w:val="4B793735"/>
    <w:multiLevelType w:val="hybridMultilevel"/>
    <w:lvl w:ilvl="0">
      <w:lvlJc w:val="left"/>
      <w:lvlText w:val="["/>
      <w:numFmt w:val="bullet"/>
      <w:start w:val="1"/>
    </w:lvl>
  </w:abstractNum>
  <w:abstractNum w:abstractNumId="197">
    <w:nsid w:val="4A10B4E8"/>
    <w:multiLevelType w:val="hybridMultilevel"/>
    <w:lvl w:ilvl="0">
      <w:lvlJc w:val="left"/>
      <w:lvlText w:val="%1."/>
      <w:numFmt w:val="decimal"/>
      <w:start w:val="1"/>
    </w:lvl>
  </w:abstractNum>
  <w:abstractNum w:abstractNumId="198">
    <w:nsid w:val="43D3BCD4"/>
    <w:multiLevelType w:val="hybridMultilevel"/>
    <w:lvl w:ilvl="0">
      <w:lvlJc w:val="left"/>
      <w:lvlText w:val="%1."/>
      <w:numFmt w:val="decimal"/>
      <w:start w:val="2"/>
    </w:lvl>
  </w:abstractNum>
  <w:abstractNum w:abstractNumId="199">
    <w:nsid w:val="4C2A7166"/>
    <w:multiLevelType w:val="hybridMultilevel"/>
    <w:lvl w:ilvl="0">
      <w:lvlJc w:val="left"/>
      <w:lvlText w:val="%1."/>
      <w:numFmt w:val="decimal"/>
      <w:start w:val="3"/>
    </w:lvl>
    <w:lvl w:ilvl="1">
      <w:lvlJc w:val="left"/>
      <w:lvlText w:val="(%2)"/>
      <w:numFmt w:val="lowerLetter"/>
      <w:start w:val="7"/>
    </w:lvl>
    <w:lvl w:ilvl="2">
      <w:lvlJc w:val="left"/>
      <w:lvlText w:val="%3"/>
      <w:numFmt w:val="lowerRoman"/>
      <w:start w:val="1"/>
    </w:lvl>
  </w:abstractNum>
  <w:abstractNum w:abstractNumId="200">
    <w:nsid w:val="2E534A8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01">
    <w:nsid w:val="26F2D364"/>
    <w:multiLevelType w:val="hybridMultilevel"/>
    <w:lvl w:ilvl="0">
      <w:lvlJc w:val="left"/>
      <w:lvlText w:val="%1."/>
      <w:numFmt w:val="decimal"/>
      <w:start w:val="5"/>
    </w:lvl>
    <w:lvl w:ilvl="1">
      <w:lvlJc w:val="left"/>
      <w:lvlText w:val="(%2)"/>
      <w:numFmt w:val="lowerRoman"/>
      <w:start w:val="5"/>
    </w:lvl>
  </w:abstractNum>
  <w:abstractNum w:abstractNumId="202">
    <w:nsid w:val="71C1AF98"/>
    <w:multiLevelType w:val="hybridMultilevel"/>
    <w:lvl w:ilvl="0">
      <w:lvlJc w:val="left"/>
      <w:lvlText w:val="%1."/>
      <w:numFmt w:val="decimal"/>
      <w:start w:val="7"/>
    </w:lvl>
  </w:abstractNum>
  <w:abstractNum w:abstractNumId="203">
    <w:nsid w:val="3D00B9D9"/>
    <w:multiLevelType w:val="hybridMultilevel"/>
    <w:lvl w:ilvl="0">
      <w:lvlJc w:val="left"/>
      <w:lvlText w:val="%1."/>
      <w:numFmt w:val="decimal"/>
      <w:start w:val="9"/>
    </w:lvl>
  </w:abstractNum>
  <w:abstractNum w:abstractNumId="204">
    <w:nsid w:val="15BCABA8"/>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2019-12-07T03:18:04Z</dcterms:created>
  <dcterms:modified xsi:type="dcterms:W3CDTF">2019-12-07T03:18:04Z</dcterms:modified>
</cp:coreProperties>
</file>